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2A38D" w14:textId="535A0EF0" w:rsidR="00941818" w:rsidRPr="00DE5669" w:rsidRDefault="00941818" w:rsidP="00941818">
      <w:pPr>
        <w:pStyle w:val="Corpodetexto"/>
        <w:rPr>
          <w:rFonts w:ascii="Arial" w:hAnsi="Arial" w:cs="Arial"/>
        </w:rPr>
      </w:pPr>
    </w:p>
    <w:p w14:paraId="16F677D3" w14:textId="6C1C56A6" w:rsidR="00E20D8C" w:rsidRPr="00DE5669" w:rsidRDefault="4F022246" w:rsidP="21B44215">
      <w:pPr>
        <w:pStyle w:val="NormalWeb"/>
        <w:spacing w:after="166" w:line="216" w:lineRule="auto"/>
        <w:jc w:val="center"/>
      </w:pPr>
      <w:r>
        <w:rPr>
          <w:noProof/>
        </w:rPr>
        <w:drawing>
          <wp:anchor distT="0" distB="0" distL="114300" distR="114300" simplePos="0" relativeHeight="251658240" behindDoc="0" locked="0" layoutInCell="1" allowOverlap="1" wp14:anchorId="03FCDEA8" wp14:editId="4A27BF66">
            <wp:simplePos x="0" y="0"/>
            <wp:positionH relativeFrom="column">
              <wp:align>left</wp:align>
            </wp:positionH>
            <wp:positionV relativeFrom="paragraph">
              <wp:posOffset>0</wp:posOffset>
            </wp:positionV>
            <wp:extent cx="5794463" cy="3390435"/>
            <wp:effectExtent l="0" t="0" r="0"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1">
                      <a:extLst>
                        <a:ext uri="{28A0092B-C50C-407E-A947-70E740481C1C}">
                          <a14:useLocalDpi xmlns:a14="http://schemas.microsoft.com/office/drawing/2010/main"/>
                        </a:ext>
                      </a:extLst>
                    </a:blip>
                    <a:srcRect/>
                    <a:stretch>
                      <a:fillRect/>
                    </a:stretch>
                  </pic:blipFill>
                  <pic:spPr>
                    <a:xfrm>
                      <a:off x="0" y="0"/>
                      <a:ext cx="5794463" cy="3390435"/>
                    </a:xfrm>
                    <a:prstGeom prst="rect">
                      <a:avLst/>
                    </a:prstGeom>
                  </pic:spPr>
                </pic:pic>
              </a:graphicData>
            </a:graphic>
            <wp14:sizeRelH relativeFrom="page">
              <wp14:pctWidth>0</wp14:pctWidth>
            </wp14:sizeRelH>
            <wp14:sizeRelV relativeFrom="page">
              <wp14:pctHeight>0</wp14:pctHeight>
            </wp14:sizeRelV>
          </wp:anchor>
        </w:drawing>
      </w:r>
    </w:p>
    <w:p w14:paraId="0CE96CDF" w14:textId="258C4678" w:rsidR="00E20D8C" w:rsidRPr="00DE5669" w:rsidRDefault="00E20D8C" w:rsidP="21B44215">
      <w:pPr>
        <w:spacing w:after="166" w:line="216" w:lineRule="auto"/>
        <w:ind w:left="0" w:right="51"/>
        <w:jc w:val="center"/>
        <w:rPr>
          <w:rFonts w:cs="Arial"/>
          <w:b/>
          <w:color w:val="1F4E79" w:themeColor="accent5" w:themeShade="80"/>
          <w:sz w:val="56"/>
          <w:szCs w:val="56"/>
        </w:rPr>
      </w:pPr>
    </w:p>
    <w:p w14:paraId="63DDA2DA" w14:textId="6797501F" w:rsidR="00A4224E" w:rsidRPr="00DE5669" w:rsidRDefault="4F28AC58" w:rsidP="00E20D8C">
      <w:pPr>
        <w:spacing w:after="166" w:line="216" w:lineRule="auto"/>
        <w:ind w:left="66" w:right="51" w:hanging="66"/>
        <w:jc w:val="center"/>
        <w:rPr>
          <w:rFonts w:cs="Arial"/>
        </w:rPr>
      </w:pPr>
      <w:r w:rsidRPr="00DE5669">
        <w:rPr>
          <w:rFonts w:eastAsiaTheme="minorEastAsia" w:cs="Arial"/>
          <w:b/>
          <w:bCs/>
          <w:color w:val="1F4E79" w:themeColor="accent5" w:themeShade="80"/>
          <w:sz w:val="56"/>
          <w:szCs w:val="56"/>
        </w:rPr>
        <w:t>Relatório Mensal de Ações e Atividades</w:t>
      </w:r>
    </w:p>
    <w:p w14:paraId="48BD66AD" w14:textId="77777777" w:rsidR="00A4224E" w:rsidRPr="00DE5669" w:rsidRDefault="00EE0FC9">
      <w:pPr>
        <w:spacing w:after="53"/>
        <w:rPr>
          <w:rFonts w:cs="Arial"/>
        </w:rPr>
      </w:pPr>
      <w:r w:rsidRPr="00DE5669">
        <w:rPr>
          <w:rFonts w:cs="Arial"/>
        </w:rPr>
        <w:t xml:space="preserve"> </w:t>
      </w:r>
    </w:p>
    <w:p w14:paraId="2518E0C1" w14:textId="77777777" w:rsidR="00A4224E" w:rsidRPr="00DE5669" w:rsidRDefault="00EE0FC9">
      <w:pPr>
        <w:spacing w:after="498"/>
        <w:ind w:left="29"/>
        <w:jc w:val="center"/>
        <w:rPr>
          <w:rFonts w:cs="Arial"/>
        </w:rPr>
      </w:pPr>
      <w:r w:rsidRPr="00DE5669">
        <w:rPr>
          <w:rFonts w:cs="Arial"/>
          <w:sz w:val="32"/>
        </w:rPr>
        <w:t>Termo de Colaboração nº 097/2024</w:t>
      </w:r>
      <w:r w:rsidRPr="00DE5669">
        <w:rPr>
          <w:rFonts w:cs="Arial"/>
        </w:rPr>
        <w:t xml:space="preserve"> </w:t>
      </w:r>
    </w:p>
    <w:p w14:paraId="467300CA" w14:textId="77777777" w:rsidR="00A4224E" w:rsidRPr="00DE5669" w:rsidRDefault="00EE0FC9">
      <w:pPr>
        <w:spacing w:after="13"/>
        <w:rPr>
          <w:rFonts w:cs="Arial"/>
        </w:rPr>
      </w:pPr>
      <w:r w:rsidRPr="00DE5669">
        <w:rPr>
          <w:rFonts w:cs="Arial"/>
        </w:rPr>
        <w:t xml:space="preserve"> </w:t>
      </w:r>
    </w:p>
    <w:p w14:paraId="358545FE" w14:textId="7C59ACFC" w:rsidR="00980C3B" w:rsidRPr="00DE5669" w:rsidRDefault="3D16704D" w:rsidP="477C1C79">
      <w:pPr>
        <w:spacing w:after="0"/>
        <w:ind w:left="21"/>
        <w:jc w:val="center"/>
        <w:rPr>
          <w:rFonts w:cs="Arial"/>
        </w:rPr>
      </w:pPr>
      <w:r w:rsidRPr="1A6EC8B6">
        <w:rPr>
          <w:rFonts w:cs="Arial"/>
          <w:sz w:val="28"/>
          <w:szCs w:val="28"/>
        </w:rPr>
        <w:t xml:space="preserve">Período: </w:t>
      </w:r>
      <w:proofErr w:type="gramStart"/>
      <w:r w:rsidR="76CDCA30" w:rsidRPr="1A6EC8B6">
        <w:rPr>
          <w:rFonts w:cs="Arial"/>
          <w:b/>
          <w:bCs/>
          <w:sz w:val="28"/>
          <w:szCs w:val="28"/>
        </w:rPr>
        <w:t>Junh</w:t>
      </w:r>
      <w:r w:rsidR="3B4A8227" w:rsidRPr="1A6EC8B6">
        <w:rPr>
          <w:rFonts w:cs="Arial"/>
          <w:b/>
          <w:bCs/>
          <w:sz w:val="28"/>
          <w:szCs w:val="28"/>
        </w:rPr>
        <w:t>o</w:t>
      </w:r>
      <w:proofErr w:type="gramEnd"/>
      <w:r w:rsidR="56FB2EFF" w:rsidRPr="1A6EC8B6">
        <w:rPr>
          <w:rFonts w:cs="Arial"/>
          <w:b/>
          <w:bCs/>
          <w:sz w:val="28"/>
          <w:szCs w:val="28"/>
        </w:rPr>
        <w:t>/2026</w:t>
      </w:r>
      <w:r w:rsidRPr="1A6EC8B6">
        <w:rPr>
          <w:rFonts w:cs="Arial"/>
        </w:rPr>
        <w:t xml:space="preserve"> </w:t>
      </w:r>
    </w:p>
    <w:p w14:paraId="6C84DFDF" w14:textId="77777777" w:rsidR="00980C3B" w:rsidRPr="00DE5669" w:rsidRDefault="00980C3B">
      <w:pPr>
        <w:spacing w:after="0"/>
        <w:ind w:left="21"/>
        <w:jc w:val="center"/>
        <w:rPr>
          <w:rFonts w:cs="Arial"/>
        </w:rPr>
      </w:pPr>
    </w:p>
    <w:p w14:paraId="2434B04B" w14:textId="77777777" w:rsidR="00CC2706" w:rsidRPr="00DE5669" w:rsidRDefault="00CC2706">
      <w:pPr>
        <w:spacing w:after="0"/>
        <w:ind w:left="21"/>
        <w:jc w:val="center"/>
        <w:rPr>
          <w:rFonts w:cs="Arial"/>
        </w:rPr>
      </w:pPr>
    </w:p>
    <w:p w14:paraId="288BB40C" w14:textId="77777777" w:rsidR="00CC2706" w:rsidRPr="00DE5669" w:rsidRDefault="00CC2706">
      <w:pPr>
        <w:spacing w:after="0"/>
        <w:ind w:left="21"/>
        <w:jc w:val="center"/>
        <w:rPr>
          <w:rFonts w:cs="Arial"/>
        </w:rPr>
      </w:pPr>
    </w:p>
    <w:p w14:paraId="5E68FD2F" w14:textId="77777777" w:rsidR="00CC2706" w:rsidRPr="00DE5669" w:rsidRDefault="00CC2706">
      <w:pPr>
        <w:spacing w:after="0"/>
        <w:ind w:left="21"/>
        <w:jc w:val="center"/>
        <w:rPr>
          <w:rFonts w:cs="Arial"/>
        </w:rPr>
      </w:pPr>
    </w:p>
    <w:p w14:paraId="4F8FAC9B" w14:textId="77777777" w:rsidR="00CC2706" w:rsidRPr="00DE5669" w:rsidRDefault="00CC2706">
      <w:pPr>
        <w:spacing w:after="0"/>
        <w:ind w:left="21"/>
        <w:jc w:val="center"/>
        <w:rPr>
          <w:rFonts w:cs="Arial"/>
        </w:rPr>
      </w:pPr>
    </w:p>
    <w:sdt>
      <w:sdtPr>
        <w:rPr>
          <w:rFonts w:cs="Arial"/>
        </w:rPr>
        <w:id w:val="1217079967"/>
        <w:docPartObj>
          <w:docPartGallery w:val="Table of Contents"/>
          <w:docPartUnique/>
        </w:docPartObj>
      </w:sdtPr>
      <w:sdtEndPr/>
      <w:sdtContent>
        <w:p w14:paraId="67B1E04C" w14:textId="1009B1EE" w:rsidR="00BD3413" w:rsidRDefault="1B0A4126">
          <w:pPr>
            <w:pStyle w:val="Sumrio1"/>
            <w:tabs>
              <w:tab w:val="right" w:leader="dot" w:pos="9032"/>
            </w:tabs>
            <w:rPr>
              <w:rFonts w:asciiTheme="minorHAnsi" w:eastAsiaTheme="minorEastAsia" w:hAnsiTheme="minorHAnsi"/>
              <w:noProof/>
              <w:color w:val="auto"/>
              <w:sz w:val="22"/>
              <w:szCs w:val="22"/>
            </w:rPr>
          </w:pPr>
          <w:r w:rsidRPr="00DE5669">
            <w:rPr>
              <w:rFonts w:cs="Arial"/>
            </w:rPr>
            <w:fldChar w:fldCharType="begin"/>
          </w:r>
          <w:r w:rsidR="005B0C0E" w:rsidRPr="00DE5669">
            <w:rPr>
              <w:rFonts w:cs="Arial"/>
            </w:rPr>
            <w:instrText>TOC \o "1-3" \z \u \h</w:instrText>
          </w:r>
          <w:r w:rsidRPr="00DE5669">
            <w:rPr>
              <w:rFonts w:cs="Arial"/>
            </w:rPr>
            <w:fldChar w:fldCharType="separate"/>
          </w:r>
          <w:hyperlink w:anchor="_Toc234260319" w:history="1">
            <w:r w:rsidR="00BD3413" w:rsidRPr="00647CCD">
              <w:rPr>
                <w:rStyle w:val="Hyperlink"/>
                <w:noProof/>
              </w:rPr>
              <w:t>1. Apresentação</w:t>
            </w:r>
            <w:r w:rsidR="00BD3413">
              <w:rPr>
                <w:noProof/>
                <w:webHidden/>
              </w:rPr>
              <w:tab/>
            </w:r>
            <w:r w:rsidR="00BD3413">
              <w:rPr>
                <w:noProof/>
                <w:webHidden/>
              </w:rPr>
              <w:fldChar w:fldCharType="begin"/>
            </w:r>
            <w:r w:rsidR="00BD3413">
              <w:rPr>
                <w:noProof/>
                <w:webHidden/>
              </w:rPr>
              <w:instrText xml:space="preserve"> PAGEREF _Toc234260319 \h </w:instrText>
            </w:r>
            <w:r w:rsidR="00BD3413">
              <w:rPr>
                <w:noProof/>
                <w:webHidden/>
              </w:rPr>
            </w:r>
            <w:r w:rsidR="00BD3413">
              <w:rPr>
                <w:noProof/>
                <w:webHidden/>
              </w:rPr>
              <w:fldChar w:fldCharType="separate"/>
            </w:r>
            <w:r w:rsidR="001931F8">
              <w:rPr>
                <w:noProof/>
                <w:webHidden/>
              </w:rPr>
              <w:t>1</w:t>
            </w:r>
            <w:r w:rsidR="00BD3413">
              <w:rPr>
                <w:noProof/>
                <w:webHidden/>
              </w:rPr>
              <w:fldChar w:fldCharType="end"/>
            </w:r>
          </w:hyperlink>
        </w:p>
        <w:p w14:paraId="6B5D55C1" w14:textId="6312C9E3" w:rsidR="00BD3413" w:rsidRDefault="00BD3413">
          <w:pPr>
            <w:pStyle w:val="Sumrio1"/>
            <w:tabs>
              <w:tab w:val="right" w:leader="dot" w:pos="9032"/>
            </w:tabs>
            <w:rPr>
              <w:rFonts w:asciiTheme="minorHAnsi" w:eastAsiaTheme="minorEastAsia" w:hAnsiTheme="minorHAnsi"/>
              <w:noProof/>
              <w:color w:val="auto"/>
              <w:sz w:val="22"/>
              <w:szCs w:val="22"/>
            </w:rPr>
          </w:pPr>
          <w:hyperlink w:anchor="_Toc234260320" w:history="1">
            <w:r w:rsidRPr="00647CCD">
              <w:rPr>
                <w:rStyle w:val="Hyperlink"/>
                <w:noProof/>
              </w:rPr>
              <w:t>2. Indicadores de Produção Assistencial</w:t>
            </w:r>
            <w:r>
              <w:rPr>
                <w:noProof/>
                <w:webHidden/>
              </w:rPr>
              <w:tab/>
            </w:r>
            <w:r>
              <w:rPr>
                <w:noProof/>
                <w:webHidden/>
              </w:rPr>
              <w:fldChar w:fldCharType="begin"/>
            </w:r>
            <w:r>
              <w:rPr>
                <w:noProof/>
                <w:webHidden/>
              </w:rPr>
              <w:instrText xml:space="preserve"> PAGEREF _Toc234260320 \h </w:instrText>
            </w:r>
            <w:r>
              <w:rPr>
                <w:noProof/>
                <w:webHidden/>
              </w:rPr>
            </w:r>
            <w:r>
              <w:rPr>
                <w:noProof/>
                <w:webHidden/>
              </w:rPr>
              <w:fldChar w:fldCharType="separate"/>
            </w:r>
            <w:r w:rsidR="001931F8">
              <w:rPr>
                <w:noProof/>
                <w:webHidden/>
              </w:rPr>
              <w:t>1</w:t>
            </w:r>
            <w:r>
              <w:rPr>
                <w:noProof/>
                <w:webHidden/>
              </w:rPr>
              <w:fldChar w:fldCharType="end"/>
            </w:r>
          </w:hyperlink>
        </w:p>
        <w:p w14:paraId="76AFB5A3" w14:textId="0FADD3B5" w:rsidR="00BD3413" w:rsidRDefault="00BD3413">
          <w:pPr>
            <w:pStyle w:val="Sumrio2"/>
            <w:tabs>
              <w:tab w:val="right" w:leader="dot" w:pos="9032"/>
            </w:tabs>
            <w:rPr>
              <w:rFonts w:asciiTheme="minorHAnsi" w:eastAsiaTheme="minorEastAsia" w:hAnsiTheme="minorHAnsi"/>
              <w:noProof/>
              <w:color w:val="auto"/>
              <w:sz w:val="22"/>
              <w:szCs w:val="22"/>
            </w:rPr>
          </w:pPr>
          <w:hyperlink w:anchor="_Toc234260321" w:history="1">
            <w:r w:rsidRPr="00647CCD">
              <w:rPr>
                <w:rStyle w:val="Hyperlink"/>
                <w:noProof/>
              </w:rPr>
              <w:t>2.1. Internações e Saídas Hospitalares</w:t>
            </w:r>
            <w:r>
              <w:rPr>
                <w:noProof/>
                <w:webHidden/>
              </w:rPr>
              <w:tab/>
            </w:r>
            <w:r>
              <w:rPr>
                <w:noProof/>
                <w:webHidden/>
              </w:rPr>
              <w:fldChar w:fldCharType="begin"/>
            </w:r>
            <w:r>
              <w:rPr>
                <w:noProof/>
                <w:webHidden/>
              </w:rPr>
              <w:instrText xml:space="preserve"> PAGEREF _Toc234260321 \h </w:instrText>
            </w:r>
            <w:r>
              <w:rPr>
                <w:noProof/>
                <w:webHidden/>
              </w:rPr>
            </w:r>
            <w:r>
              <w:rPr>
                <w:noProof/>
                <w:webHidden/>
              </w:rPr>
              <w:fldChar w:fldCharType="separate"/>
            </w:r>
            <w:r w:rsidR="001931F8">
              <w:rPr>
                <w:noProof/>
                <w:webHidden/>
              </w:rPr>
              <w:t>1</w:t>
            </w:r>
            <w:r>
              <w:rPr>
                <w:noProof/>
                <w:webHidden/>
              </w:rPr>
              <w:fldChar w:fldCharType="end"/>
            </w:r>
          </w:hyperlink>
        </w:p>
        <w:p w14:paraId="4DD8170A" w14:textId="767C746F" w:rsidR="00BD3413" w:rsidRDefault="00BD3413">
          <w:pPr>
            <w:pStyle w:val="Sumrio2"/>
            <w:tabs>
              <w:tab w:val="right" w:leader="dot" w:pos="9032"/>
            </w:tabs>
            <w:rPr>
              <w:rFonts w:asciiTheme="minorHAnsi" w:eastAsiaTheme="minorEastAsia" w:hAnsiTheme="minorHAnsi"/>
              <w:noProof/>
              <w:color w:val="auto"/>
              <w:sz w:val="22"/>
              <w:szCs w:val="22"/>
            </w:rPr>
          </w:pPr>
          <w:hyperlink w:anchor="_Toc234260322" w:history="1">
            <w:r w:rsidRPr="00647CCD">
              <w:rPr>
                <w:rStyle w:val="Hyperlink"/>
                <w:noProof/>
              </w:rPr>
              <w:t>2.2. Análise Crítica</w:t>
            </w:r>
            <w:r>
              <w:rPr>
                <w:noProof/>
                <w:webHidden/>
              </w:rPr>
              <w:tab/>
            </w:r>
            <w:r>
              <w:rPr>
                <w:noProof/>
                <w:webHidden/>
              </w:rPr>
              <w:fldChar w:fldCharType="begin"/>
            </w:r>
            <w:r>
              <w:rPr>
                <w:noProof/>
                <w:webHidden/>
              </w:rPr>
              <w:instrText xml:space="preserve"> PAGEREF _Toc234260322 \h </w:instrText>
            </w:r>
            <w:r>
              <w:rPr>
                <w:noProof/>
                <w:webHidden/>
              </w:rPr>
            </w:r>
            <w:r>
              <w:rPr>
                <w:noProof/>
                <w:webHidden/>
              </w:rPr>
              <w:fldChar w:fldCharType="separate"/>
            </w:r>
            <w:r w:rsidR="001931F8">
              <w:rPr>
                <w:noProof/>
                <w:webHidden/>
              </w:rPr>
              <w:t>1</w:t>
            </w:r>
            <w:r>
              <w:rPr>
                <w:noProof/>
                <w:webHidden/>
              </w:rPr>
              <w:fldChar w:fldCharType="end"/>
            </w:r>
          </w:hyperlink>
        </w:p>
        <w:p w14:paraId="75F8B8F7" w14:textId="4F8B6361" w:rsidR="00BD3413" w:rsidRDefault="00BD3413">
          <w:pPr>
            <w:pStyle w:val="Sumrio2"/>
            <w:tabs>
              <w:tab w:val="right" w:leader="dot" w:pos="9032"/>
            </w:tabs>
            <w:rPr>
              <w:rFonts w:asciiTheme="minorHAnsi" w:eastAsiaTheme="minorEastAsia" w:hAnsiTheme="minorHAnsi"/>
              <w:noProof/>
              <w:color w:val="auto"/>
              <w:sz w:val="22"/>
              <w:szCs w:val="22"/>
            </w:rPr>
          </w:pPr>
          <w:hyperlink w:anchor="_Toc234260323" w:history="1">
            <w:r w:rsidRPr="00647CCD">
              <w:rPr>
                <w:rStyle w:val="Hyperlink"/>
                <w:noProof/>
              </w:rPr>
              <w:t>2.3. Estratégias de Mitigação e Gestão de Risco Sanitário</w:t>
            </w:r>
            <w:r>
              <w:rPr>
                <w:noProof/>
                <w:webHidden/>
              </w:rPr>
              <w:tab/>
            </w:r>
            <w:r>
              <w:rPr>
                <w:noProof/>
                <w:webHidden/>
              </w:rPr>
              <w:fldChar w:fldCharType="begin"/>
            </w:r>
            <w:r>
              <w:rPr>
                <w:noProof/>
                <w:webHidden/>
              </w:rPr>
              <w:instrText xml:space="preserve"> PAGEREF _Toc234260323 \h </w:instrText>
            </w:r>
            <w:r>
              <w:rPr>
                <w:noProof/>
                <w:webHidden/>
              </w:rPr>
            </w:r>
            <w:r>
              <w:rPr>
                <w:noProof/>
                <w:webHidden/>
              </w:rPr>
              <w:fldChar w:fldCharType="separate"/>
            </w:r>
            <w:r w:rsidR="001931F8">
              <w:rPr>
                <w:noProof/>
                <w:webHidden/>
              </w:rPr>
              <w:t>2</w:t>
            </w:r>
            <w:r>
              <w:rPr>
                <w:noProof/>
                <w:webHidden/>
              </w:rPr>
              <w:fldChar w:fldCharType="end"/>
            </w:r>
          </w:hyperlink>
        </w:p>
        <w:p w14:paraId="61DCCFDE" w14:textId="3F4D96A7" w:rsidR="00BD3413" w:rsidRDefault="00BD3413">
          <w:pPr>
            <w:pStyle w:val="Sumrio1"/>
            <w:tabs>
              <w:tab w:val="right" w:leader="dot" w:pos="9032"/>
            </w:tabs>
            <w:rPr>
              <w:rFonts w:asciiTheme="minorHAnsi" w:eastAsiaTheme="minorEastAsia" w:hAnsiTheme="minorHAnsi"/>
              <w:noProof/>
              <w:color w:val="auto"/>
              <w:sz w:val="22"/>
              <w:szCs w:val="22"/>
            </w:rPr>
          </w:pPr>
          <w:hyperlink w:anchor="_Toc234260324" w:history="1">
            <w:r w:rsidRPr="00647CCD">
              <w:rPr>
                <w:rStyle w:val="Hyperlink"/>
                <w:noProof/>
              </w:rPr>
              <w:t>3. Atendimentos e Consultas Ambulatoriais</w:t>
            </w:r>
            <w:r>
              <w:rPr>
                <w:noProof/>
                <w:webHidden/>
              </w:rPr>
              <w:tab/>
            </w:r>
            <w:r>
              <w:rPr>
                <w:noProof/>
                <w:webHidden/>
              </w:rPr>
              <w:fldChar w:fldCharType="begin"/>
            </w:r>
            <w:r>
              <w:rPr>
                <w:noProof/>
                <w:webHidden/>
              </w:rPr>
              <w:instrText xml:space="preserve"> PAGEREF _Toc234260324 \h </w:instrText>
            </w:r>
            <w:r>
              <w:rPr>
                <w:noProof/>
                <w:webHidden/>
              </w:rPr>
            </w:r>
            <w:r>
              <w:rPr>
                <w:noProof/>
                <w:webHidden/>
              </w:rPr>
              <w:fldChar w:fldCharType="separate"/>
            </w:r>
            <w:r w:rsidR="001931F8">
              <w:rPr>
                <w:noProof/>
                <w:webHidden/>
              </w:rPr>
              <w:t>4</w:t>
            </w:r>
            <w:r>
              <w:rPr>
                <w:noProof/>
                <w:webHidden/>
              </w:rPr>
              <w:fldChar w:fldCharType="end"/>
            </w:r>
          </w:hyperlink>
        </w:p>
        <w:p w14:paraId="6F1F6677" w14:textId="7B8C6140" w:rsidR="00BD3413" w:rsidRDefault="00BD3413">
          <w:pPr>
            <w:pStyle w:val="Sumrio2"/>
            <w:tabs>
              <w:tab w:val="right" w:leader="dot" w:pos="9032"/>
            </w:tabs>
            <w:rPr>
              <w:rFonts w:asciiTheme="minorHAnsi" w:eastAsiaTheme="minorEastAsia" w:hAnsiTheme="minorHAnsi"/>
              <w:noProof/>
              <w:color w:val="auto"/>
              <w:sz w:val="22"/>
              <w:szCs w:val="22"/>
            </w:rPr>
          </w:pPr>
          <w:hyperlink w:anchor="_Toc234260325" w:history="1">
            <w:r w:rsidRPr="00647CCD">
              <w:rPr>
                <w:rStyle w:val="Hyperlink"/>
                <w:noProof/>
              </w:rPr>
              <w:t>3.1. Análise Crítica</w:t>
            </w:r>
            <w:r>
              <w:rPr>
                <w:noProof/>
                <w:webHidden/>
              </w:rPr>
              <w:tab/>
            </w:r>
            <w:r>
              <w:rPr>
                <w:noProof/>
                <w:webHidden/>
              </w:rPr>
              <w:fldChar w:fldCharType="begin"/>
            </w:r>
            <w:r>
              <w:rPr>
                <w:noProof/>
                <w:webHidden/>
              </w:rPr>
              <w:instrText xml:space="preserve"> PAGEREF _Toc234260325 \h </w:instrText>
            </w:r>
            <w:r>
              <w:rPr>
                <w:noProof/>
                <w:webHidden/>
              </w:rPr>
            </w:r>
            <w:r>
              <w:rPr>
                <w:noProof/>
                <w:webHidden/>
              </w:rPr>
              <w:fldChar w:fldCharType="separate"/>
            </w:r>
            <w:r w:rsidR="001931F8">
              <w:rPr>
                <w:noProof/>
                <w:webHidden/>
              </w:rPr>
              <w:t>4</w:t>
            </w:r>
            <w:r>
              <w:rPr>
                <w:noProof/>
                <w:webHidden/>
              </w:rPr>
              <w:fldChar w:fldCharType="end"/>
            </w:r>
          </w:hyperlink>
        </w:p>
        <w:p w14:paraId="354783DA" w14:textId="5010DDC8" w:rsidR="00BD3413" w:rsidRDefault="00BD3413">
          <w:pPr>
            <w:pStyle w:val="Sumrio1"/>
            <w:tabs>
              <w:tab w:val="right" w:leader="dot" w:pos="9032"/>
            </w:tabs>
            <w:rPr>
              <w:rFonts w:asciiTheme="minorHAnsi" w:eastAsiaTheme="minorEastAsia" w:hAnsiTheme="minorHAnsi"/>
              <w:noProof/>
              <w:color w:val="auto"/>
              <w:sz w:val="22"/>
              <w:szCs w:val="22"/>
            </w:rPr>
          </w:pPr>
          <w:hyperlink w:anchor="_Toc234260329" w:history="1">
            <w:r w:rsidRPr="00647CCD">
              <w:rPr>
                <w:rStyle w:val="Hyperlink"/>
                <w:noProof/>
              </w:rPr>
              <w:t>4. Indicadores de Desempenho</w:t>
            </w:r>
            <w:r>
              <w:rPr>
                <w:noProof/>
                <w:webHidden/>
              </w:rPr>
              <w:tab/>
            </w:r>
            <w:r>
              <w:rPr>
                <w:noProof/>
                <w:webHidden/>
              </w:rPr>
              <w:fldChar w:fldCharType="begin"/>
            </w:r>
            <w:r>
              <w:rPr>
                <w:noProof/>
                <w:webHidden/>
              </w:rPr>
              <w:instrText xml:space="preserve"> PAGEREF _Toc234260329 \h </w:instrText>
            </w:r>
            <w:r>
              <w:rPr>
                <w:noProof/>
                <w:webHidden/>
              </w:rPr>
            </w:r>
            <w:r>
              <w:rPr>
                <w:noProof/>
                <w:webHidden/>
              </w:rPr>
              <w:fldChar w:fldCharType="separate"/>
            </w:r>
            <w:r w:rsidR="001931F8">
              <w:rPr>
                <w:noProof/>
                <w:webHidden/>
              </w:rPr>
              <w:t>7</w:t>
            </w:r>
            <w:r>
              <w:rPr>
                <w:noProof/>
                <w:webHidden/>
              </w:rPr>
              <w:fldChar w:fldCharType="end"/>
            </w:r>
          </w:hyperlink>
        </w:p>
        <w:p w14:paraId="1399FFF0" w14:textId="0951BC87" w:rsidR="00BD3413" w:rsidRDefault="00BD3413">
          <w:pPr>
            <w:pStyle w:val="Sumrio2"/>
            <w:tabs>
              <w:tab w:val="right" w:leader="dot" w:pos="9032"/>
            </w:tabs>
            <w:rPr>
              <w:rFonts w:asciiTheme="minorHAnsi" w:eastAsiaTheme="minorEastAsia" w:hAnsiTheme="minorHAnsi"/>
              <w:noProof/>
              <w:color w:val="auto"/>
              <w:sz w:val="22"/>
              <w:szCs w:val="22"/>
            </w:rPr>
          </w:pPr>
          <w:hyperlink w:anchor="_Toc234260330" w:history="1">
            <w:r w:rsidRPr="00647CCD">
              <w:rPr>
                <w:rStyle w:val="Hyperlink"/>
                <w:noProof/>
              </w:rPr>
              <w:t>4.1. Análise Crítica</w:t>
            </w:r>
            <w:r>
              <w:rPr>
                <w:noProof/>
                <w:webHidden/>
              </w:rPr>
              <w:tab/>
            </w:r>
            <w:r>
              <w:rPr>
                <w:noProof/>
                <w:webHidden/>
              </w:rPr>
              <w:fldChar w:fldCharType="begin"/>
            </w:r>
            <w:r>
              <w:rPr>
                <w:noProof/>
                <w:webHidden/>
              </w:rPr>
              <w:instrText xml:space="preserve"> PAGEREF _Toc234260330 \h </w:instrText>
            </w:r>
            <w:r>
              <w:rPr>
                <w:noProof/>
                <w:webHidden/>
              </w:rPr>
            </w:r>
            <w:r>
              <w:rPr>
                <w:noProof/>
                <w:webHidden/>
              </w:rPr>
              <w:fldChar w:fldCharType="separate"/>
            </w:r>
            <w:r w:rsidR="001931F8">
              <w:rPr>
                <w:noProof/>
                <w:webHidden/>
              </w:rPr>
              <w:t>8</w:t>
            </w:r>
            <w:r>
              <w:rPr>
                <w:noProof/>
                <w:webHidden/>
              </w:rPr>
              <w:fldChar w:fldCharType="end"/>
            </w:r>
          </w:hyperlink>
        </w:p>
        <w:p w14:paraId="5E2E94B4" w14:textId="4524C058" w:rsidR="00BD3413" w:rsidRDefault="00BD3413">
          <w:pPr>
            <w:pStyle w:val="Sumrio1"/>
            <w:tabs>
              <w:tab w:val="right" w:leader="dot" w:pos="9032"/>
            </w:tabs>
            <w:rPr>
              <w:rFonts w:asciiTheme="minorHAnsi" w:eastAsiaTheme="minorEastAsia" w:hAnsiTheme="minorHAnsi"/>
              <w:noProof/>
              <w:color w:val="auto"/>
              <w:sz w:val="22"/>
              <w:szCs w:val="22"/>
            </w:rPr>
          </w:pPr>
          <w:hyperlink w:anchor="_Toc234260340" w:history="1">
            <w:r w:rsidRPr="00647CCD">
              <w:rPr>
                <w:rStyle w:val="Hyperlink"/>
                <w:noProof/>
              </w:rPr>
              <w:t>5. Indicadores Financeiros</w:t>
            </w:r>
            <w:r>
              <w:rPr>
                <w:noProof/>
                <w:webHidden/>
              </w:rPr>
              <w:tab/>
            </w:r>
            <w:r>
              <w:rPr>
                <w:noProof/>
                <w:webHidden/>
              </w:rPr>
              <w:fldChar w:fldCharType="begin"/>
            </w:r>
            <w:r>
              <w:rPr>
                <w:noProof/>
                <w:webHidden/>
              </w:rPr>
              <w:instrText xml:space="preserve"> PAGEREF _Toc234260340 \h </w:instrText>
            </w:r>
            <w:r>
              <w:rPr>
                <w:noProof/>
                <w:webHidden/>
              </w:rPr>
            </w:r>
            <w:r>
              <w:rPr>
                <w:noProof/>
                <w:webHidden/>
              </w:rPr>
              <w:fldChar w:fldCharType="separate"/>
            </w:r>
            <w:r w:rsidR="001931F8">
              <w:rPr>
                <w:noProof/>
                <w:webHidden/>
              </w:rPr>
              <w:t>9</w:t>
            </w:r>
            <w:r>
              <w:rPr>
                <w:noProof/>
                <w:webHidden/>
              </w:rPr>
              <w:fldChar w:fldCharType="end"/>
            </w:r>
          </w:hyperlink>
        </w:p>
        <w:p w14:paraId="3C0BAC49" w14:textId="7C1081B0" w:rsidR="00BD3413" w:rsidRDefault="00BD3413">
          <w:pPr>
            <w:pStyle w:val="Sumrio1"/>
            <w:tabs>
              <w:tab w:val="right" w:leader="dot" w:pos="9032"/>
            </w:tabs>
            <w:rPr>
              <w:rFonts w:asciiTheme="minorHAnsi" w:eastAsiaTheme="minorEastAsia" w:hAnsiTheme="minorHAnsi"/>
              <w:noProof/>
              <w:color w:val="auto"/>
              <w:sz w:val="22"/>
              <w:szCs w:val="22"/>
            </w:rPr>
          </w:pPr>
          <w:hyperlink w:anchor="_Toc234260341" w:history="1">
            <w:r w:rsidRPr="00647CCD">
              <w:rPr>
                <w:rStyle w:val="Hyperlink"/>
                <w:noProof/>
              </w:rPr>
              <w:t>6. Impacto do Benefício Social</w:t>
            </w:r>
            <w:r>
              <w:rPr>
                <w:noProof/>
                <w:webHidden/>
              </w:rPr>
              <w:tab/>
            </w:r>
            <w:r>
              <w:rPr>
                <w:noProof/>
                <w:webHidden/>
              </w:rPr>
              <w:fldChar w:fldCharType="begin"/>
            </w:r>
            <w:r>
              <w:rPr>
                <w:noProof/>
                <w:webHidden/>
              </w:rPr>
              <w:instrText xml:space="preserve"> PAGEREF _Toc234260341 \h </w:instrText>
            </w:r>
            <w:r>
              <w:rPr>
                <w:noProof/>
                <w:webHidden/>
              </w:rPr>
            </w:r>
            <w:r>
              <w:rPr>
                <w:noProof/>
                <w:webHidden/>
              </w:rPr>
              <w:fldChar w:fldCharType="separate"/>
            </w:r>
            <w:r w:rsidR="001931F8">
              <w:rPr>
                <w:noProof/>
                <w:webHidden/>
              </w:rPr>
              <w:t>14</w:t>
            </w:r>
            <w:r>
              <w:rPr>
                <w:noProof/>
                <w:webHidden/>
              </w:rPr>
              <w:fldChar w:fldCharType="end"/>
            </w:r>
          </w:hyperlink>
        </w:p>
        <w:p w14:paraId="26DD3FC4" w14:textId="26CCCB85" w:rsidR="00BD3413" w:rsidRDefault="00BD3413">
          <w:pPr>
            <w:pStyle w:val="Sumrio2"/>
            <w:tabs>
              <w:tab w:val="right" w:leader="dot" w:pos="9032"/>
            </w:tabs>
            <w:rPr>
              <w:rFonts w:asciiTheme="minorHAnsi" w:eastAsiaTheme="minorEastAsia" w:hAnsiTheme="minorHAnsi"/>
              <w:noProof/>
              <w:color w:val="auto"/>
              <w:sz w:val="22"/>
              <w:szCs w:val="22"/>
            </w:rPr>
          </w:pPr>
          <w:hyperlink w:anchor="_Toc234260342" w:history="1">
            <w:r w:rsidRPr="00647CCD">
              <w:rPr>
                <w:rStyle w:val="Hyperlink"/>
                <w:noProof/>
              </w:rPr>
              <w:t>6.1. Certificações e Acreditações</w:t>
            </w:r>
            <w:r>
              <w:rPr>
                <w:noProof/>
                <w:webHidden/>
              </w:rPr>
              <w:tab/>
            </w:r>
            <w:r>
              <w:rPr>
                <w:noProof/>
                <w:webHidden/>
              </w:rPr>
              <w:fldChar w:fldCharType="begin"/>
            </w:r>
            <w:r>
              <w:rPr>
                <w:noProof/>
                <w:webHidden/>
              </w:rPr>
              <w:instrText xml:space="preserve"> PAGEREF _Toc234260342 \h </w:instrText>
            </w:r>
            <w:r>
              <w:rPr>
                <w:noProof/>
                <w:webHidden/>
              </w:rPr>
            </w:r>
            <w:r>
              <w:rPr>
                <w:noProof/>
                <w:webHidden/>
              </w:rPr>
              <w:fldChar w:fldCharType="separate"/>
            </w:r>
            <w:r w:rsidR="001931F8">
              <w:rPr>
                <w:noProof/>
                <w:webHidden/>
              </w:rPr>
              <w:t>14</w:t>
            </w:r>
            <w:r>
              <w:rPr>
                <w:noProof/>
                <w:webHidden/>
              </w:rPr>
              <w:fldChar w:fldCharType="end"/>
            </w:r>
          </w:hyperlink>
        </w:p>
        <w:p w14:paraId="10E4147A" w14:textId="6FFA0AD9" w:rsidR="00BD3413" w:rsidRDefault="00BD3413">
          <w:pPr>
            <w:pStyle w:val="Sumrio2"/>
            <w:tabs>
              <w:tab w:val="right" w:leader="dot" w:pos="9032"/>
            </w:tabs>
            <w:rPr>
              <w:rFonts w:asciiTheme="minorHAnsi" w:eastAsiaTheme="minorEastAsia" w:hAnsiTheme="minorHAnsi"/>
              <w:noProof/>
              <w:color w:val="auto"/>
              <w:sz w:val="22"/>
              <w:szCs w:val="22"/>
            </w:rPr>
          </w:pPr>
          <w:hyperlink w:anchor="_Toc234260343" w:history="1">
            <w:r w:rsidRPr="00647CCD">
              <w:rPr>
                <w:rStyle w:val="Hyperlink"/>
                <w:noProof/>
              </w:rPr>
              <w:t>6.2. Consolidação das Metas Internacionais de Segurança do Paciente</w:t>
            </w:r>
            <w:r>
              <w:rPr>
                <w:noProof/>
                <w:webHidden/>
              </w:rPr>
              <w:tab/>
            </w:r>
            <w:r>
              <w:rPr>
                <w:noProof/>
                <w:webHidden/>
              </w:rPr>
              <w:fldChar w:fldCharType="begin"/>
            </w:r>
            <w:r>
              <w:rPr>
                <w:noProof/>
                <w:webHidden/>
              </w:rPr>
              <w:instrText xml:space="preserve"> PAGEREF _Toc234260343 \h </w:instrText>
            </w:r>
            <w:r>
              <w:rPr>
                <w:noProof/>
                <w:webHidden/>
              </w:rPr>
            </w:r>
            <w:r>
              <w:rPr>
                <w:noProof/>
                <w:webHidden/>
              </w:rPr>
              <w:fldChar w:fldCharType="separate"/>
            </w:r>
            <w:r w:rsidR="001931F8">
              <w:rPr>
                <w:noProof/>
                <w:webHidden/>
              </w:rPr>
              <w:t>14</w:t>
            </w:r>
            <w:r>
              <w:rPr>
                <w:noProof/>
                <w:webHidden/>
              </w:rPr>
              <w:fldChar w:fldCharType="end"/>
            </w:r>
          </w:hyperlink>
        </w:p>
        <w:p w14:paraId="230FE98E" w14:textId="36F536D9" w:rsidR="00BD3413" w:rsidRDefault="00BD3413">
          <w:pPr>
            <w:pStyle w:val="Sumrio2"/>
            <w:tabs>
              <w:tab w:val="right" w:leader="dot" w:pos="9032"/>
            </w:tabs>
            <w:rPr>
              <w:rFonts w:asciiTheme="minorHAnsi" w:eastAsiaTheme="minorEastAsia" w:hAnsiTheme="minorHAnsi"/>
              <w:noProof/>
              <w:color w:val="auto"/>
              <w:sz w:val="22"/>
              <w:szCs w:val="22"/>
            </w:rPr>
          </w:pPr>
          <w:hyperlink w:anchor="_Toc234260345" w:history="1">
            <w:r w:rsidRPr="00647CCD">
              <w:rPr>
                <w:rStyle w:val="Hyperlink"/>
                <w:noProof/>
              </w:rPr>
              <w:t>6.3. Implantação de Linhas de Cuidado Prioritárias</w:t>
            </w:r>
            <w:r>
              <w:rPr>
                <w:noProof/>
                <w:webHidden/>
              </w:rPr>
              <w:tab/>
            </w:r>
            <w:r>
              <w:rPr>
                <w:noProof/>
                <w:webHidden/>
              </w:rPr>
              <w:fldChar w:fldCharType="begin"/>
            </w:r>
            <w:r>
              <w:rPr>
                <w:noProof/>
                <w:webHidden/>
              </w:rPr>
              <w:instrText xml:space="preserve"> PAGEREF _Toc234260345 \h </w:instrText>
            </w:r>
            <w:r>
              <w:rPr>
                <w:noProof/>
                <w:webHidden/>
              </w:rPr>
            </w:r>
            <w:r>
              <w:rPr>
                <w:noProof/>
                <w:webHidden/>
              </w:rPr>
              <w:fldChar w:fldCharType="separate"/>
            </w:r>
            <w:r w:rsidR="001931F8">
              <w:rPr>
                <w:noProof/>
                <w:webHidden/>
              </w:rPr>
              <w:t>28</w:t>
            </w:r>
            <w:r>
              <w:rPr>
                <w:noProof/>
                <w:webHidden/>
              </w:rPr>
              <w:fldChar w:fldCharType="end"/>
            </w:r>
          </w:hyperlink>
        </w:p>
        <w:p w14:paraId="4C9EA613" w14:textId="2E7CD55C" w:rsidR="00BD3413" w:rsidRDefault="00BD3413">
          <w:pPr>
            <w:pStyle w:val="Sumrio2"/>
            <w:tabs>
              <w:tab w:val="right" w:leader="dot" w:pos="9032"/>
            </w:tabs>
            <w:rPr>
              <w:rFonts w:asciiTheme="minorHAnsi" w:eastAsiaTheme="minorEastAsia" w:hAnsiTheme="minorHAnsi"/>
              <w:noProof/>
              <w:color w:val="auto"/>
              <w:sz w:val="22"/>
              <w:szCs w:val="22"/>
            </w:rPr>
          </w:pPr>
          <w:hyperlink w:anchor="_Toc234260350" w:history="1">
            <w:r w:rsidRPr="00647CCD">
              <w:rPr>
                <w:rStyle w:val="Hyperlink"/>
                <w:noProof/>
              </w:rPr>
              <w:t>6.4. Governança Clínica e Sustentabilidade</w:t>
            </w:r>
            <w:r>
              <w:rPr>
                <w:noProof/>
                <w:webHidden/>
              </w:rPr>
              <w:tab/>
            </w:r>
            <w:r>
              <w:rPr>
                <w:noProof/>
                <w:webHidden/>
              </w:rPr>
              <w:fldChar w:fldCharType="begin"/>
            </w:r>
            <w:r>
              <w:rPr>
                <w:noProof/>
                <w:webHidden/>
              </w:rPr>
              <w:instrText xml:space="preserve"> PAGEREF _Toc234260350 \h </w:instrText>
            </w:r>
            <w:r>
              <w:rPr>
                <w:noProof/>
                <w:webHidden/>
              </w:rPr>
            </w:r>
            <w:r>
              <w:rPr>
                <w:noProof/>
                <w:webHidden/>
              </w:rPr>
              <w:fldChar w:fldCharType="separate"/>
            </w:r>
            <w:r w:rsidR="001931F8">
              <w:rPr>
                <w:noProof/>
                <w:webHidden/>
              </w:rPr>
              <w:t>45</w:t>
            </w:r>
            <w:r>
              <w:rPr>
                <w:noProof/>
                <w:webHidden/>
              </w:rPr>
              <w:fldChar w:fldCharType="end"/>
            </w:r>
          </w:hyperlink>
        </w:p>
        <w:p w14:paraId="7D5605D5" w14:textId="7812BFDC" w:rsidR="00BD3413" w:rsidRDefault="00BD3413">
          <w:pPr>
            <w:pStyle w:val="Sumrio2"/>
            <w:tabs>
              <w:tab w:val="right" w:leader="dot" w:pos="9032"/>
            </w:tabs>
            <w:rPr>
              <w:rFonts w:asciiTheme="minorHAnsi" w:eastAsiaTheme="minorEastAsia" w:hAnsiTheme="minorHAnsi"/>
              <w:noProof/>
              <w:color w:val="auto"/>
              <w:sz w:val="22"/>
              <w:szCs w:val="22"/>
            </w:rPr>
          </w:pPr>
          <w:hyperlink w:anchor="_Toc234260351" w:history="1">
            <w:r w:rsidRPr="00647CCD">
              <w:rPr>
                <w:rStyle w:val="Hyperlink"/>
                <w:noProof/>
              </w:rPr>
              <w:t>6.5. Cronograma Estratégico</w:t>
            </w:r>
            <w:r>
              <w:rPr>
                <w:noProof/>
                <w:webHidden/>
              </w:rPr>
              <w:tab/>
            </w:r>
            <w:r>
              <w:rPr>
                <w:noProof/>
                <w:webHidden/>
              </w:rPr>
              <w:fldChar w:fldCharType="begin"/>
            </w:r>
            <w:r>
              <w:rPr>
                <w:noProof/>
                <w:webHidden/>
              </w:rPr>
              <w:instrText xml:space="preserve"> PAGEREF _Toc234260351 \h </w:instrText>
            </w:r>
            <w:r>
              <w:rPr>
                <w:noProof/>
                <w:webHidden/>
              </w:rPr>
            </w:r>
            <w:r>
              <w:rPr>
                <w:noProof/>
                <w:webHidden/>
              </w:rPr>
              <w:fldChar w:fldCharType="separate"/>
            </w:r>
            <w:r w:rsidR="001931F8">
              <w:rPr>
                <w:noProof/>
                <w:webHidden/>
              </w:rPr>
              <w:t>47</w:t>
            </w:r>
            <w:r>
              <w:rPr>
                <w:noProof/>
                <w:webHidden/>
              </w:rPr>
              <w:fldChar w:fldCharType="end"/>
            </w:r>
          </w:hyperlink>
        </w:p>
        <w:p w14:paraId="534E340A" w14:textId="6AC8BDF5" w:rsidR="00BD3413" w:rsidRPr="006615C5" w:rsidRDefault="00BD3413" w:rsidP="00BD3413">
          <w:pPr>
            <w:pStyle w:val="Sumrio2"/>
            <w:tabs>
              <w:tab w:val="right" w:leader="dot" w:pos="9032"/>
            </w:tabs>
            <w:rPr>
              <w:rFonts w:asciiTheme="minorHAnsi" w:eastAsiaTheme="minorEastAsia" w:hAnsiTheme="minorHAnsi"/>
              <w:noProof/>
              <w:color w:val="auto"/>
              <w:sz w:val="22"/>
              <w:szCs w:val="22"/>
            </w:rPr>
          </w:pPr>
          <w:hyperlink w:anchor="_Toc234260357" w:history="1">
            <w:r w:rsidRPr="006615C5">
              <w:rPr>
                <w:rStyle w:val="Hyperlink"/>
                <w:rFonts w:cs="Arial"/>
                <w:noProof/>
              </w:rPr>
              <w:t>6.6 Resultados esperados</w:t>
            </w:r>
            <w:r w:rsidRPr="006615C5">
              <w:rPr>
                <w:noProof/>
                <w:webHidden/>
              </w:rPr>
              <w:tab/>
            </w:r>
            <w:r w:rsidRPr="006615C5">
              <w:rPr>
                <w:noProof/>
                <w:webHidden/>
              </w:rPr>
              <w:fldChar w:fldCharType="begin"/>
            </w:r>
            <w:r w:rsidRPr="006615C5">
              <w:rPr>
                <w:noProof/>
                <w:webHidden/>
              </w:rPr>
              <w:instrText xml:space="preserve"> PAGEREF _Toc234260357 \h </w:instrText>
            </w:r>
            <w:r w:rsidRPr="006615C5">
              <w:rPr>
                <w:noProof/>
                <w:webHidden/>
              </w:rPr>
            </w:r>
            <w:r w:rsidRPr="006615C5">
              <w:rPr>
                <w:noProof/>
                <w:webHidden/>
              </w:rPr>
              <w:fldChar w:fldCharType="separate"/>
            </w:r>
            <w:r w:rsidR="001931F8">
              <w:rPr>
                <w:noProof/>
                <w:webHidden/>
              </w:rPr>
              <w:t>51</w:t>
            </w:r>
            <w:r w:rsidRPr="006615C5">
              <w:rPr>
                <w:noProof/>
                <w:webHidden/>
              </w:rPr>
              <w:fldChar w:fldCharType="end"/>
            </w:r>
          </w:hyperlink>
        </w:p>
        <w:p w14:paraId="7A2F5393" w14:textId="6A2EE89D" w:rsidR="00BD3413" w:rsidRPr="006615C5" w:rsidRDefault="00BD3413" w:rsidP="00BD3413">
          <w:pPr>
            <w:pStyle w:val="Sumrio2"/>
            <w:tabs>
              <w:tab w:val="right" w:leader="dot" w:pos="9032"/>
            </w:tabs>
            <w:rPr>
              <w:rFonts w:asciiTheme="minorHAnsi" w:eastAsiaTheme="minorEastAsia" w:hAnsiTheme="minorHAnsi"/>
              <w:noProof/>
              <w:color w:val="auto"/>
              <w:sz w:val="22"/>
              <w:szCs w:val="22"/>
            </w:rPr>
          </w:pPr>
          <w:hyperlink w:anchor="_Toc234260358" w:history="1">
            <w:r w:rsidRPr="006615C5">
              <w:rPr>
                <w:rStyle w:val="Hyperlink"/>
                <w:rFonts w:cs="Arial"/>
                <w:noProof/>
              </w:rPr>
              <w:t>6.7 Melhoria dos Processos Assistenciais, Segurança do Paciente</w:t>
            </w:r>
            <w:r w:rsidRPr="006615C5">
              <w:rPr>
                <w:noProof/>
                <w:webHidden/>
              </w:rPr>
              <w:tab/>
            </w:r>
            <w:r w:rsidRPr="006615C5">
              <w:rPr>
                <w:noProof/>
                <w:webHidden/>
              </w:rPr>
              <w:fldChar w:fldCharType="begin"/>
            </w:r>
            <w:r w:rsidRPr="006615C5">
              <w:rPr>
                <w:noProof/>
                <w:webHidden/>
              </w:rPr>
              <w:instrText xml:space="preserve"> PAGEREF _Toc234260358 \h </w:instrText>
            </w:r>
            <w:r w:rsidRPr="006615C5">
              <w:rPr>
                <w:noProof/>
                <w:webHidden/>
              </w:rPr>
            </w:r>
            <w:r w:rsidRPr="006615C5">
              <w:rPr>
                <w:noProof/>
                <w:webHidden/>
              </w:rPr>
              <w:fldChar w:fldCharType="separate"/>
            </w:r>
            <w:r w:rsidR="001931F8">
              <w:rPr>
                <w:noProof/>
                <w:webHidden/>
              </w:rPr>
              <w:t>51</w:t>
            </w:r>
            <w:r w:rsidRPr="006615C5">
              <w:rPr>
                <w:noProof/>
                <w:webHidden/>
              </w:rPr>
              <w:fldChar w:fldCharType="end"/>
            </w:r>
          </w:hyperlink>
        </w:p>
        <w:p w14:paraId="1E9E23A1" w14:textId="7BEB840B" w:rsidR="00BD3413" w:rsidRDefault="00BD3413">
          <w:pPr>
            <w:pStyle w:val="Sumrio2"/>
            <w:tabs>
              <w:tab w:val="right" w:leader="dot" w:pos="9032"/>
            </w:tabs>
            <w:rPr>
              <w:rFonts w:asciiTheme="minorHAnsi" w:eastAsiaTheme="minorEastAsia" w:hAnsiTheme="minorHAnsi"/>
              <w:noProof/>
              <w:color w:val="auto"/>
              <w:sz w:val="22"/>
              <w:szCs w:val="22"/>
            </w:rPr>
          </w:pPr>
          <w:hyperlink w:anchor="_Toc234260363" w:history="1">
            <w:r w:rsidRPr="00647CCD">
              <w:rPr>
                <w:rStyle w:val="Hyperlink"/>
                <w:noProof/>
              </w:rPr>
              <w:t>6.8. Valorização dos Colaboradores</w:t>
            </w:r>
            <w:r>
              <w:rPr>
                <w:noProof/>
                <w:webHidden/>
              </w:rPr>
              <w:tab/>
            </w:r>
            <w:r>
              <w:rPr>
                <w:noProof/>
                <w:webHidden/>
              </w:rPr>
              <w:fldChar w:fldCharType="begin"/>
            </w:r>
            <w:r>
              <w:rPr>
                <w:noProof/>
                <w:webHidden/>
              </w:rPr>
              <w:instrText xml:space="preserve"> PAGEREF _Toc234260363 \h </w:instrText>
            </w:r>
            <w:r>
              <w:rPr>
                <w:noProof/>
                <w:webHidden/>
              </w:rPr>
            </w:r>
            <w:r>
              <w:rPr>
                <w:noProof/>
                <w:webHidden/>
              </w:rPr>
              <w:fldChar w:fldCharType="separate"/>
            </w:r>
            <w:r w:rsidR="001931F8">
              <w:rPr>
                <w:noProof/>
                <w:webHidden/>
              </w:rPr>
              <w:t>57</w:t>
            </w:r>
            <w:r>
              <w:rPr>
                <w:noProof/>
                <w:webHidden/>
              </w:rPr>
              <w:fldChar w:fldCharType="end"/>
            </w:r>
          </w:hyperlink>
        </w:p>
        <w:p w14:paraId="33C99DFF" w14:textId="447D8772" w:rsidR="00BD3413" w:rsidRDefault="00BD3413">
          <w:pPr>
            <w:pStyle w:val="Sumrio1"/>
            <w:tabs>
              <w:tab w:val="right" w:leader="dot" w:pos="9032"/>
            </w:tabs>
            <w:rPr>
              <w:rFonts w:asciiTheme="minorHAnsi" w:eastAsiaTheme="minorEastAsia" w:hAnsiTheme="minorHAnsi"/>
              <w:noProof/>
              <w:color w:val="auto"/>
              <w:sz w:val="22"/>
              <w:szCs w:val="22"/>
            </w:rPr>
          </w:pPr>
          <w:hyperlink w:anchor="_Toc234260364" w:history="1">
            <w:r w:rsidRPr="00647CCD">
              <w:rPr>
                <w:rStyle w:val="Hyperlink"/>
                <w:noProof/>
              </w:rPr>
              <w:t>7. Soluções Tecnológicas e Inovação</w:t>
            </w:r>
            <w:r>
              <w:rPr>
                <w:noProof/>
                <w:webHidden/>
              </w:rPr>
              <w:tab/>
            </w:r>
            <w:r>
              <w:rPr>
                <w:noProof/>
                <w:webHidden/>
              </w:rPr>
              <w:fldChar w:fldCharType="begin"/>
            </w:r>
            <w:r>
              <w:rPr>
                <w:noProof/>
                <w:webHidden/>
              </w:rPr>
              <w:instrText xml:space="preserve"> PAGEREF _Toc234260364 \h </w:instrText>
            </w:r>
            <w:r>
              <w:rPr>
                <w:noProof/>
                <w:webHidden/>
              </w:rPr>
            </w:r>
            <w:r>
              <w:rPr>
                <w:noProof/>
                <w:webHidden/>
              </w:rPr>
              <w:fldChar w:fldCharType="separate"/>
            </w:r>
            <w:r w:rsidR="001931F8">
              <w:rPr>
                <w:noProof/>
                <w:webHidden/>
              </w:rPr>
              <w:t>61</w:t>
            </w:r>
            <w:r>
              <w:rPr>
                <w:noProof/>
                <w:webHidden/>
              </w:rPr>
              <w:fldChar w:fldCharType="end"/>
            </w:r>
          </w:hyperlink>
        </w:p>
        <w:p w14:paraId="72169269" w14:textId="105D1BCD" w:rsidR="00BD3413" w:rsidRDefault="00BD3413" w:rsidP="006615C5">
          <w:pPr>
            <w:pStyle w:val="Sumrio1"/>
            <w:tabs>
              <w:tab w:val="right" w:leader="dot" w:pos="9032"/>
            </w:tabs>
            <w:rPr>
              <w:rFonts w:asciiTheme="minorHAnsi" w:eastAsiaTheme="minorEastAsia" w:hAnsiTheme="minorHAnsi"/>
              <w:noProof/>
              <w:color w:val="auto"/>
              <w:sz w:val="22"/>
              <w:szCs w:val="22"/>
            </w:rPr>
          </w:pPr>
          <w:hyperlink w:anchor="_Toc234260372" w:history="1">
            <w:r w:rsidRPr="00647CCD">
              <w:rPr>
                <w:rStyle w:val="Hyperlink"/>
                <w:noProof/>
              </w:rPr>
              <w:t xml:space="preserve">8. Procedimentos de Alta Complexidade </w:t>
            </w:r>
            <w:r w:rsidRPr="00647CCD">
              <w:rPr>
                <w:rStyle w:val="Hyperlink"/>
                <w:bCs/>
                <w:noProof/>
              </w:rPr>
              <w:t>e Marcos Assistenciais</w:t>
            </w:r>
            <w:r>
              <w:rPr>
                <w:noProof/>
                <w:webHidden/>
              </w:rPr>
              <w:tab/>
            </w:r>
            <w:r>
              <w:rPr>
                <w:noProof/>
                <w:webHidden/>
              </w:rPr>
              <w:fldChar w:fldCharType="begin"/>
            </w:r>
            <w:r>
              <w:rPr>
                <w:noProof/>
                <w:webHidden/>
              </w:rPr>
              <w:instrText xml:space="preserve"> PAGEREF _Toc234260372 \h </w:instrText>
            </w:r>
            <w:r>
              <w:rPr>
                <w:noProof/>
                <w:webHidden/>
              </w:rPr>
            </w:r>
            <w:r>
              <w:rPr>
                <w:noProof/>
                <w:webHidden/>
              </w:rPr>
              <w:fldChar w:fldCharType="separate"/>
            </w:r>
            <w:r w:rsidR="001931F8">
              <w:rPr>
                <w:noProof/>
                <w:webHidden/>
              </w:rPr>
              <w:t>64</w:t>
            </w:r>
            <w:r>
              <w:rPr>
                <w:noProof/>
                <w:webHidden/>
              </w:rPr>
              <w:fldChar w:fldCharType="end"/>
            </w:r>
          </w:hyperlink>
        </w:p>
        <w:p w14:paraId="66FBB809" w14:textId="26F0AD4E" w:rsidR="00BD3413" w:rsidRDefault="00BD3413" w:rsidP="006615C5">
          <w:pPr>
            <w:pStyle w:val="Sumrio1"/>
            <w:tabs>
              <w:tab w:val="right" w:leader="dot" w:pos="9032"/>
            </w:tabs>
            <w:rPr>
              <w:rFonts w:asciiTheme="minorHAnsi" w:eastAsiaTheme="minorEastAsia" w:hAnsiTheme="minorHAnsi"/>
              <w:noProof/>
              <w:color w:val="auto"/>
              <w:sz w:val="22"/>
              <w:szCs w:val="22"/>
            </w:rPr>
          </w:pPr>
          <w:hyperlink w:anchor="_Toc234260373" w:history="1">
            <w:r w:rsidRPr="00647CCD">
              <w:rPr>
                <w:rStyle w:val="Hyperlink"/>
                <w:noProof/>
              </w:rPr>
              <w:t>9. Economia Gerada</w:t>
            </w:r>
            <w:r>
              <w:rPr>
                <w:noProof/>
                <w:webHidden/>
              </w:rPr>
              <w:tab/>
            </w:r>
            <w:r>
              <w:rPr>
                <w:noProof/>
                <w:webHidden/>
              </w:rPr>
              <w:fldChar w:fldCharType="begin"/>
            </w:r>
            <w:r>
              <w:rPr>
                <w:noProof/>
                <w:webHidden/>
              </w:rPr>
              <w:instrText xml:space="preserve"> PAGEREF _Toc234260373 \h </w:instrText>
            </w:r>
            <w:r>
              <w:rPr>
                <w:noProof/>
                <w:webHidden/>
              </w:rPr>
            </w:r>
            <w:r>
              <w:rPr>
                <w:noProof/>
                <w:webHidden/>
              </w:rPr>
              <w:fldChar w:fldCharType="separate"/>
            </w:r>
            <w:r w:rsidR="001931F8">
              <w:rPr>
                <w:noProof/>
                <w:webHidden/>
              </w:rPr>
              <w:t>65</w:t>
            </w:r>
            <w:r>
              <w:rPr>
                <w:noProof/>
                <w:webHidden/>
              </w:rPr>
              <w:fldChar w:fldCharType="end"/>
            </w:r>
          </w:hyperlink>
        </w:p>
        <w:p w14:paraId="61D00EB4" w14:textId="6A02CB5C" w:rsidR="00BD3413" w:rsidRDefault="00BD3413">
          <w:pPr>
            <w:pStyle w:val="Sumrio1"/>
            <w:tabs>
              <w:tab w:val="right" w:leader="dot" w:pos="9032"/>
            </w:tabs>
            <w:rPr>
              <w:rFonts w:asciiTheme="minorHAnsi" w:eastAsiaTheme="minorEastAsia" w:hAnsiTheme="minorHAnsi"/>
              <w:noProof/>
              <w:color w:val="auto"/>
              <w:sz w:val="22"/>
              <w:szCs w:val="22"/>
            </w:rPr>
          </w:pPr>
          <w:hyperlink w:anchor="_Toc234260374" w:history="1">
            <w:r w:rsidRPr="00647CCD">
              <w:rPr>
                <w:rStyle w:val="Hyperlink"/>
                <w:noProof/>
              </w:rPr>
              <w:t>10. Operações</w:t>
            </w:r>
            <w:r>
              <w:rPr>
                <w:noProof/>
                <w:webHidden/>
              </w:rPr>
              <w:tab/>
            </w:r>
            <w:r>
              <w:rPr>
                <w:noProof/>
                <w:webHidden/>
              </w:rPr>
              <w:fldChar w:fldCharType="begin"/>
            </w:r>
            <w:r>
              <w:rPr>
                <w:noProof/>
                <w:webHidden/>
              </w:rPr>
              <w:instrText xml:space="preserve"> PAGEREF _Toc234260374 \h </w:instrText>
            </w:r>
            <w:r>
              <w:rPr>
                <w:noProof/>
                <w:webHidden/>
              </w:rPr>
            </w:r>
            <w:r>
              <w:rPr>
                <w:noProof/>
                <w:webHidden/>
              </w:rPr>
              <w:fldChar w:fldCharType="separate"/>
            </w:r>
            <w:r w:rsidR="001931F8">
              <w:rPr>
                <w:noProof/>
                <w:webHidden/>
              </w:rPr>
              <w:t>67</w:t>
            </w:r>
            <w:r>
              <w:rPr>
                <w:noProof/>
                <w:webHidden/>
              </w:rPr>
              <w:fldChar w:fldCharType="end"/>
            </w:r>
          </w:hyperlink>
        </w:p>
        <w:p w14:paraId="05D0FCA4" w14:textId="2A092A60" w:rsidR="00BD3413" w:rsidRDefault="00BD3413">
          <w:pPr>
            <w:pStyle w:val="Sumrio2"/>
            <w:tabs>
              <w:tab w:val="right" w:leader="dot" w:pos="9032"/>
            </w:tabs>
            <w:rPr>
              <w:rFonts w:asciiTheme="minorHAnsi" w:eastAsiaTheme="minorEastAsia" w:hAnsiTheme="minorHAnsi"/>
              <w:noProof/>
              <w:color w:val="auto"/>
              <w:sz w:val="22"/>
              <w:szCs w:val="22"/>
            </w:rPr>
          </w:pPr>
          <w:hyperlink w:anchor="_Toc234260375" w:history="1">
            <w:r w:rsidRPr="00647CCD">
              <w:rPr>
                <w:rStyle w:val="Hyperlink"/>
                <w:noProof/>
              </w:rPr>
              <w:t>10.1. Facilities (Higienização, Rouparia, Resíduos)</w:t>
            </w:r>
            <w:r>
              <w:rPr>
                <w:noProof/>
                <w:webHidden/>
              </w:rPr>
              <w:tab/>
            </w:r>
            <w:r>
              <w:rPr>
                <w:noProof/>
                <w:webHidden/>
              </w:rPr>
              <w:fldChar w:fldCharType="begin"/>
            </w:r>
            <w:r>
              <w:rPr>
                <w:noProof/>
                <w:webHidden/>
              </w:rPr>
              <w:instrText xml:space="preserve"> PAGEREF _Toc234260375 \h </w:instrText>
            </w:r>
            <w:r>
              <w:rPr>
                <w:noProof/>
                <w:webHidden/>
              </w:rPr>
            </w:r>
            <w:r>
              <w:rPr>
                <w:noProof/>
                <w:webHidden/>
              </w:rPr>
              <w:fldChar w:fldCharType="separate"/>
            </w:r>
            <w:r w:rsidR="001931F8">
              <w:rPr>
                <w:noProof/>
                <w:webHidden/>
              </w:rPr>
              <w:t>67</w:t>
            </w:r>
            <w:r>
              <w:rPr>
                <w:noProof/>
                <w:webHidden/>
              </w:rPr>
              <w:fldChar w:fldCharType="end"/>
            </w:r>
          </w:hyperlink>
        </w:p>
        <w:p w14:paraId="3D78CC9C" w14:textId="1640B129" w:rsidR="00BD3413" w:rsidRDefault="00BD3413">
          <w:pPr>
            <w:pStyle w:val="Sumrio3"/>
            <w:tabs>
              <w:tab w:val="right" w:leader="dot" w:pos="9032"/>
            </w:tabs>
            <w:rPr>
              <w:rFonts w:asciiTheme="minorHAnsi" w:eastAsiaTheme="minorEastAsia" w:hAnsiTheme="minorHAnsi"/>
              <w:noProof/>
              <w:color w:val="auto"/>
              <w:sz w:val="22"/>
              <w:szCs w:val="22"/>
            </w:rPr>
          </w:pPr>
          <w:hyperlink w:anchor="_Toc234260376" w:history="1">
            <w:r w:rsidRPr="00647CCD">
              <w:rPr>
                <w:rStyle w:val="Hyperlink"/>
                <w:rFonts w:cs="Arial"/>
                <w:noProof/>
              </w:rPr>
              <w:t>10.1.1 Higienização</w:t>
            </w:r>
            <w:r>
              <w:rPr>
                <w:noProof/>
                <w:webHidden/>
              </w:rPr>
              <w:tab/>
            </w:r>
            <w:r>
              <w:rPr>
                <w:noProof/>
                <w:webHidden/>
              </w:rPr>
              <w:fldChar w:fldCharType="begin"/>
            </w:r>
            <w:r>
              <w:rPr>
                <w:noProof/>
                <w:webHidden/>
              </w:rPr>
              <w:instrText xml:space="preserve"> PAGEREF _Toc234260376 \h </w:instrText>
            </w:r>
            <w:r>
              <w:rPr>
                <w:noProof/>
                <w:webHidden/>
              </w:rPr>
            </w:r>
            <w:r>
              <w:rPr>
                <w:noProof/>
                <w:webHidden/>
              </w:rPr>
              <w:fldChar w:fldCharType="separate"/>
            </w:r>
            <w:r w:rsidR="001931F8">
              <w:rPr>
                <w:noProof/>
                <w:webHidden/>
              </w:rPr>
              <w:t>67</w:t>
            </w:r>
            <w:r>
              <w:rPr>
                <w:noProof/>
                <w:webHidden/>
              </w:rPr>
              <w:fldChar w:fldCharType="end"/>
            </w:r>
          </w:hyperlink>
        </w:p>
        <w:p w14:paraId="5E4E5CE1" w14:textId="099DA69E" w:rsidR="00BD3413" w:rsidRDefault="00BD3413">
          <w:pPr>
            <w:pStyle w:val="Sumrio3"/>
            <w:tabs>
              <w:tab w:val="right" w:leader="dot" w:pos="9032"/>
            </w:tabs>
            <w:rPr>
              <w:rFonts w:asciiTheme="minorHAnsi" w:eastAsiaTheme="minorEastAsia" w:hAnsiTheme="minorHAnsi"/>
              <w:noProof/>
              <w:color w:val="auto"/>
              <w:sz w:val="22"/>
              <w:szCs w:val="22"/>
            </w:rPr>
          </w:pPr>
          <w:hyperlink w:anchor="_Toc234260377" w:history="1">
            <w:r w:rsidRPr="00647CCD">
              <w:rPr>
                <w:rStyle w:val="Hyperlink"/>
                <w:rFonts w:cs="Arial"/>
                <w:noProof/>
              </w:rPr>
              <w:t>10.1.2 Rouparia</w:t>
            </w:r>
            <w:r>
              <w:rPr>
                <w:noProof/>
                <w:webHidden/>
              </w:rPr>
              <w:tab/>
            </w:r>
            <w:r>
              <w:rPr>
                <w:noProof/>
                <w:webHidden/>
              </w:rPr>
              <w:fldChar w:fldCharType="begin"/>
            </w:r>
            <w:r>
              <w:rPr>
                <w:noProof/>
                <w:webHidden/>
              </w:rPr>
              <w:instrText xml:space="preserve"> PAGEREF _Toc234260377 \h </w:instrText>
            </w:r>
            <w:r>
              <w:rPr>
                <w:noProof/>
                <w:webHidden/>
              </w:rPr>
            </w:r>
            <w:r>
              <w:rPr>
                <w:noProof/>
                <w:webHidden/>
              </w:rPr>
              <w:fldChar w:fldCharType="separate"/>
            </w:r>
            <w:r w:rsidR="001931F8">
              <w:rPr>
                <w:noProof/>
                <w:webHidden/>
              </w:rPr>
              <w:t>69</w:t>
            </w:r>
            <w:r>
              <w:rPr>
                <w:noProof/>
                <w:webHidden/>
              </w:rPr>
              <w:fldChar w:fldCharType="end"/>
            </w:r>
          </w:hyperlink>
        </w:p>
        <w:p w14:paraId="7F4E0644" w14:textId="258DB4FC" w:rsidR="00BD3413" w:rsidRDefault="00BD3413">
          <w:pPr>
            <w:pStyle w:val="Sumrio3"/>
            <w:tabs>
              <w:tab w:val="right" w:leader="dot" w:pos="9032"/>
            </w:tabs>
            <w:rPr>
              <w:rFonts w:asciiTheme="minorHAnsi" w:eastAsiaTheme="minorEastAsia" w:hAnsiTheme="minorHAnsi"/>
              <w:noProof/>
              <w:color w:val="auto"/>
              <w:sz w:val="22"/>
              <w:szCs w:val="22"/>
            </w:rPr>
          </w:pPr>
          <w:hyperlink w:anchor="_Toc234260378" w:history="1">
            <w:r w:rsidRPr="00647CCD">
              <w:rPr>
                <w:rStyle w:val="Hyperlink"/>
                <w:rFonts w:cs="Arial"/>
                <w:noProof/>
              </w:rPr>
              <w:t>10.1.3 Resíduos</w:t>
            </w:r>
            <w:r>
              <w:rPr>
                <w:noProof/>
                <w:webHidden/>
              </w:rPr>
              <w:tab/>
            </w:r>
            <w:r>
              <w:rPr>
                <w:noProof/>
                <w:webHidden/>
              </w:rPr>
              <w:fldChar w:fldCharType="begin"/>
            </w:r>
            <w:r>
              <w:rPr>
                <w:noProof/>
                <w:webHidden/>
              </w:rPr>
              <w:instrText xml:space="preserve"> PAGEREF _Toc234260378 \h </w:instrText>
            </w:r>
            <w:r>
              <w:rPr>
                <w:noProof/>
                <w:webHidden/>
              </w:rPr>
            </w:r>
            <w:r>
              <w:rPr>
                <w:noProof/>
                <w:webHidden/>
              </w:rPr>
              <w:fldChar w:fldCharType="separate"/>
            </w:r>
            <w:r w:rsidR="001931F8">
              <w:rPr>
                <w:noProof/>
                <w:webHidden/>
              </w:rPr>
              <w:t>70</w:t>
            </w:r>
            <w:r>
              <w:rPr>
                <w:noProof/>
                <w:webHidden/>
              </w:rPr>
              <w:fldChar w:fldCharType="end"/>
            </w:r>
          </w:hyperlink>
        </w:p>
        <w:p w14:paraId="6F53596F" w14:textId="614D07D0" w:rsidR="00BD3413" w:rsidRDefault="00BD3413">
          <w:pPr>
            <w:pStyle w:val="Sumrio2"/>
            <w:tabs>
              <w:tab w:val="right" w:leader="dot" w:pos="9032"/>
            </w:tabs>
            <w:rPr>
              <w:rFonts w:asciiTheme="minorHAnsi" w:eastAsiaTheme="minorEastAsia" w:hAnsiTheme="minorHAnsi"/>
              <w:noProof/>
              <w:color w:val="auto"/>
              <w:sz w:val="22"/>
              <w:szCs w:val="22"/>
            </w:rPr>
          </w:pPr>
          <w:hyperlink w:anchor="_Toc234260379" w:history="1">
            <w:r w:rsidRPr="00647CCD">
              <w:rPr>
                <w:rStyle w:val="Hyperlink"/>
                <w:noProof/>
              </w:rPr>
              <w:t>10.2. Projetos e Obras</w:t>
            </w:r>
            <w:r>
              <w:rPr>
                <w:noProof/>
                <w:webHidden/>
              </w:rPr>
              <w:tab/>
            </w:r>
            <w:r>
              <w:rPr>
                <w:noProof/>
                <w:webHidden/>
              </w:rPr>
              <w:fldChar w:fldCharType="begin"/>
            </w:r>
            <w:r>
              <w:rPr>
                <w:noProof/>
                <w:webHidden/>
              </w:rPr>
              <w:instrText xml:space="preserve"> PAGEREF _Toc234260379 \h </w:instrText>
            </w:r>
            <w:r>
              <w:rPr>
                <w:noProof/>
                <w:webHidden/>
              </w:rPr>
            </w:r>
            <w:r>
              <w:rPr>
                <w:noProof/>
                <w:webHidden/>
              </w:rPr>
              <w:fldChar w:fldCharType="separate"/>
            </w:r>
            <w:r w:rsidR="001931F8">
              <w:rPr>
                <w:noProof/>
                <w:webHidden/>
              </w:rPr>
              <w:t>71</w:t>
            </w:r>
            <w:r>
              <w:rPr>
                <w:noProof/>
                <w:webHidden/>
              </w:rPr>
              <w:fldChar w:fldCharType="end"/>
            </w:r>
          </w:hyperlink>
        </w:p>
        <w:p w14:paraId="29F82B0F" w14:textId="027A2EB1" w:rsidR="00BD3413" w:rsidRDefault="00BD3413">
          <w:pPr>
            <w:pStyle w:val="Sumrio2"/>
            <w:tabs>
              <w:tab w:val="right" w:leader="dot" w:pos="9032"/>
            </w:tabs>
            <w:rPr>
              <w:rFonts w:asciiTheme="minorHAnsi" w:eastAsiaTheme="minorEastAsia" w:hAnsiTheme="minorHAnsi"/>
              <w:noProof/>
              <w:color w:val="auto"/>
              <w:sz w:val="22"/>
              <w:szCs w:val="22"/>
            </w:rPr>
          </w:pPr>
          <w:hyperlink w:anchor="_Toc234260382" w:history="1">
            <w:r w:rsidRPr="00647CCD">
              <w:rPr>
                <w:rStyle w:val="Hyperlink"/>
                <w:noProof/>
              </w:rPr>
              <w:t>10.3 Manutenção Predial</w:t>
            </w:r>
            <w:r>
              <w:rPr>
                <w:noProof/>
                <w:webHidden/>
              </w:rPr>
              <w:tab/>
            </w:r>
            <w:r>
              <w:rPr>
                <w:noProof/>
                <w:webHidden/>
              </w:rPr>
              <w:fldChar w:fldCharType="begin"/>
            </w:r>
            <w:r>
              <w:rPr>
                <w:noProof/>
                <w:webHidden/>
              </w:rPr>
              <w:instrText xml:space="preserve"> PAGEREF _Toc234260382 \h </w:instrText>
            </w:r>
            <w:r>
              <w:rPr>
                <w:noProof/>
                <w:webHidden/>
              </w:rPr>
            </w:r>
            <w:r>
              <w:rPr>
                <w:noProof/>
                <w:webHidden/>
              </w:rPr>
              <w:fldChar w:fldCharType="separate"/>
            </w:r>
            <w:r w:rsidR="001931F8">
              <w:rPr>
                <w:noProof/>
                <w:webHidden/>
              </w:rPr>
              <w:t>73</w:t>
            </w:r>
            <w:r>
              <w:rPr>
                <w:noProof/>
                <w:webHidden/>
              </w:rPr>
              <w:fldChar w:fldCharType="end"/>
            </w:r>
          </w:hyperlink>
        </w:p>
        <w:p w14:paraId="3098A256" w14:textId="4525DB8D" w:rsidR="00BD3413" w:rsidRDefault="00BD3413">
          <w:pPr>
            <w:pStyle w:val="Sumrio2"/>
            <w:tabs>
              <w:tab w:val="right" w:leader="dot" w:pos="9032"/>
            </w:tabs>
            <w:rPr>
              <w:rFonts w:asciiTheme="minorHAnsi" w:eastAsiaTheme="minorEastAsia" w:hAnsiTheme="minorHAnsi"/>
              <w:noProof/>
              <w:color w:val="auto"/>
              <w:sz w:val="22"/>
              <w:szCs w:val="22"/>
            </w:rPr>
          </w:pPr>
          <w:hyperlink w:anchor="_Toc234260383" w:history="1">
            <w:r w:rsidRPr="00647CCD">
              <w:rPr>
                <w:rStyle w:val="Hyperlink"/>
                <w:noProof/>
              </w:rPr>
              <w:t>10.4. Segurança Patrimonial</w:t>
            </w:r>
            <w:r>
              <w:rPr>
                <w:noProof/>
                <w:webHidden/>
              </w:rPr>
              <w:tab/>
            </w:r>
            <w:r>
              <w:rPr>
                <w:noProof/>
                <w:webHidden/>
              </w:rPr>
              <w:fldChar w:fldCharType="begin"/>
            </w:r>
            <w:r>
              <w:rPr>
                <w:noProof/>
                <w:webHidden/>
              </w:rPr>
              <w:instrText xml:space="preserve"> PAGEREF _Toc234260383 \h </w:instrText>
            </w:r>
            <w:r>
              <w:rPr>
                <w:noProof/>
                <w:webHidden/>
              </w:rPr>
            </w:r>
            <w:r>
              <w:rPr>
                <w:noProof/>
                <w:webHidden/>
              </w:rPr>
              <w:fldChar w:fldCharType="separate"/>
            </w:r>
            <w:r w:rsidR="001931F8">
              <w:rPr>
                <w:noProof/>
                <w:webHidden/>
              </w:rPr>
              <w:t>77</w:t>
            </w:r>
            <w:r>
              <w:rPr>
                <w:noProof/>
                <w:webHidden/>
              </w:rPr>
              <w:fldChar w:fldCharType="end"/>
            </w:r>
          </w:hyperlink>
        </w:p>
        <w:p w14:paraId="6A988672" w14:textId="230045C6" w:rsidR="00BD3413" w:rsidRDefault="00BD3413">
          <w:pPr>
            <w:pStyle w:val="Sumrio2"/>
            <w:tabs>
              <w:tab w:val="right" w:leader="dot" w:pos="9032"/>
            </w:tabs>
            <w:rPr>
              <w:rFonts w:asciiTheme="minorHAnsi" w:eastAsiaTheme="minorEastAsia" w:hAnsiTheme="minorHAnsi"/>
              <w:noProof/>
              <w:color w:val="auto"/>
              <w:sz w:val="22"/>
              <w:szCs w:val="22"/>
            </w:rPr>
          </w:pPr>
          <w:hyperlink w:anchor="_Toc234260384" w:history="1">
            <w:r w:rsidRPr="00647CCD">
              <w:rPr>
                <w:rStyle w:val="Hyperlink"/>
                <w:noProof/>
              </w:rPr>
              <w:t>10.5 Engenharia Clínica</w:t>
            </w:r>
            <w:r>
              <w:rPr>
                <w:noProof/>
                <w:webHidden/>
              </w:rPr>
              <w:tab/>
            </w:r>
            <w:r>
              <w:rPr>
                <w:noProof/>
                <w:webHidden/>
              </w:rPr>
              <w:fldChar w:fldCharType="begin"/>
            </w:r>
            <w:r>
              <w:rPr>
                <w:noProof/>
                <w:webHidden/>
              </w:rPr>
              <w:instrText xml:space="preserve"> PAGEREF _Toc234260384 \h </w:instrText>
            </w:r>
            <w:r>
              <w:rPr>
                <w:noProof/>
                <w:webHidden/>
              </w:rPr>
            </w:r>
            <w:r>
              <w:rPr>
                <w:noProof/>
                <w:webHidden/>
              </w:rPr>
              <w:fldChar w:fldCharType="separate"/>
            </w:r>
            <w:r w:rsidR="001931F8">
              <w:rPr>
                <w:noProof/>
                <w:webHidden/>
              </w:rPr>
              <w:t>79</w:t>
            </w:r>
            <w:r>
              <w:rPr>
                <w:noProof/>
                <w:webHidden/>
              </w:rPr>
              <w:fldChar w:fldCharType="end"/>
            </w:r>
          </w:hyperlink>
        </w:p>
        <w:p w14:paraId="786AAF02" w14:textId="6DDEAAA6" w:rsidR="00BD3413" w:rsidRDefault="00BD3413">
          <w:pPr>
            <w:pStyle w:val="Sumrio1"/>
            <w:tabs>
              <w:tab w:val="right" w:leader="dot" w:pos="9032"/>
            </w:tabs>
            <w:rPr>
              <w:rFonts w:asciiTheme="minorHAnsi" w:eastAsiaTheme="minorEastAsia" w:hAnsiTheme="minorHAnsi"/>
              <w:noProof/>
              <w:color w:val="auto"/>
              <w:sz w:val="22"/>
              <w:szCs w:val="22"/>
            </w:rPr>
          </w:pPr>
          <w:hyperlink w:anchor="_Toc234260385" w:history="1">
            <w:r w:rsidRPr="00647CCD">
              <w:rPr>
                <w:rStyle w:val="Hyperlink"/>
                <w:bCs/>
                <w:noProof/>
              </w:rPr>
              <w:t>11. Núcleo de Práticas, Qualidade e Segurança do Paciente</w:t>
            </w:r>
            <w:r>
              <w:rPr>
                <w:noProof/>
                <w:webHidden/>
              </w:rPr>
              <w:tab/>
            </w:r>
            <w:r>
              <w:rPr>
                <w:noProof/>
                <w:webHidden/>
              </w:rPr>
              <w:fldChar w:fldCharType="begin"/>
            </w:r>
            <w:r>
              <w:rPr>
                <w:noProof/>
                <w:webHidden/>
              </w:rPr>
              <w:instrText xml:space="preserve"> PAGEREF _Toc234260385 \h </w:instrText>
            </w:r>
            <w:r>
              <w:rPr>
                <w:noProof/>
                <w:webHidden/>
              </w:rPr>
            </w:r>
            <w:r>
              <w:rPr>
                <w:noProof/>
                <w:webHidden/>
              </w:rPr>
              <w:fldChar w:fldCharType="separate"/>
            </w:r>
            <w:r w:rsidR="001931F8">
              <w:rPr>
                <w:noProof/>
                <w:webHidden/>
              </w:rPr>
              <w:t>84</w:t>
            </w:r>
            <w:r>
              <w:rPr>
                <w:noProof/>
                <w:webHidden/>
              </w:rPr>
              <w:fldChar w:fldCharType="end"/>
            </w:r>
          </w:hyperlink>
        </w:p>
        <w:p w14:paraId="2FC8D9A3" w14:textId="10C0B1B5" w:rsidR="00BD3413" w:rsidRDefault="00BD3413">
          <w:pPr>
            <w:pStyle w:val="Sumrio1"/>
            <w:tabs>
              <w:tab w:val="right" w:leader="dot" w:pos="9032"/>
            </w:tabs>
            <w:rPr>
              <w:rFonts w:asciiTheme="minorHAnsi" w:eastAsiaTheme="minorEastAsia" w:hAnsiTheme="minorHAnsi"/>
              <w:noProof/>
              <w:color w:val="auto"/>
              <w:sz w:val="22"/>
              <w:szCs w:val="22"/>
            </w:rPr>
          </w:pPr>
          <w:hyperlink w:anchor="_Toc234260386" w:history="1">
            <w:r w:rsidRPr="00647CCD">
              <w:rPr>
                <w:rStyle w:val="Hyperlink"/>
                <w:noProof/>
              </w:rPr>
              <w:t>12. Ensino Corporativo</w:t>
            </w:r>
            <w:r>
              <w:rPr>
                <w:noProof/>
                <w:webHidden/>
              </w:rPr>
              <w:tab/>
            </w:r>
            <w:r>
              <w:rPr>
                <w:noProof/>
                <w:webHidden/>
              </w:rPr>
              <w:fldChar w:fldCharType="begin"/>
            </w:r>
            <w:r>
              <w:rPr>
                <w:noProof/>
                <w:webHidden/>
              </w:rPr>
              <w:instrText xml:space="preserve"> PAGEREF _Toc234260386 \h </w:instrText>
            </w:r>
            <w:r>
              <w:rPr>
                <w:noProof/>
                <w:webHidden/>
              </w:rPr>
            </w:r>
            <w:r>
              <w:rPr>
                <w:noProof/>
                <w:webHidden/>
              </w:rPr>
              <w:fldChar w:fldCharType="separate"/>
            </w:r>
            <w:r w:rsidR="001931F8">
              <w:rPr>
                <w:noProof/>
                <w:webHidden/>
              </w:rPr>
              <w:t>89</w:t>
            </w:r>
            <w:r>
              <w:rPr>
                <w:noProof/>
                <w:webHidden/>
              </w:rPr>
              <w:fldChar w:fldCharType="end"/>
            </w:r>
          </w:hyperlink>
        </w:p>
        <w:p w14:paraId="6F2635E8" w14:textId="388E8A83" w:rsidR="1B0A4126" w:rsidRPr="00DE5669" w:rsidRDefault="1B0A4126" w:rsidP="1B0A4126">
          <w:pPr>
            <w:pStyle w:val="Sumrio1"/>
            <w:tabs>
              <w:tab w:val="right" w:leader="dot" w:pos="9030"/>
            </w:tabs>
            <w:rPr>
              <w:rStyle w:val="Hyperlink"/>
              <w:rFonts w:cs="Arial"/>
            </w:rPr>
          </w:pPr>
          <w:r w:rsidRPr="00DE5669">
            <w:rPr>
              <w:rFonts w:cs="Arial"/>
            </w:rPr>
            <w:fldChar w:fldCharType="end"/>
          </w:r>
        </w:p>
      </w:sdtContent>
    </w:sdt>
    <w:p w14:paraId="79854A40" w14:textId="77777777" w:rsidR="001100A4" w:rsidRPr="00DE5669" w:rsidRDefault="001100A4">
      <w:pPr>
        <w:rPr>
          <w:rFonts w:cs="Arial"/>
        </w:rPr>
        <w:sectPr w:rsidR="001100A4" w:rsidRPr="00DE5669" w:rsidSect="006D62FA">
          <w:headerReference w:type="even" r:id="rId12"/>
          <w:headerReference w:type="default" r:id="rId13"/>
          <w:footerReference w:type="even" r:id="rId14"/>
          <w:footerReference w:type="default" r:id="rId15"/>
          <w:headerReference w:type="first" r:id="rId16"/>
          <w:footerReference w:type="first" r:id="rId17"/>
          <w:pgSz w:w="11905" w:h="16840"/>
          <w:pgMar w:top="2268" w:right="1162" w:bottom="1843" w:left="1701" w:header="726" w:footer="567" w:gutter="0"/>
          <w:pgNumType w:start="2"/>
          <w:cols w:space="720"/>
          <w:docGrid w:linePitch="326"/>
        </w:sectPr>
      </w:pPr>
    </w:p>
    <w:p w14:paraId="15E153B0" w14:textId="77777777" w:rsidR="00A4224E" w:rsidRPr="00DE5669" w:rsidRDefault="00EE0FC9">
      <w:pPr>
        <w:pStyle w:val="Ttulo1"/>
        <w:ind w:left="-5"/>
      </w:pPr>
      <w:bookmarkStart w:id="0" w:name="_Toc234260319"/>
      <w:r w:rsidRPr="00DE5669">
        <w:lastRenderedPageBreak/>
        <w:t>1. Apresentação</w:t>
      </w:r>
      <w:bookmarkEnd w:id="0"/>
      <w:r w:rsidRPr="00DE5669">
        <w:t xml:space="preserve"> </w:t>
      </w:r>
    </w:p>
    <w:p w14:paraId="005434CC" w14:textId="59B74240" w:rsidR="00A4224E" w:rsidRPr="00DE5669" w:rsidRDefault="00EE0FC9" w:rsidP="00C3152E">
      <w:pPr>
        <w:ind w:left="-6"/>
        <w:rPr>
          <w:rFonts w:cs="Arial"/>
        </w:rPr>
      </w:pPr>
      <w:r w:rsidRPr="00DE5669">
        <w:rPr>
          <w:rFonts w:cs="Arial"/>
        </w:rPr>
        <w:t xml:space="preserve">O Hospital Estadual de Urgências de Goiás Dr. Valdemiro Cruz (HUGO) é uma unidade de referência no atendimento de alta complexidade em urgência e emergência no estado de Goiás, sob a gestão da Sociedade Beneficente Israelita Brasileira Albert Einstein, por meio do Termo de Colaboração nº 097/2024 celebrado com a Secretaria de Estado da Saúde. </w:t>
      </w:r>
    </w:p>
    <w:p w14:paraId="397A2FE1" w14:textId="66758011" w:rsidR="00A4224E" w:rsidRPr="00DE5669" w:rsidRDefault="00EE0FC9" w:rsidP="007D17BD">
      <w:pPr>
        <w:rPr>
          <w:rFonts w:cs="Arial"/>
        </w:rPr>
      </w:pPr>
      <w:r w:rsidRPr="00DE5669">
        <w:rPr>
          <w:rFonts w:cs="Arial"/>
        </w:rPr>
        <w:tab/>
        <w:t xml:space="preserve">O presente relatório tem por finalidade apresentar os resultados assistenciais, operacionais e financeiros referentes ao período, incluindo análises críticas voltadas ao monitoramento, avaliação e aprimoramento contínuo da qualidade dos serviços prestados. </w:t>
      </w:r>
    </w:p>
    <w:p w14:paraId="1F8BA64E" w14:textId="77777777" w:rsidR="00A4224E" w:rsidRPr="00DE5669" w:rsidRDefault="00EE0FC9">
      <w:pPr>
        <w:pStyle w:val="Ttulo1"/>
        <w:ind w:left="-5"/>
      </w:pPr>
      <w:bookmarkStart w:id="1" w:name="_Toc234260320"/>
      <w:r w:rsidRPr="00DE5669">
        <w:t>2. Indicadores de Produção Assistencial</w:t>
      </w:r>
      <w:bookmarkEnd w:id="1"/>
      <w:r w:rsidRPr="00DE5669">
        <w:t xml:space="preserve"> </w:t>
      </w:r>
    </w:p>
    <w:p w14:paraId="4B77BED9" w14:textId="443D46E7" w:rsidR="00A4224E" w:rsidRPr="00DE5669" w:rsidRDefault="7CEC60FB" w:rsidP="00A3347F">
      <w:pPr>
        <w:spacing w:after="0" w:line="276" w:lineRule="auto"/>
        <w:ind w:firstLine="708"/>
        <w:rPr>
          <w:rFonts w:cs="Arial"/>
        </w:rPr>
      </w:pPr>
      <w:r w:rsidRPr="00DE5669">
        <w:rPr>
          <w:rFonts w:cs="Arial"/>
        </w:rPr>
        <w:t xml:space="preserve"> </w:t>
      </w:r>
      <w:r w:rsidR="04B9023F" w:rsidRPr="00DE5669">
        <w:rPr>
          <w:rFonts w:cs="Arial"/>
          <w:i/>
          <w:iCs/>
          <w:color w:val="666666"/>
        </w:rPr>
        <w:t xml:space="preserve"> </w:t>
      </w:r>
    </w:p>
    <w:p w14:paraId="4BE173BB" w14:textId="1608337F" w:rsidR="00A4224E" w:rsidRPr="00DE5669" w:rsidRDefault="00EE0FC9">
      <w:pPr>
        <w:pStyle w:val="Ttulo2"/>
        <w:spacing w:after="0"/>
        <w:ind w:left="-5"/>
      </w:pPr>
      <w:bookmarkStart w:id="2" w:name="_Toc224057600"/>
      <w:bookmarkStart w:id="3" w:name="_Toc229241753"/>
      <w:bookmarkStart w:id="4" w:name="_Toc231974379"/>
      <w:bookmarkStart w:id="5" w:name="_Toc234260321"/>
      <w:r w:rsidRPr="00DE5669">
        <w:t>2.1. Internações e Saídas Hospitalares</w:t>
      </w:r>
      <w:bookmarkEnd w:id="2"/>
      <w:bookmarkEnd w:id="3"/>
      <w:bookmarkEnd w:id="4"/>
      <w:bookmarkEnd w:id="5"/>
      <w:r w:rsidRPr="00DE5669">
        <w:t xml:space="preserve"> </w:t>
      </w:r>
    </w:p>
    <w:tbl>
      <w:tblPr>
        <w:tblW w:w="9072" w:type="dxa"/>
        <w:tblInd w:w="1" w:type="dxa"/>
        <w:tblCellMar>
          <w:top w:w="96" w:type="dxa"/>
          <w:left w:w="119" w:type="dxa"/>
          <w:right w:w="115" w:type="dxa"/>
        </w:tblCellMar>
        <w:tblLook w:val="04A0" w:firstRow="1" w:lastRow="0" w:firstColumn="1" w:lastColumn="0" w:noHBand="0" w:noVBand="1"/>
      </w:tblPr>
      <w:tblGrid>
        <w:gridCol w:w="4538"/>
        <w:gridCol w:w="2016"/>
        <w:gridCol w:w="2518"/>
      </w:tblGrid>
      <w:tr w:rsidR="00263901" w:rsidRPr="00DE5669" w14:paraId="02A1CC4B" w14:textId="77777777" w:rsidTr="1A6EC8B6">
        <w:trPr>
          <w:trHeight w:val="354"/>
        </w:trPr>
        <w:tc>
          <w:tcPr>
            <w:tcW w:w="4537"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2321B22A" w14:textId="77777777" w:rsidR="00A4224E" w:rsidRPr="00DE5669" w:rsidRDefault="00EE0FC9" w:rsidP="61F2CE04">
            <w:pPr>
              <w:spacing w:after="0"/>
              <w:ind w:left="1"/>
              <w:rPr>
                <w:rFonts w:cs="Arial"/>
              </w:rPr>
            </w:pPr>
            <w:r w:rsidRPr="00DE5669">
              <w:rPr>
                <w:rFonts w:cs="Arial"/>
                <w:b/>
                <w:bCs/>
              </w:rPr>
              <w:t>Internação (Saídas Hospitalares)</w:t>
            </w:r>
            <w:r w:rsidRPr="00DE5669">
              <w:rPr>
                <w:rFonts w:cs="Arial"/>
              </w:rPr>
              <w:t xml:space="preserve"> </w:t>
            </w:r>
          </w:p>
        </w:tc>
        <w:tc>
          <w:tcPr>
            <w:tcW w:w="2016"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5EBCB7F1" w14:textId="77777777" w:rsidR="00A4224E" w:rsidRPr="00DE5669" w:rsidRDefault="00EE0FC9" w:rsidP="61F2CE04">
            <w:pPr>
              <w:spacing w:after="0"/>
              <w:ind w:right="9"/>
              <w:jc w:val="center"/>
              <w:rPr>
                <w:rFonts w:cs="Arial"/>
              </w:rPr>
            </w:pPr>
            <w:r w:rsidRPr="00DE5669">
              <w:rPr>
                <w:rFonts w:cs="Arial"/>
                <w:b/>
                <w:bCs/>
              </w:rPr>
              <w:t>Meta</w:t>
            </w:r>
            <w:r w:rsidRPr="00DE5669">
              <w:rPr>
                <w:rFonts w:cs="Arial"/>
              </w:rPr>
              <w:t xml:space="preserve"> </w:t>
            </w:r>
          </w:p>
        </w:tc>
        <w:tc>
          <w:tcPr>
            <w:tcW w:w="2518"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08E98BB8" w14:textId="77777777" w:rsidR="00A4224E" w:rsidRPr="00DE5669" w:rsidRDefault="00EE0FC9" w:rsidP="61F2CE04">
            <w:pPr>
              <w:spacing w:after="0"/>
              <w:ind w:right="4"/>
              <w:jc w:val="center"/>
              <w:rPr>
                <w:rFonts w:cs="Arial"/>
              </w:rPr>
            </w:pPr>
            <w:r w:rsidRPr="00DE5669">
              <w:rPr>
                <w:rFonts w:cs="Arial"/>
                <w:b/>
                <w:bCs/>
              </w:rPr>
              <w:t>Produção</w:t>
            </w:r>
            <w:r w:rsidRPr="00DE5669">
              <w:rPr>
                <w:rFonts w:cs="Arial"/>
              </w:rPr>
              <w:t xml:space="preserve"> </w:t>
            </w:r>
          </w:p>
        </w:tc>
      </w:tr>
      <w:tr w:rsidR="00263901" w:rsidRPr="00DE5669" w14:paraId="4BEB1A42" w14:textId="77777777" w:rsidTr="1A6EC8B6">
        <w:trPr>
          <w:trHeight w:val="283"/>
        </w:trPr>
        <w:tc>
          <w:tcPr>
            <w:tcW w:w="4537" w:type="dxa"/>
            <w:tcBorders>
              <w:top w:val="single" w:sz="2" w:space="0" w:color="999999"/>
              <w:left w:val="single" w:sz="2" w:space="0" w:color="999999"/>
              <w:bottom w:val="single" w:sz="2" w:space="0" w:color="999999"/>
              <w:right w:val="single" w:sz="2" w:space="0" w:color="999999"/>
            </w:tcBorders>
            <w:vAlign w:val="center"/>
          </w:tcPr>
          <w:p w14:paraId="14270070" w14:textId="77777777" w:rsidR="00A4224E" w:rsidRPr="00DE5669" w:rsidRDefault="00EE0FC9" w:rsidP="61F2CE04">
            <w:pPr>
              <w:spacing w:after="0"/>
              <w:ind w:left="1"/>
              <w:rPr>
                <w:rFonts w:cs="Arial"/>
              </w:rPr>
            </w:pPr>
            <w:r w:rsidRPr="00DE5669">
              <w:rPr>
                <w:rFonts w:cs="Arial"/>
              </w:rPr>
              <w:t xml:space="preserve">Clínica cirúrgica </w:t>
            </w:r>
          </w:p>
        </w:tc>
        <w:tc>
          <w:tcPr>
            <w:tcW w:w="2016" w:type="dxa"/>
            <w:tcBorders>
              <w:top w:val="single" w:sz="2" w:space="0" w:color="999999"/>
              <w:left w:val="single" w:sz="2" w:space="0" w:color="999999"/>
              <w:bottom w:val="single" w:sz="2" w:space="0" w:color="999999"/>
              <w:right w:val="single" w:sz="2" w:space="0" w:color="999999"/>
            </w:tcBorders>
          </w:tcPr>
          <w:p w14:paraId="645CA6F9" w14:textId="5B59AE0D" w:rsidR="188B0E26" w:rsidRDefault="188B0E26" w:rsidP="188B0E26">
            <w:pPr>
              <w:spacing w:after="0"/>
              <w:jc w:val="center"/>
              <w:rPr>
                <w:rFonts w:cs="Arial"/>
              </w:rPr>
            </w:pPr>
            <w:r w:rsidRPr="188B0E26">
              <w:rPr>
                <w:rFonts w:cs="Arial"/>
              </w:rPr>
              <w:t>1.118</w:t>
            </w:r>
          </w:p>
        </w:tc>
        <w:tc>
          <w:tcPr>
            <w:tcW w:w="2518" w:type="dxa"/>
            <w:tcBorders>
              <w:top w:val="single" w:sz="2" w:space="0" w:color="999999"/>
              <w:left w:val="single" w:sz="2" w:space="0" w:color="999999"/>
              <w:bottom w:val="single" w:sz="2" w:space="0" w:color="999999"/>
              <w:right w:val="single" w:sz="2" w:space="0" w:color="999999"/>
            </w:tcBorders>
          </w:tcPr>
          <w:p w14:paraId="0C389704" w14:textId="7857294C" w:rsidR="1DBBC115" w:rsidRDefault="00AF5DA8" w:rsidP="1A6EC8B6">
            <w:pPr>
              <w:spacing w:after="0"/>
              <w:jc w:val="center"/>
              <w:rPr>
                <w:rFonts w:cs="Arial"/>
              </w:rPr>
            </w:pPr>
            <w:r>
              <w:rPr>
                <w:rFonts w:cs="Arial"/>
              </w:rPr>
              <w:t>936</w:t>
            </w:r>
          </w:p>
        </w:tc>
      </w:tr>
      <w:tr w:rsidR="00263901" w:rsidRPr="00DE5669" w14:paraId="4B7514AC" w14:textId="77777777" w:rsidTr="1A6EC8B6">
        <w:trPr>
          <w:trHeight w:val="283"/>
        </w:trPr>
        <w:tc>
          <w:tcPr>
            <w:tcW w:w="4537" w:type="dxa"/>
            <w:tcBorders>
              <w:top w:val="single" w:sz="2" w:space="0" w:color="999999"/>
              <w:left w:val="single" w:sz="2" w:space="0" w:color="999999"/>
              <w:bottom w:val="single" w:sz="2" w:space="0" w:color="999999"/>
              <w:right w:val="single" w:sz="2" w:space="0" w:color="999999"/>
            </w:tcBorders>
            <w:vAlign w:val="center"/>
          </w:tcPr>
          <w:p w14:paraId="155B24BB" w14:textId="77777777" w:rsidR="00A4224E" w:rsidRPr="00DE5669" w:rsidRDefault="00EE0FC9" w:rsidP="61F2CE04">
            <w:pPr>
              <w:spacing w:after="0"/>
              <w:ind w:left="1"/>
              <w:rPr>
                <w:rFonts w:cs="Arial"/>
              </w:rPr>
            </w:pPr>
            <w:r w:rsidRPr="00DE5669">
              <w:rPr>
                <w:rFonts w:cs="Arial"/>
              </w:rPr>
              <w:t xml:space="preserve">Clínica médica </w:t>
            </w:r>
          </w:p>
        </w:tc>
        <w:tc>
          <w:tcPr>
            <w:tcW w:w="2016" w:type="dxa"/>
            <w:tcBorders>
              <w:top w:val="single" w:sz="2" w:space="0" w:color="999999"/>
              <w:left w:val="single" w:sz="2" w:space="0" w:color="999999"/>
              <w:bottom w:val="single" w:sz="2" w:space="0" w:color="999999"/>
              <w:right w:val="single" w:sz="2" w:space="0" w:color="999999"/>
            </w:tcBorders>
          </w:tcPr>
          <w:p w14:paraId="19C1AA35" w14:textId="47F40C1A" w:rsidR="188B0E26" w:rsidRDefault="188B0E26" w:rsidP="188B0E26">
            <w:pPr>
              <w:spacing w:after="0"/>
              <w:jc w:val="center"/>
              <w:rPr>
                <w:rFonts w:cs="Arial"/>
              </w:rPr>
            </w:pPr>
            <w:r w:rsidRPr="188B0E26">
              <w:rPr>
                <w:rFonts w:cs="Arial"/>
              </w:rPr>
              <w:t>328</w:t>
            </w:r>
          </w:p>
        </w:tc>
        <w:tc>
          <w:tcPr>
            <w:tcW w:w="2518" w:type="dxa"/>
            <w:tcBorders>
              <w:top w:val="single" w:sz="2" w:space="0" w:color="999999"/>
              <w:left w:val="single" w:sz="2" w:space="0" w:color="999999"/>
              <w:bottom w:val="single" w:sz="2" w:space="0" w:color="999999"/>
              <w:right w:val="single" w:sz="2" w:space="0" w:color="999999"/>
            </w:tcBorders>
          </w:tcPr>
          <w:p w14:paraId="258BD804" w14:textId="6CC987AC" w:rsidR="78B20E35" w:rsidRDefault="000D7778" w:rsidP="1A6EC8B6">
            <w:pPr>
              <w:spacing w:after="0"/>
              <w:jc w:val="center"/>
              <w:rPr>
                <w:rFonts w:cs="Arial"/>
              </w:rPr>
            </w:pPr>
            <w:r>
              <w:rPr>
                <w:rFonts w:cs="Arial"/>
              </w:rPr>
              <w:t>344</w:t>
            </w:r>
          </w:p>
        </w:tc>
      </w:tr>
      <w:tr w:rsidR="00263901" w:rsidRPr="00DE5669" w14:paraId="3A9C9FEF" w14:textId="77777777" w:rsidTr="1A6EC8B6">
        <w:trPr>
          <w:trHeight w:val="283"/>
        </w:trPr>
        <w:tc>
          <w:tcPr>
            <w:tcW w:w="4537" w:type="dxa"/>
            <w:tcBorders>
              <w:top w:val="single" w:sz="2" w:space="0" w:color="999999"/>
              <w:left w:val="single" w:sz="2" w:space="0" w:color="999999"/>
              <w:bottom w:val="single" w:sz="2" w:space="0" w:color="999999"/>
              <w:right w:val="single" w:sz="2" w:space="0" w:color="999999"/>
            </w:tcBorders>
            <w:vAlign w:val="center"/>
          </w:tcPr>
          <w:p w14:paraId="65A6ECB7" w14:textId="77777777" w:rsidR="00A4224E" w:rsidRPr="00DE5669" w:rsidRDefault="00EE0FC9" w:rsidP="61F2CE04">
            <w:pPr>
              <w:spacing w:after="0"/>
              <w:ind w:left="1"/>
              <w:rPr>
                <w:rFonts w:cs="Arial"/>
              </w:rPr>
            </w:pPr>
            <w:r w:rsidRPr="00DE5669">
              <w:rPr>
                <w:rFonts w:cs="Arial"/>
              </w:rPr>
              <w:t xml:space="preserve">Clínica neurológica </w:t>
            </w:r>
          </w:p>
        </w:tc>
        <w:tc>
          <w:tcPr>
            <w:tcW w:w="2016" w:type="dxa"/>
            <w:tcBorders>
              <w:top w:val="single" w:sz="2" w:space="0" w:color="999999"/>
              <w:left w:val="single" w:sz="2" w:space="0" w:color="999999"/>
              <w:bottom w:val="single" w:sz="2" w:space="0" w:color="999999"/>
              <w:right w:val="single" w:sz="2" w:space="0" w:color="999999"/>
            </w:tcBorders>
          </w:tcPr>
          <w:p w14:paraId="749058BB" w14:textId="671297D6" w:rsidR="188B0E26" w:rsidRDefault="188B0E26" w:rsidP="188B0E26">
            <w:pPr>
              <w:spacing w:after="0"/>
              <w:jc w:val="center"/>
              <w:rPr>
                <w:rFonts w:cs="Arial"/>
              </w:rPr>
            </w:pPr>
            <w:r w:rsidRPr="188B0E26">
              <w:rPr>
                <w:rFonts w:cs="Arial"/>
              </w:rPr>
              <w:t>46</w:t>
            </w:r>
          </w:p>
        </w:tc>
        <w:tc>
          <w:tcPr>
            <w:tcW w:w="2518" w:type="dxa"/>
            <w:tcBorders>
              <w:top w:val="single" w:sz="2" w:space="0" w:color="999999"/>
              <w:left w:val="single" w:sz="2" w:space="0" w:color="999999"/>
              <w:bottom w:val="single" w:sz="2" w:space="0" w:color="999999"/>
              <w:right w:val="single" w:sz="2" w:space="0" w:color="999999"/>
            </w:tcBorders>
          </w:tcPr>
          <w:p w14:paraId="3770CE79" w14:textId="056918E7" w:rsidR="2DD47240" w:rsidRDefault="000D7778" w:rsidP="1A6EC8B6">
            <w:pPr>
              <w:spacing w:after="0"/>
              <w:jc w:val="center"/>
              <w:rPr>
                <w:rFonts w:cs="Arial"/>
              </w:rPr>
            </w:pPr>
            <w:r>
              <w:rPr>
                <w:rFonts w:cs="Arial"/>
              </w:rPr>
              <w:t>121</w:t>
            </w:r>
          </w:p>
        </w:tc>
      </w:tr>
      <w:tr w:rsidR="00263901" w:rsidRPr="00DE5669" w14:paraId="7C722CAC" w14:textId="77777777" w:rsidTr="1A6EC8B6">
        <w:trPr>
          <w:trHeight w:val="283"/>
        </w:trPr>
        <w:tc>
          <w:tcPr>
            <w:tcW w:w="4537" w:type="dxa"/>
            <w:tcBorders>
              <w:top w:val="single" w:sz="2" w:space="0" w:color="999999"/>
              <w:left w:val="single" w:sz="2" w:space="0" w:color="999999"/>
              <w:bottom w:val="single" w:sz="2" w:space="0" w:color="999999"/>
              <w:right w:val="single" w:sz="2" w:space="0" w:color="999999"/>
            </w:tcBorders>
            <w:vAlign w:val="center"/>
          </w:tcPr>
          <w:p w14:paraId="25B054CA" w14:textId="77777777" w:rsidR="00A4224E" w:rsidRPr="00DE5669" w:rsidRDefault="00EE0FC9" w:rsidP="61F2CE04">
            <w:pPr>
              <w:spacing w:after="0"/>
              <w:ind w:left="1"/>
              <w:rPr>
                <w:rFonts w:cs="Arial"/>
              </w:rPr>
            </w:pPr>
            <w:r w:rsidRPr="00DE5669">
              <w:rPr>
                <w:rFonts w:cs="Arial"/>
                <w:b/>
                <w:bCs/>
              </w:rPr>
              <w:t>Total de saídas hospitalares</w:t>
            </w:r>
            <w:r w:rsidRPr="00DE5669">
              <w:rPr>
                <w:rFonts w:cs="Arial"/>
              </w:rPr>
              <w:t xml:space="preserve"> </w:t>
            </w:r>
          </w:p>
        </w:tc>
        <w:tc>
          <w:tcPr>
            <w:tcW w:w="2016" w:type="dxa"/>
            <w:tcBorders>
              <w:top w:val="single" w:sz="2" w:space="0" w:color="999999"/>
              <w:left w:val="single" w:sz="2" w:space="0" w:color="999999"/>
              <w:bottom w:val="single" w:sz="2" w:space="0" w:color="999999"/>
              <w:right w:val="single" w:sz="2" w:space="0" w:color="999999"/>
            </w:tcBorders>
          </w:tcPr>
          <w:p w14:paraId="73D17FED" w14:textId="2FF28B29" w:rsidR="188B0E26" w:rsidRDefault="188B0E26" w:rsidP="188B0E26">
            <w:pPr>
              <w:spacing w:after="0"/>
              <w:jc w:val="center"/>
              <w:rPr>
                <w:rFonts w:cs="Arial"/>
              </w:rPr>
            </w:pPr>
            <w:r w:rsidRPr="188B0E26">
              <w:rPr>
                <w:rFonts w:cs="Arial"/>
                <w:b/>
                <w:bCs/>
              </w:rPr>
              <w:t>1.492</w:t>
            </w:r>
          </w:p>
        </w:tc>
        <w:tc>
          <w:tcPr>
            <w:tcW w:w="2518" w:type="dxa"/>
            <w:tcBorders>
              <w:top w:val="single" w:sz="2" w:space="0" w:color="999999"/>
              <w:left w:val="single" w:sz="2" w:space="0" w:color="999999"/>
              <w:bottom w:val="single" w:sz="2" w:space="0" w:color="999999"/>
              <w:right w:val="single" w:sz="2" w:space="0" w:color="999999"/>
            </w:tcBorders>
          </w:tcPr>
          <w:p w14:paraId="1AE7DEEA" w14:textId="6DD5DF34" w:rsidR="66E44EDF" w:rsidRDefault="00654615" w:rsidP="1A6EC8B6">
            <w:pPr>
              <w:spacing w:after="0"/>
              <w:jc w:val="center"/>
              <w:rPr>
                <w:rFonts w:cs="Arial"/>
                <w:b/>
                <w:bCs/>
              </w:rPr>
            </w:pPr>
            <w:r>
              <w:rPr>
                <w:rFonts w:cs="Arial"/>
                <w:b/>
                <w:bCs/>
              </w:rPr>
              <w:t>1401</w:t>
            </w:r>
          </w:p>
        </w:tc>
      </w:tr>
    </w:tbl>
    <w:p w14:paraId="4328CDDA" w14:textId="77777777" w:rsidR="00A4224E" w:rsidRPr="00DE5669" w:rsidRDefault="00EE0FC9" w:rsidP="61F2CE04">
      <w:pPr>
        <w:spacing w:after="0"/>
        <w:rPr>
          <w:rFonts w:cs="Arial"/>
        </w:rPr>
      </w:pPr>
      <w:r w:rsidRPr="00DE5669">
        <w:rPr>
          <w:rFonts w:cs="Arial"/>
        </w:rPr>
        <w:t xml:space="preserve"> </w:t>
      </w:r>
    </w:p>
    <w:tbl>
      <w:tblPr>
        <w:tblW w:w="9072" w:type="dxa"/>
        <w:tblInd w:w="1" w:type="dxa"/>
        <w:tblCellMar>
          <w:top w:w="96" w:type="dxa"/>
          <w:right w:w="115" w:type="dxa"/>
        </w:tblCellMar>
        <w:tblLook w:val="04A0" w:firstRow="1" w:lastRow="0" w:firstColumn="1" w:lastColumn="0" w:noHBand="0" w:noVBand="1"/>
      </w:tblPr>
      <w:tblGrid>
        <w:gridCol w:w="4538"/>
        <w:gridCol w:w="755"/>
        <w:gridCol w:w="1261"/>
        <w:gridCol w:w="2518"/>
      </w:tblGrid>
      <w:tr w:rsidR="00C519A4" w:rsidRPr="00DE5669" w14:paraId="20366301" w14:textId="77777777" w:rsidTr="1A6EC8B6">
        <w:trPr>
          <w:trHeight w:val="354"/>
        </w:trPr>
        <w:tc>
          <w:tcPr>
            <w:tcW w:w="4538"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0F6DF858" w14:textId="77777777" w:rsidR="00A4224E" w:rsidRPr="00DE5669" w:rsidRDefault="00EE0FC9" w:rsidP="61F2CE04">
            <w:pPr>
              <w:spacing w:after="0"/>
              <w:ind w:left="120"/>
              <w:rPr>
                <w:rFonts w:cs="Arial"/>
              </w:rPr>
            </w:pPr>
            <w:r w:rsidRPr="00DE5669">
              <w:rPr>
                <w:rFonts w:cs="Arial"/>
                <w:b/>
                <w:bCs/>
              </w:rPr>
              <w:t>Discriminação de Cirurgias</w:t>
            </w:r>
            <w:r w:rsidRPr="00DE5669">
              <w:rPr>
                <w:rFonts w:cs="Arial"/>
              </w:rPr>
              <w:t xml:space="preserve"> </w:t>
            </w:r>
          </w:p>
        </w:tc>
        <w:tc>
          <w:tcPr>
            <w:tcW w:w="755" w:type="dxa"/>
            <w:tcBorders>
              <w:top w:val="single" w:sz="2" w:space="0" w:color="999999"/>
              <w:left w:val="single" w:sz="2" w:space="0" w:color="999999"/>
              <w:bottom w:val="single" w:sz="2" w:space="0" w:color="999999"/>
              <w:right w:val="nil"/>
            </w:tcBorders>
            <w:shd w:val="clear" w:color="auto" w:fill="D9E2F3" w:themeFill="accent1" w:themeFillTint="33"/>
          </w:tcPr>
          <w:p w14:paraId="08DCFAC6" w14:textId="77777777" w:rsidR="00A4224E" w:rsidRPr="00DE5669" w:rsidRDefault="00A4224E" w:rsidP="61F2CE04">
            <w:pPr>
              <w:spacing w:after="0"/>
              <w:rPr>
                <w:rFonts w:cs="Arial"/>
              </w:rPr>
            </w:pPr>
          </w:p>
        </w:tc>
        <w:tc>
          <w:tcPr>
            <w:tcW w:w="1261" w:type="dxa"/>
            <w:tcBorders>
              <w:top w:val="single" w:sz="2" w:space="0" w:color="999999"/>
              <w:left w:val="nil"/>
              <w:bottom w:val="single" w:sz="2" w:space="0" w:color="999999"/>
              <w:right w:val="single" w:sz="2" w:space="0" w:color="999999"/>
            </w:tcBorders>
            <w:shd w:val="clear" w:color="auto" w:fill="D9E2F3" w:themeFill="accent1" w:themeFillTint="33"/>
          </w:tcPr>
          <w:p w14:paraId="208D3741" w14:textId="77777777" w:rsidR="00A4224E" w:rsidRPr="00DE5669" w:rsidRDefault="00EE0FC9" w:rsidP="61F2CE04">
            <w:pPr>
              <w:spacing w:after="0"/>
              <w:rPr>
                <w:rFonts w:cs="Arial"/>
              </w:rPr>
            </w:pPr>
            <w:r w:rsidRPr="00DE5669">
              <w:rPr>
                <w:rFonts w:cs="Arial"/>
                <w:b/>
                <w:bCs/>
              </w:rPr>
              <w:t>Meta</w:t>
            </w:r>
            <w:r w:rsidRPr="00DE5669">
              <w:rPr>
                <w:rFonts w:cs="Arial"/>
              </w:rPr>
              <w:t xml:space="preserve"> </w:t>
            </w:r>
          </w:p>
        </w:tc>
        <w:tc>
          <w:tcPr>
            <w:tcW w:w="2518"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648D6A5D" w14:textId="77777777" w:rsidR="00A4224E" w:rsidRPr="00DE5669" w:rsidRDefault="00EE0FC9" w:rsidP="61F2CE04">
            <w:pPr>
              <w:spacing w:after="0"/>
              <w:ind w:left="115"/>
              <w:jc w:val="center"/>
              <w:rPr>
                <w:rFonts w:cs="Arial"/>
              </w:rPr>
            </w:pPr>
            <w:r w:rsidRPr="00DE5669">
              <w:rPr>
                <w:rFonts w:cs="Arial"/>
                <w:b/>
                <w:bCs/>
              </w:rPr>
              <w:t>Produção</w:t>
            </w:r>
            <w:r w:rsidRPr="00DE5669">
              <w:rPr>
                <w:rFonts w:cs="Arial"/>
              </w:rPr>
              <w:t xml:space="preserve"> </w:t>
            </w:r>
          </w:p>
        </w:tc>
      </w:tr>
      <w:tr w:rsidR="00F63EC4" w:rsidRPr="00DE5669" w14:paraId="528B02F0" w14:textId="77777777" w:rsidTr="1A6EC8B6">
        <w:trPr>
          <w:trHeight w:val="420"/>
        </w:trPr>
        <w:tc>
          <w:tcPr>
            <w:tcW w:w="4538" w:type="dxa"/>
            <w:tcBorders>
              <w:top w:val="single" w:sz="2" w:space="0" w:color="999999"/>
              <w:left w:val="single" w:sz="2" w:space="0" w:color="999999"/>
              <w:bottom w:val="single" w:sz="2" w:space="0" w:color="999999"/>
              <w:right w:val="single" w:sz="2" w:space="0" w:color="999999"/>
            </w:tcBorders>
            <w:vAlign w:val="center"/>
          </w:tcPr>
          <w:p w14:paraId="6180E272" w14:textId="5C7C1ECA" w:rsidR="004F296B" w:rsidRPr="00DE5669" w:rsidRDefault="0CB310B2" w:rsidP="61F2CE04">
            <w:pPr>
              <w:spacing w:after="0"/>
              <w:ind w:left="120"/>
              <w:rPr>
                <w:rFonts w:cs="Arial"/>
              </w:rPr>
            </w:pPr>
            <w:r w:rsidRPr="00DE5669">
              <w:rPr>
                <w:rFonts w:cs="Arial"/>
              </w:rPr>
              <w:t xml:space="preserve">Eletivas e 2º tempo </w:t>
            </w:r>
          </w:p>
        </w:tc>
        <w:tc>
          <w:tcPr>
            <w:tcW w:w="2016" w:type="dxa"/>
            <w:gridSpan w:val="2"/>
            <w:tcBorders>
              <w:top w:val="single" w:sz="2" w:space="0" w:color="999999"/>
              <w:left w:val="single" w:sz="2" w:space="0" w:color="999999"/>
              <w:bottom w:val="single" w:sz="2" w:space="0" w:color="999999"/>
              <w:right w:val="single" w:sz="2" w:space="0" w:color="999999"/>
            </w:tcBorders>
          </w:tcPr>
          <w:p w14:paraId="3C3374FD" w14:textId="7449C3E7" w:rsidR="004F296B" w:rsidRPr="00DE5669" w:rsidRDefault="0CB310B2" w:rsidP="61F2CE04">
            <w:pPr>
              <w:spacing w:after="0"/>
              <w:jc w:val="center"/>
              <w:rPr>
                <w:rFonts w:cs="Arial"/>
              </w:rPr>
            </w:pPr>
            <w:r w:rsidRPr="00DE5669">
              <w:rPr>
                <w:rFonts w:cs="Arial"/>
              </w:rPr>
              <w:t>NA</w:t>
            </w:r>
          </w:p>
        </w:tc>
        <w:tc>
          <w:tcPr>
            <w:tcW w:w="2518" w:type="dxa"/>
            <w:tcBorders>
              <w:top w:val="single" w:sz="2" w:space="0" w:color="999999"/>
              <w:left w:val="single" w:sz="2" w:space="0" w:color="999999"/>
              <w:bottom w:val="single" w:sz="2" w:space="0" w:color="999999"/>
              <w:right w:val="single" w:sz="2" w:space="0" w:color="999999"/>
            </w:tcBorders>
          </w:tcPr>
          <w:p w14:paraId="664E4A1E" w14:textId="07120E5F" w:rsidR="61F2CE04" w:rsidRPr="00DE5669" w:rsidRDefault="00AC6C4A" w:rsidP="1A6EC8B6">
            <w:pPr>
              <w:spacing w:after="0"/>
              <w:jc w:val="center"/>
              <w:rPr>
                <w:rFonts w:cs="Arial"/>
              </w:rPr>
            </w:pPr>
            <w:r>
              <w:rPr>
                <w:rFonts w:cs="Arial"/>
              </w:rPr>
              <w:t>555</w:t>
            </w:r>
          </w:p>
        </w:tc>
      </w:tr>
      <w:tr w:rsidR="00F63EC4" w:rsidRPr="00DE5669" w14:paraId="2A45A961" w14:textId="77777777" w:rsidTr="1A6EC8B6">
        <w:trPr>
          <w:trHeight w:val="283"/>
        </w:trPr>
        <w:tc>
          <w:tcPr>
            <w:tcW w:w="4538" w:type="dxa"/>
            <w:tcBorders>
              <w:top w:val="single" w:sz="2" w:space="0" w:color="999999"/>
              <w:left w:val="single" w:sz="2" w:space="0" w:color="999999"/>
              <w:bottom w:val="single" w:sz="2" w:space="0" w:color="999999"/>
              <w:right w:val="single" w:sz="2" w:space="0" w:color="999999"/>
            </w:tcBorders>
            <w:vAlign w:val="center"/>
          </w:tcPr>
          <w:p w14:paraId="39FC9B10" w14:textId="77777777" w:rsidR="004F296B" w:rsidRPr="00DE5669" w:rsidRDefault="0CB310B2" w:rsidP="61F2CE04">
            <w:pPr>
              <w:spacing w:after="0"/>
              <w:ind w:left="120"/>
              <w:rPr>
                <w:rFonts w:cs="Arial"/>
              </w:rPr>
            </w:pPr>
            <w:r w:rsidRPr="00DE5669">
              <w:rPr>
                <w:rFonts w:cs="Arial"/>
              </w:rPr>
              <w:t xml:space="preserve">Urgências </w:t>
            </w:r>
          </w:p>
        </w:tc>
        <w:tc>
          <w:tcPr>
            <w:tcW w:w="2016" w:type="dxa"/>
            <w:gridSpan w:val="2"/>
            <w:tcBorders>
              <w:top w:val="single" w:sz="2" w:space="0" w:color="999999"/>
              <w:left w:val="single" w:sz="2" w:space="0" w:color="999999"/>
              <w:bottom w:val="single" w:sz="2" w:space="0" w:color="999999"/>
              <w:right w:val="single" w:sz="2" w:space="0" w:color="999999"/>
            </w:tcBorders>
          </w:tcPr>
          <w:p w14:paraId="5BD764F8" w14:textId="0B91F4D5" w:rsidR="004F296B" w:rsidRPr="00DE5669" w:rsidRDefault="0CB310B2" w:rsidP="61F2CE04">
            <w:pPr>
              <w:spacing w:after="0"/>
              <w:jc w:val="center"/>
              <w:rPr>
                <w:rFonts w:cs="Arial"/>
              </w:rPr>
            </w:pPr>
            <w:r w:rsidRPr="00DE5669">
              <w:rPr>
                <w:rFonts w:cs="Arial"/>
              </w:rPr>
              <w:t>NA</w:t>
            </w:r>
          </w:p>
        </w:tc>
        <w:tc>
          <w:tcPr>
            <w:tcW w:w="2518" w:type="dxa"/>
            <w:tcBorders>
              <w:top w:val="single" w:sz="2" w:space="0" w:color="999999"/>
              <w:left w:val="single" w:sz="2" w:space="0" w:color="999999"/>
              <w:bottom w:val="single" w:sz="2" w:space="0" w:color="999999"/>
              <w:right w:val="single" w:sz="2" w:space="0" w:color="999999"/>
            </w:tcBorders>
          </w:tcPr>
          <w:p w14:paraId="4FCB8EBD" w14:textId="21525F75" w:rsidR="61F2CE04" w:rsidRPr="00DE5669" w:rsidRDefault="00AC6C4A" w:rsidP="1A6EC8B6">
            <w:pPr>
              <w:spacing w:after="0"/>
              <w:jc w:val="center"/>
              <w:rPr>
                <w:rFonts w:cs="Arial"/>
              </w:rPr>
            </w:pPr>
            <w:r>
              <w:rPr>
                <w:rFonts w:cs="Arial"/>
              </w:rPr>
              <w:t>409</w:t>
            </w:r>
          </w:p>
        </w:tc>
      </w:tr>
      <w:tr w:rsidR="00F63EC4" w:rsidRPr="00DE5669" w14:paraId="3EE52433" w14:textId="77777777" w:rsidTr="1A6EC8B6">
        <w:trPr>
          <w:trHeight w:val="283"/>
        </w:trPr>
        <w:tc>
          <w:tcPr>
            <w:tcW w:w="4538" w:type="dxa"/>
            <w:tcBorders>
              <w:top w:val="single" w:sz="2" w:space="0" w:color="999999"/>
              <w:left w:val="single" w:sz="2" w:space="0" w:color="999999"/>
              <w:bottom w:val="single" w:sz="2" w:space="0" w:color="999999"/>
              <w:right w:val="single" w:sz="2" w:space="0" w:color="999999"/>
            </w:tcBorders>
            <w:vAlign w:val="center"/>
          </w:tcPr>
          <w:p w14:paraId="4D7FBC8A" w14:textId="77777777" w:rsidR="004F296B" w:rsidRPr="00DE5669" w:rsidRDefault="0CB310B2" w:rsidP="61F2CE04">
            <w:pPr>
              <w:spacing w:after="0"/>
              <w:ind w:left="120"/>
              <w:rPr>
                <w:rFonts w:cs="Arial"/>
              </w:rPr>
            </w:pPr>
            <w:r w:rsidRPr="00DE5669">
              <w:rPr>
                <w:rFonts w:cs="Arial"/>
                <w:b/>
                <w:bCs/>
              </w:rPr>
              <w:t>Total de cirurgias realizadas</w:t>
            </w:r>
            <w:r w:rsidRPr="00DE5669">
              <w:rPr>
                <w:rFonts w:cs="Arial"/>
              </w:rPr>
              <w:t xml:space="preserve"> </w:t>
            </w:r>
          </w:p>
        </w:tc>
        <w:tc>
          <w:tcPr>
            <w:tcW w:w="2016" w:type="dxa"/>
            <w:gridSpan w:val="2"/>
            <w:tcBorders>
              <w:top w:val="single" w:sz="2" w:space="0" w:color="999999"/>
              <w:left w:val="single" w:sz="2" w:space="0" w:color="999999"/>
              <w:bottom w:val="single" w:sz="2" w:space="0" w:color="999999"/>
              <w:right w:val="single" w:sz="2" w:space="0" w:color="999999"/>
            </w:tcBorders>
          </w:tcPr>
          <w:p w14:paraId="5A6FB56A" w14:textId="796A4733" w:rsidR="004F296B" w:rsidRPr="00DE5669" w:rsidRDefault="43AAE3ED" w:rsidP="61F2CE04">
            <w:pPr>
              <w:spacing w:after="0"/>
              <w:jc w:val="center"/>
              <w:rPr>
                <w:rFonts w:cs="Arial"/>
                <w:b/>
                <w:bCs/>
              </w:rPr>
            </w:pPr>
            <w:r w:rsidRPr="00DE5669">
              <w:rPr>
                <w:rFonts w:cs="Arial"/>
                <w:b/>
                <w:bCs/>
              </w:rPr>
              <w:t>NA</w:t>
            </w:r>
          </w:p>
        </w:tc>
        <w:tc>
          <w:tcPr>
            <w:tcW w:w="2518" w:type="dxa"/>
            <w:tcBorders>
              <w:top w:val="single" w:sz="2" w:space="0" w:color="999999"/>
              <w:left w:val="single" w:sz="2" w:space="0" w:color="999999"/>
              <w:bottom w:val="single" w:sz="2" w:space="0" w:color="999999"/>
              <w:right w:val="single" w:sz="2" w:space="0" w:color="999999"/>
            </w:tcBorders>
          </w:tcPr>
          <w:p w14:paraId="0A8F84C5" w14:textId="224409A3" w:rsidR="004F296B" w:rsidRPr="00DE5669" w:rsidRDefault="008D7FD4" w:rsidP="188B0E26">
            <w:pPr>
              <w:spacing w:after="0"/>
              <w:ind w:left="0"/>
              <w:jc w:val="center"/>
              <w:rPr>
                <w:rFonts w:cs="Arial"/>
                <w:b/>
                <w:bCs/>
              </w:rPr>
            </w:pPr>
            <w:r>
              <w:rPr>
                <w:rFonts w:cs="Arial"/>
                <w:b/>
                <w:bCs/>
              </w:rPr>
              <w:t>964</w:t>
            </w:r>
          </w:p>
        </w:tc>
      </w:tr>
    </w:tbl>
    <w:p w14:paraId="34E02046" w14:textId="293A58CE" w:rsidR="008B24C2" w:rsidRPr="00DE5669" w:rsidRDefault="0CD7A377" w:rsidP="00A3347F">
      <w:pPr>
        <w:spacing w:after="0"/>
        <w:rPr>
          <w:rFonts w:cs="Arial"/>
        </w:rPr>
      </w:pPr>
      <w:r w:rsidRPr="00DE5669">
        <w:rPr>
          <w:rFonts w:cs="Arial"/>
        </w:rPr>
        <w:t xml:space="preserve"> </w:t>
      </w:r>
    </w:p>
    <w:p w14:paraId="0F41B4A8" w14:textId="5B59C507" w:rsidR="00061E8E" w:rsidRDefault="158E0176" w:rsidP="00DE4D58">
      <w:pPr>
        <w:pStyle w:val="Ttulo2"/>
        <w:ind w:left="-5"/>
      </w:pPr>
      <w:bookmarkStart w:id="6" w:name="_Toc224057601"/>
      <w:bookmarkStart w:id="7" w:name="_Toc229241754"/>
      <w:bookmarkStart w:id="8" w:name="_Toc231974380"/>
      <w:bookmarkStart w:id="9" w:name="_Toc234260322"/>
      <w:r>
        <w:t>2.2. Análise Crítica</w:t>
      </w:r>
      <w:bookmarkStart w:id="10" w:name="_Toc224057602"/>
      <w:bookmarkStart w:id="11" w:name="_Toc229241755"/>
      <w:bookmarkStart w:id="12" w:name="_Toc231974381"/>
      <w:bookmarkEnd w:id="6"/>
      <w:bookmarkEnd w:id="7"/>
      <w:bookmarkEnd w:id="8"/>
      <w:bookmarkEnd w:id="9"/>
    </w:p>
    <w:p w14:paraId="52DFD5BA" w14:textId="77777777" w:rsidR="00DE4D58" w:rsidRDefault="00DE4D58" w:rsidP="00DE4D58">
      <w:r>
        <w:t>O mês de junho de 2026 registou 1.401 saídas hospitalares, correspondendo a 93,9% da meta contratualizada (1.492 saídas). Em relação a maio/2026 (1.431 saídas), houve uma ligeira redução de 2,1%, refletindo, contudo, a manutenção de um volume assistencial estável no período.</w:t>
      </w:r>
    </w:p>
    <w:p w14:paraId="254C58CB" w14:textId="433DA338" w:rsidR="00DE4D58" w:rsidRDefault="00DE4D58" w:rsidP="00DE4D58">
      <w:r>
        <w:t xml:space="preserve">A Clínica Neurológica manteve um desempenho expressivamente acima da meta (263,0%), reafirmando o HUGO como referência em neurocirurgia e neurologia clínica </w:t>
      </w:r>
      <w:r>
        <w:lastRenderedPageBreak/>
        <w:t>na rede estadual. A Clínica Médica superou a meta contratualizada (104,9%) e a Clínica Cirúrgica alcançou 83,7%, mantendo-se em patamares próximos aos registados nos meses anteriores.</w:t>
      </w:r>
    </w:p>
    <w:p w14:paraId="7EA26972" w14:textId="7CF7321E" w:rsidR="00DE4D58" w:rsidRPr="00DE4D58" w:rsidRDefault="00DE4D58" w:rsidP="00DE4D58">
      <w:r>
        <w:t>Foram realizados 964 procedimentos cirúrgicos no período, sendo 555 eletivas/2º tempo e 409 de urgência. Embora represente um volume ligeiramente inferior ao do mês anterior (1.024 procedimentos), mantém-se compatível com a continuidade da resposta da unidade às demandas assistenciais de média e alta complexidade.</w:t>
      </w:r>
    </w:p>
    <w:p w14:paraId="4F4D1C02" w14:textId="405376FD" w:rsidR="00A4224E" w:rsidRPr="00DE5669" w:rsidRDefault="5BAFD5EC">
      <w:pPr>
        <w:pStyle w:val="Ttulo2"/>
        <w:ind w:left="-5"/>
      </w:pPr>
      <w:bookmarkStart w:id="13" w:name="_Toc234260323"/>
      <w:r>
        <w:t>2.3. Estratégias de Mitigação e Gestão de Risco Sanitário</w:t>
      </w:r>
      <w:bookmarkEnd w:id="10"/>
      <w:bookmarkEnd w:id="11"/>
      <w:bookmarkEnd w:id="12"/>
      <w:bookmarkEnd w:id="13"/>
    </w:p>
    <w:p w14:paraId="1A3FB8C9" w14:textId="525EEE8F" w:rsidR="3D15A949" w:rsidRPr="00147552" w:rsidRDefault="6D64F5DE" w:rsidP="005741C2">
      <w:pPr>
        <w:spacing w:before="240" w:after="240" w:line="276" w:lineRule="auto"/>
      </w:pPr>
      <w:r w:rsidRPr="47FCA86E">
        <w:rPr>
          <w:rFonts w:cs="Arial"/>
        </w:rPr>
        <w:t xml:space="preserve">O Serviço de Controle de Infecção </w:t>
      </w:r>
      <w:r w:rsidR="7CEAB277" w:rsidRPr="47FCA86E">
        <w:rPr>
          <w:rFonts w:cs="Arial"/>
        </w:rPr>
        <w:t>Relacionada à Assistência à Saúde (SCIRAS)</w:t>
      </w:r>
      <w:r w:rsidRPr="47FCA86E">
        <w:rPr>
          <w:rFonts w:cs="Arial"/>
        </w:rPr>
        <w:t>, em articulação sistemática com o Núcleo Interno de Regulação (NIR), executa programa estruturado de gerenciamento de precauções de contato e aerossóis, orientado à contenção da disseminação de microrganismos multirresistentes (M</w:t>
      </w:r>
      <w:r w:rsidR="37B3B890" w:rsidRPr="47FCA86E">
        <w:rPr>
          <w:rFonts w:cs="Arial"/>
        </w:rPr>
        <w:t>DR</w:t>
      </w:r>
      <w:r w:rsidRPr="47FCA86E">
        <w:rPr>
          <w:rFonts w:cs="Arial"/>
        </w:rPr>
        <w:t>), à preservação da capacidade regulatória de leitos e à garantia da segurança do paciente e das equipes assistenciais, em conformidade com as normas da ANVISA.</w:t>
      </w:r>
    </w:p>
    <w:p w14:paraId="3B2F5509" w14:textId="3B01C06F" w:rsidR="3D15A949" w:rsidRPr="00147552" w:rsidRDefault="6D64F5DE" w:rsidP="47FCA86E">
      <w:pPr>
        <w:spacing w:before="240" w:after="240" w:line="276" w:lineRule="auto"/>
      </w:pPr>
      <w:r w:rsidRPr="47FCA86E">
        <w:rPr>
          <w:rFonts w:cs="Arial"/>
        </w:rPr>
        <w:t>O programa compreende as seguintes intervenções estruturadas:</w:t>
      </w:r>
    </w:p>
    <w:p w14:paraId="55ECE8AD" w14:textId="0163E4DC" w:rsidR="3D15A949" w:rsidRPr="00147552" w:rsidRDefault="6D64F5DE" w:rsidP="47FCA86E">
      <w:pPr>
        <w:pStyle w:val="PargrafodaLista"/>
        <w:numPr>
          <w:ilvl w:val="0"/>
          <w:numId w:val="11"/>
        </w:numPr>
        <w:spacing w:after="0" w:line="276" w:lineRule="auto"/>
        <w:rPr>
          <w:rFonts w:cs="Arial"/>
        </w:rPr>
      </w:pPr>
      <w:r w:rsidRPr="47FCA86E">
        <w:rPr>
          <w:rFonts w:cs="Arial"/>
          <w:b/>
          <w:bCs/>
        </w:rPr>
        <w:t>Descolonização dirigida para MRSA</w:t>
      </w:r>
      <w:r w:rsidRPr="47FCA86E">
        <w:rPr>
          <w:rFonts w:cs="Arial"/>
        </w:rPr>
        <w:t xml:space="preserve"> — Aplicação de protocolo de descolonização baseado em evidências (banho com clorexidina 2% e mupirocina nasal 2%</w:t>
      </w:r>
      <w:r w:rsidR="77A7237F" w:rsidRPr="47FCA86E">
        <w:rPr>
          <w:rFonts w:cs="Arial"/>
        </w:rPr>
        <w:t xml:space="preserve"> por 5 dias</w:t>
      </w:r>
      <w:r w:rsidRPr="47FCA86E">
        <w:rPr>
          <w:rFonts w:cs="Arial"/>
        </w:rPr>
        <w:t>), com monitoramento ativo de adesão, visando à redução da carga de colonização, à prevenção de transmissão cruzada e ao encurtamento do período de isolamento por contato;</w:t>
      </w:r>
    </w:p>
    <w:p w14:paraId="627B807D" w14:textId="25DED7D7" w:rsidR="3D15A949" w:rsidRPr="00147552" w:rsidRDefault="6D64F5DE" w:rsidP="47FCA86E">
      <w:pPr>
        <w:pStyle w:val="PargrafodaLista"/>
        <w:numPr>
          <w:ilvl w:val="0"/>
          <w:numId w:val="11"/>
        </w:numPr>
        <w:spacing w:after="0" w:line="276" w:lineRule="auto"/>
        <w:rPr>
          <w:rFonts w:cs="Arial"/>
        </w:rPr>
      </w:pPr>
      <w:r w:rsidRPr="47FCA86E">
        <w:rPr>
          <w:rFonts w:cs="Arial"/>
          <w:b/>
          <w:bCs/>
        </w:rPr>
        <w:t>Coorte e reavaliação diária de precauções</w:t>
      </w:r>
      <w:r w:rsidRPr="47FCA86E">
        <w:rPr>
          <w:rFonts w:cs="Arial"/>
        </w:rPr>
        <w:t xml:space="preserve"> — Organização de coortes de pacientes colonizados ou infectados por M</w:t>
      </w:r>
      <w:r w:rsidR="66571CF0" w:rsidRPr="47FCA86E">
        <w:rPr>
          <w:rFonts w:cs="Arial"/>
        </w:rPr>
        <w:t>DR</w:t>
      </w:r>
      <w:r w:rsidRPr="47FCA86E">
        <w:rPr>
          <w:rFonts w:cs="Arial"/>
        </w:rPr>
        <w:t xml:space="preserve"> e revisão diária pela equipe do SCIH quanto à manutenção ou descontinuação das precauções especiais, assegurando alocação racional de leitos e equipamentos de proteção individual (EPI);</w:t>
      </w:r>
    </w:p>
    <w:p w14:paraId="480C2273" w14:textId="192CAABE" w:rsidR="3D15A949" w:rsidRPr="00147552" w:rsidRDefault="6D64F5DE" w:rsidP="47FCA86E">
      <w:pPr>
        <w:pStyle w:val="PargrafodaLista"/>
        <w:numPr>
          <w:ilvl w:val="0"/>
          <w:numId w:val="11"/>
        </w:numPr>
        <w:spacing w:after="0" w:line="276" w:lineRule="auto"/>
        <w:rPr>
          <w:rFonts w:cs="Arial"/>
        </w:rPr>
      </w:pPr>
      <w:r w:rsidRPr="47FCA86E">
        <w:rPr>
          <w:rFonts w:cs="Arial"/>
          <w:b/>
          <w:bCs/>
        </w:rPr>
        <w:t>Vigilância ativa microbiológica nas UTIs</w:t>
      </w:r>
      <w:r w:rsidRPr="47FCA86E">
        <w:rPr>
          <w:rFonts w:cs="Arial"/>
        </w:rPr>
        <w:t xml:space="preserve"> — Realização semanal de </w:t>
      </w:r>
      <w:proofErr w:type="spellStart"/>
      <w:r w:rsidRPr="47FCA86E">
        <w:rPr>
          <w:rFonts w:cs="Arial"/>
        </w:rPr>
        <w:t>swabs</w:t>
      </w:r>
      <w:proofErr w:type="spellEnd"/>
      <w:r w:rsidRPr="47FCA86E">
        <w:rPr>
          <w:rFonts w:cs="Arial"/>
        </w:rPr>
        <w:t xml:space="preserve"> de vigilância (retal e nasal/perianal) em pacientes internados nas Unidades de Terapia Intensiva, para detecção precoce de colonização por enterobactérias produtoras de carbapenemases (EPC), </w:t>
      </w:r>
      <w:r w:rsidRPr="47FCA86E">
        <w:rPr>
          <w:rFonts w:cs="Arial"/>
          <w:i/>
          <w:iCs/>
        </w:rPr>
        <w:t>Acinetobacter baumannii</w:t>
      </w:r>
      <w:r w:rsidRPr="47FCA86E">
        <w:rPr>
          <w:rFonts w:cs="Arial"/>
        </w:rPr>
        <w:t xml:space="preserve"> </w:t>
      </w:r>
      <w:proofErr w:type="spellStart"/>
      <w:r w:rsidRPr="47FCA86E">
        <w:rPr>
          <w:rFonts w:cs="Arial"/>
        </w:rPr>
        <w:t>carbapenem</w:t>
      </w:r>
      <w:proofErr w:type="spellEnd"/>
      <w:r w:rsidRPr="47FCA86E">
        <w:rPr>
          <w:rFonts w:cs="Arial"/>
        </w:rPr>
        <w:t xml:space="preserve">-resistente (CRAB) e </w:t>
      </w:r>
      <w:proofErr w:type="spellStart"/>
      <w:r w:rsidRPr="47FCA86E">
        <w:rPr>
          <w:rFonts w:cs="Arial"/>
        </w:rPr>
        <w:t>Enterococcus</w:t>
      </w:r>
      <w:proofErr w:type="spellEnd"/>
      <w:r w:rsidRPr="47FCA86E">
        <w:rPr>
          <w:rFonts w:cs="Arial"/>
        </w:rPr>
        <w:t xml:space="preserve"> resistente à vancomicina (VRE), subsidiando medidas de barreira e condutas assistenciais oportunas, em atendimento à PRC-5/2021 da ANVISA;</w:t>
      </w:r>
    </w:p>
    <w:p w14:paraId="5DF9A868" w14:textId="184A4596" w:rsidR="3D15A949" w:rsidRPr="00147552" w:rsidRDefault="6D64F5DE" w:rsidP="47FCA86E">
      <w:pPr>
        <w:pStyle w:val="PargrafodaLista"/>
        <w:numPr>
          <w:ilvl w:val="0"/>
          <w:numId w:val="11"/>
        </w:numPr>
        <w:spacing w:after="0" w:line="276" w:lineRule="auto"/>
        <w:rPr>
          <w:rFonts w:cs="Arial"/>
        </w:rPr>
      </w:pPr>
      <w:r w:rsidRPr="47FCA86E">
        <w:rPr>
          <w:rFonts w:cs="Arial"/>
          <w:b/>
          <w:bCs/>
        </w:rPr>
        <w:t>Investigação precoce de tuberculose</w:t>
      </w:r>
      <w:r w:rsidRPr="47FCA86E">
        <w:rPr>
          <w:rFonts w:cs="Arial"/>
        </w:rPr>
        <w:t xml:space="preserve"> — Coleta imediata de amostras respiratórias (escarro espontâneo ou induzido, lavado </w:t>
      </w:r>
      <w:proofErr w:type="spellStart"/>
      <w:r w:rsidRPr="47FCA86E">
        <w:rPr>
          <w:rFonts w:cs="Arial"/>
        </w:rPr>
        <w:t>broncoalveolar</w:t>
      </w:r>
      <w:proofErr w:type="spellEnd"/>
      <w:r w:rsidRPr="47FCA86E">
        <w:rPr>
          <w:rFonts w:cs="Arial"/>
        </w:rPr>
        <w:t xml:space="preserve">) para </w:t>
      </w:r>
      <w:r w:rsidRPr="47FCA86E">
        <w:rPr>
          <w:rFonts w:cs="Arial"/>
        </w:rPr>
        <w:lastRenderedPageBreak/>
        <w:t xml:space="preserve">baciloscopia, cultura de </w:t>
      </w:r>
      <w:r w:rsidRPr="47FCA86E">
        <w:rPr>
          <w:rFonts w:cs="Arial"/>
          <w:i/>
          <w:iCs/>
        </w:rPr>
        <w:t xml:space="preserve">Mycobacterium </w:t>
      </w:r>
      <w:proofErr w:type="spellStart"/>
      <w:r w:rsidRPr="47FCA86E">
        <w:rPr>
          <w:rFonts w:cs="Arial"/>
          <w:i/>
          <w:iCs/>
        </w:rPr>
        <w:t>tuberculosis</w:t>
      </w:r>
      <w:proofErr w:type="spellEnd"/>
      <w:r w:rsidRPr="47FCA86E">
        <w:rPr>
          <w:rFonts w:cs="Arial"/>
        </w:rPr>
        <w:t xml:space="preserve"> e teste molecular rápido (</w:t>
      </w:r>
      <w:proofErr w:type="spellStart"/>
      <w:r w:rsidRPr="47FCA86E">
        <w:rPr>
          <w:rFonts w:cs="Arial"/>
        </w:rPr>
        <w:t>GeneXpert</w:t>
      </w:r>
      <w:proofErr w:type="spellEnd"/>
      <w:r w:rsidRPr="47FCA86E">
        <w:rPr>
          <w:rFonts w:cs="Arial"/>
        </w:rPr>
        <w:t xml:space="preserve"> MTB/RIF) em pacientes com síndrome respiratória suspeita, garantindo diagnóstico oportuno, ativação imediata de precauções para aerossóis e manejo adequado do fluxo assistencial, conforme Nota Técnica ANVISA e diretrizes do Programa Nacional de Controle da Tuberculose (PNCT/MS);</w:t>
      </w:r>
    </w:p>
    <w:p w14:paraId="10B09D89" w14:textId="2539C874" w:rsidR="3D15A949" w:rsidRPr="00147552" w:rsidRDefault="6D64F5DE" w:rsidP="47FCA86E">
      <w:pPr>
        <w:pStyle w:val="PargrafodaLista"/>
        <w:numPr>
          <w:ilvl w:val="0"/>
          <w:numId w:val="11"/>
        </w:numPr>
        <w:spacing w:after="0" w:line="276" w:lineRule="auto"/>
        <w:rPr>
          <w:rFonts w:cs="Arial"/>
        </w:rPr>
      </w:pPr>
      <w:r w:rsidRPr="47FCA86E">
        <w:rPr>
          <w:rFonts w:cs="Arial"/>
          <w:b/>
          <w:bCs/>
        </w:rPr>
        <w:t>Investigação etiológica de diarreia associada a antimicrobianos</w:t>
      </w:r>
      <w:r w:rsidRPr="47FCA86E">
        <w:rPr>
          <w:rFonts w:cs="Arial"/>
        </w:rPr>
        <w:t xml:space="preserve"> — Pesquisa direcionada de </w:t>
      </w:r>
      <w:proofErr w:type="spellStart"/>
      <w:r w:rsidRPr="47FCA86E">
        <w:rPr>
          <w:rFonts w:cs="Arial"/>
          <w:i/>
          <w:iCs/>
        </w:rPr>
        <w:t>Clostridioides</w:t>
      </w:r>
      <w:proofErr w:type="spellEnd"/>
      <w:r w:rsidRPr="47FCA86E">
        <w:rPr>
          <w:rFonts w:cs="Arial"/>
          <w:i/>
          <w:iCs/>
        </w:rPr>
        <w:t xml:space="preserve"> </w:t>
      </w:r>
      <w:proofErr w:type="spellStart"/>
      <w:r w:rsidRPr="47FCA86E">
        <w:rPr>
          <w:rFonts w:cs="Arial"/>
          <w:i/>
          <w:iCs/>
        </w:rPr>
        <w:t>difficile</w:t>
      </w:r>
      <w:proofErr w:type="spellEnd"/>
      <w:r w:rsidRPr="47FCA86E">
        <w:rPr>
          <w:rFonts w:cs="Arial"/>
        </w:rPr>
        <w:t xml:space="preserve"> (toxinas A/B e/ou PCR) em pacientes com quadro diarreico e exposição recente a antimicrobianos ou inibidores de bomba de prótons, com implementação de precauções de contato reforçadas, prevenção de surtos intra-hospitalares e adequação terapêutica, em consonância com as diretrizes da ANVISA e IDSA/SHEA.</w:t>
      </w:r>
    </w:p>
    <w:p w14:paraId="0A9BE605" w14:textId="25E2E844" w:rsidR="3D15A949" w:rsidRPr="00147552" w:rsidRDefault="3D15A949" w:rsidP="00147552">
      <w:pPr>
        <w:spacing w:after="0" w:line="276" w:lineRule="auto"/>
        <w:ind w:left="0"/>
        <w:rPr>
          <w:rFonts w:cs="Arial"/>
        </w:rPr>
      </w:pPr>
    </w:p>
    <w:p w14:paraId="6BB0132D" w14:textId="74EE9F63" w:rsidR="297B62A6" w:rsidRPr="00DE5669" w:rsidRDefault="7A4300D0" w:rsidP="3D15A949">
      <w:pPr>
        <w:spacing w:before="240" w:after="240"/>
      </w:pPr>
      <w:r w:rsidRPr="47FCA86E">
        <w:rPr>
          <w:rFonts w:cs="Arial"/>
          <w:b/>
          <w:bCs/>
          <w:color w:val="0070C0"/>
        </w:rPr>
        <w:t xml:space="preserve">2.3.1 </w:t>
      </w:r>
      <w:r w:rsidR="3B4F31D5" w:rsidRPr="47FCA86E">
        <w:rPr>
          <w:rFonts w:cs="Arial"/>
          <w:b/>
          <w:bCs/>
          <w:color w:val="0070C0"/>
        </w:rPr>
        <w:t xml:space="preserve">Panorama Atual — Pacientes em </w:t>
      </w:r>
      <w:r w:rsidR="44A2D3DE" w:rsidRPr="47FCA86E">
        <w:rPr>
          <w:rFonts w:cs="Arial"/>
          <w:b/>
          <w:bCs/>
          <w:color w:val="0070C0"/>
        </w:rPr>
        <w:t>Precaução Especial</w:t>
      </w:r>
    </w:p>
    <w:p w14:paraId="0CFC32EE" w14:textId="232C0F7C" w:rsidR="2BCC444F" w:rsidRDefault="2BCC444F" w:rsidP="005741C2">
      <w:pPr>
        <w:spacing w:before="240" w:after="240"/>
        <w:rPr>
          <w:rFonts w:cs="Arial"/>
        </w:rPr>
      </w:pPr>
      <w:r w:rsidRPr="47FCA86E">
        <w:rPr>
          <w:rFonts w:cs="Arial"/>
        </w:rPr>
        <w:t>O hospital registra, no presente período, média de 69 pacientes sob precauções especiais. O perfil de precauções evidencia predominância das precauções de contato (68 casos; 97,1%), seguidas das precauções para aerossóis (1 caso; 1,4%).</w:t>
      </w:r>
    </w:p>
    <w:p w14:paraId="3B4D58C7" w14:textId="3A7FE6C8" w:rsidR="2BCC444F" w:rsidRDefault="2BCC444F" w:rsidP="005741C2">
      <w:pPr>
        <w:spacing w:before="240" w:after="240"/>
        <w:rPr>
          <w:rFonts w:cs="Arial"/>
        </w:rPr>
      </w:pPr>
      <w:r w:rsidRPr="47FCA86E">
        <w:rPr>
          <w:rFonts w:cs="Arial"/>
        </w:rPr>
        <w:t xml:space="preserve">O perfil etiológico demonstra predomínio de </w:t>
      </w:r>
      <w:proofErr w:type="spellStart"/>
      <w:r w:rsidRPr="47FCA86E">
        <w:rPr>
          <w:rFonts w:cs="Arial"/>
          <w:i/>
          <w:iCs/>
        </w:rPr>
        <w:t>Klebsiella</w:t>
      </w:r>
      <w:proofErr w:type="spellEnd"/>
      <w:r w:rsidRPr="47FCA86E">
        <w:rPr>
          <w:rFonts w:cs="Arial"/>
          <w:i/>
          <w:iCs/>
        </w:rPr>
        <w:t xml:space="preserve"> </w:t>
      </w:r>
      <w:proofErr w:type="spellStart"/>
      <w:r w:rsidRPr="47FCA86E">
        <w:rPr>
          <w:rFonts w:cs="Arial"/>
          <w:i/>
          <w:iCs/>
        </w:rPr>
        <w:t>pneumoniae</w:t>
      </w:r>
      <w:proofErr w:type="spellEnd"/>
      <w:r w:rsidRPr="47FCA86E">
        <w:rPr>
          <w:rFonts w:cs="Arial"/>
        </w:rPr>
        <w:t xml:space="preserve"> (57 casos; 72,2%), seguida de </w:t>
      </w:r>
      <w:r w:rsidRPr="47FCA86E">
        <w:rPr>
          <w:rFonts w:cs="Arial"/>
          <w:i/>
          <w:iCs/>
        </w:rPr>
        <w:t>Acinetobacter baumannii</w:t>
      </w:r>
      <w:r w:rsidRPr="47FCA86E">
        <w:rPr>
          <w:rFonts w:cs="Arial"/>
        </w:rPr>
        <w:t xml:space="preserve"> (14 casos; 17,7%) e </w:t>
      </w:r>
      <w:proofErr w:type="spellStart"/>
      <w:r w:rsidRPr="47FCA86E">
        <w:rPr>
          <w:rFonts w:cs="Arial"/>
          <w:i/>
          <w:iCs/>
        </w:rPr>
        <w:t>Staphylococcus</w:t>
      </w:r>
      <w:proofErr w:type="spellEnd"/>
      <w:r w:rsidRPr="47FCA86E">
        <w:rPr>
          <w:rFonts w:cs="Arial"/>
          <w:i/>
          <w:iCs/>
        </w:rPr>
        <w:t xml:space="preserve"> aureus</w:t>
      </w:r>
      <w:r w:rsidRPr="47FCA86E">
        <w:rPr>
          <w:rFonts w:cs="Arial"/>
        </w:rPr>
        <w:t xml:space="preserve"> – MRSA (4 casos; 5,1%). Completam o registro </w:t>
      </w:r>
      <w:proofErr w:type="spellStart"/>
      <w:r w:rsidRPr="47FCA86E">
        <w:rPr>
          <w:rFonts w:cs="Arial"/>
          <w:i/>
          <w:iCs/>
        </w:rPr>
        <w:t>Clostridioides</w:t>
      </w:r>
      <w:proofErr w:type="spellEnd"/>
      <w:r w:rsidRPr="47FCA86E">
        <w:rPr>
          <w:rFonts w:cs="Arial"/>
          <w:i/>
          <w:iCs/>
        </w:rPr>
        <w:t xml:space="preserve"> </w:t>
      </w:r>
      <w:proofErr w:type="spellStart"/>
      <w:r w:rsidRPr="47FCA86E">
        <w:rPr>
          <w:rFonts w:cs="Arial"/>
          <w:i/>
          <w:iCs/>
        </w:rPr>
        <w:t>difficile</w:t>
      </w:r>
      <w:proofErr w:type="spellEnd"/>
      <w:r w:rsidRPr="47FCA86E">
        <w:rPr>
          <w:rFonts w:cs="Arial"/>
        </w:rPr>
        <w:t xml:space="preserve"> (2 casos; 2,5%), VRE </w:t>
      </w:r>
      <w:proofErr w:type="spellStart"/>
      <w:r w:rsidRPr="47FCA86E">
        <w:rPr>
          <w:rFonts w:cs="Arial"/>
        </w:rPr>
        <w:t>faecium</w:t>
      </w:r>
      <w:proofErr w:type="spellEnd"/>
      <w:r w:rsidRPr="47FCA86E">
        <w:rPr>
          <w:rFonts w:cs="Arial"/>
        </w:rPr>
        <w:t xml:space="preserve"> (1 caso; 1,3%) e </w:t>
      </w:r>
      <w:proofErr w:type="spellStart"/>
      <w:r w:rsidRPr="47FCA86E">
        <w:rPr>
          <w:rFonts w:cs="Arial"/>
          <w:i/>
          <w:iCs/>
        </w:rPr>
        <w:t>Serratia</w:t>
      </w:r>
      <w:proofErr w:type="spellEnd"/>
      <w:r w:rsidRPr="47FCA86E">
        <w:rPr>
          <w:rFonts w:cs="Arial"/>
          <w:i/>
          <w:iCs/>
        </w:rPr>
        <w:t xml:space="preserve"> </w:t>
      </w:r>
      <w:proofErr w:type="spellStart"/>
      <w:r w:rsidRPr="47FCA86E">
        <w:rPr>
          <w:rFonts w:cs="Arial"/>
          <w:i/>
          <w:iCs/>
        </w:rPr>
        <w:t>marcescens</w:t>
      </w:r>
      <w:proofErr w:type="spellEnd"/>
      <w:r w:rsidRPr="47FCA86E">
        <w:rPr>
          <w:rFonts w:cs="Arial"/>
        </w:rPr>
        <w:t xml:space="preserve"> (1 caso; 1,3%). Juntos, </w:t>
      </w:r>
      <w:r w:rsidRPr="47FCA86E">
        <w:rPr>
          <w:rFonts w:cs="Arial"/>
          <w:i/>
          <w:iCs/>
        </w:rPr>
        <w:t xml:space="preserve">K. </w:t>
      </w:r>
      <w:proofErr w:type="spellStart"/>
      <w:r w:rsidRPr="47FCA86E">
        <w:rPr>
          <w:rFonts w:cs="Arial"/>
          <w:i/>
          <w:iCs/>
        </w:rPr>
        <w:t>pneumoniae</w:t>
      </w:r>
      <w:proofErr w:type="spellEnd"/>
      <w:r w:rsidRPr="47FCA86E">
        <w:rPr>
          <w:rFonts w:cs="Arial"/>
        </w:rPr>
        <w:t xml:space="preserve"> e </w:t>
      </w:r>
      <w:r w:rsidRPr="47FCA86E">
        <w:rPr>
          <w:rFonts w:cs="Arial"/>
          <w:i/>
          <w:iCs/>
        </w:rPr>
        <w:t>A. baumannii</w:t>
      </w:r>
      <w:r w:rsidRPr="47FCA86E">
        <w:rPr>
          <w:rFonts w:cs="Arial"/>
        </w:rPr>
        <w:t xml:space="preserve"> respondem por 89,9% dos casos, reforçando a necessidade de intensificação contínua das medidas de vigilância ativa, coorte e controle de disseminação horizontal, em conformidade com a PRC-5/2021 da ANVISA</w:t>
      </w:r>
      <w:r w:rsidR="212182EF" w:rsidRPr="47FCA86E">
        <w:rPr>
          <w:rFonts w:cs="Arial"/>
        </w:rPr>
        <w:t>.</w:t>
      </w:r>
    </w:p>
    <w:p w14:paraId="5C7C0666" w14:textId="57DA16AB" w:rsidR="1BBEFC82" w:rsidRDefault="1BBEFC82" w:rsidP="1BBEFC82">
      <w:pPr>
        <w:spacing w:after="0" w:line="276" w:lineRule="auto"/>
        <w:ind w:firstLine="720"/>
        <w:rPr>
          <w:rFonts w:cs="Arial"/>
        </w:rPr>
      </w:pPr>
    </w:p>
    <w:p w14:paraId="34A6FB5A" w14:textId="77777777" w:rsidR="00DA5DF7" w:rsidRDefault="00DA5DF7" w:rsidP="1BBEFC82">
      <w:pPr>
        <w:spacing w:after="0" w:line="276" w:lineRule="auto"/>
        <w:ind w:firstLine="720"/>
        <w:rPr>
          <w:rFonts w:cs="Arial"/>
        </w:rPr>
      </w:pPr>
    </w:p>
    <w:p w14:paraId="4095C24B" w14:textId="77777777" w:rsidR="00DA5DF7" w:rsidRDefault="00DA5DF7" w:rsidP="1BBEFC82">
      <w:pPr>
        <w:spacing w:after="0" w:line="276" w:lineRule="auto"/>
        <w:ind w:firstLine="720"/>
        <w:rPr>
          <w:rFonts w:cs="Arial"/>
        </w:rPr>
      </w:pPr>
    </w:p>
    <w:p w14:paraId="6ED1A7F1" w14:textId="77777777" w:rsidR="00DA5DF7" w:rsidRPr="00DE5669" w:rsidRDefault="00DA5DF7" w:rsidP="1BBEFC82">
      <w:pPr>
        <w:spacing w:after="0" w:line="276" w:lineRule="auto"/>
        <w:ind w:firstLine="720"/>
        <w:rPr>
          <w:rFonts w:cs="Arial"/>
        </w:rPr>
      </w:pPr>
    </w:p>
    <w:p w14:paraId="741D746F" w14:textId="77777777" w:rsidR="005741C2" w:rsidRDefault="005741C2">
      <w:pPr>
        <w:pStyle w:val="Ttulo1"/>
        <w:ind w:left="-5"/>
      </w:pPr>
      <w:r>
        <w:br w:type="page"/>
      </w:r>
    </w:p>
    <w:p w14:paraId="77401C4B" w14:textId="77777777" w:rsidR="00A4224E" w:rsidRPr="00DE5669" w:rsidRDefault="417E8947">
      <w:pPr>
        <w:pStyle w:val="Ttulo1"/>
        <w:ind w:left="-5"/>
      </w:pPr>
      <w:bookmarkStart w:id="14" w:name="_Toc234260324"/>
      <w:r w:rsidRPr="00DE5669">
        <w:lastRenderedPageBreak/>
        <w:t>3. Atendimentos e Consultas Ambulatoriais</w:t>
      </w:r>
      <w:bookmarkEnd w:id="14"/>
      <w:r w:rsidRPr="00DE5669">
        <w:t xml:space="preserve"> </w:t>
      </w:r>
    </w:p>
    <w:tbl>
      <w:tblPr>
        <w:tblW w:w="9072" w:type="dxa"/>
        <w:tblInd w:w="1" w:type="dxa"/>
        <w:tblCellMar>
          <w:top w:w="96" w:type="dxa"/>
          <w:left w:w="120" w:type="dxa"/>
          <w:right w:w="115" w:type="dxa"/>
        </w:tblCellMar>
        <w:tblLook w:val="04A0" w:firstRow="1" w:lastRow="0" w:firstColumn="1" w:lastColumn="0" w:noHBand="0" w:noVBand="1"/>
      </w:tblPr>
      <w:tblGrid>
        <w:gridCol w:w="5039"/>
        <w:gridCol w:w="2016"/>
        <w:gridCol w:w="2017"/>
      </w:tblGrid>
      <w:tr w:rsidR="00263901" w:rsidRPr="00DE5669" w14:paraId="35961B65" w14:textId="77777777" w:rsidTr="1A6EC8B6">
        <w:trPr>
          <w:trHeight w:val="461"/>
        </w:trPr>
        <w:tc>
          <w:tcPr>
            <w:tcW w:w="5039"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6594B72E" w14:textId="01F6C6ED" w:rsidR="00A4224E" w:rsidRPr="00DE5669" w:rsidRDefault="1801D828" w:rsidP="61F2CE04">
            <w:pPr>
              <w:spacing w:after="0"/>
              <w:jc w:val="center"/>
              <w:rPr>
                <w:rFonts w:cs="Arial"/>
                <w:b/>
                <w:bCs/>
                <w:sz w:val="22"/>
                <w:szCs w:val="22"/>
              </w:rPr>
            </w:pPr>
            <w:r w:rsidRPr="00DE5669">
              <w:rPr>
                <w:rFonts w:cs="Arial"/>
                <w:b/>
                <w:bCs/>
                <w:sz w:val="22"/>
                <w:szCs w:val="22"/>
              </w:rPr>
              <w:t>Atendimentos Ambulatoriais</w:t>
            </w:r>
          </w:p>
        </w:tc>
        <w:tc>
          <w:tcPr>
            <w:tcW w:w="2016"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15C8AAD0" w14:textId="77777777" w:rsidR="0DD6029D" w:rsidRPr="00DE5669" w:rsidRDefault="77F75FC0" w:rsidP="61F2CE04">
            <w:pPr>
              <w:spacing w:after="0"/>
              <w:ind w:right="9"/>
              <w:jc w:val="center"/>
              <w:rPr>
                <w:rFonts w:cs="Arial"/>
                <w:b/>
                <w:bCs/>
                <w:sz w:val="22"/>
                <w:szCs w:val="22"/>
              </w:rPr>
            </w:pPr>
            <w:r w:rsidRPr="00DE5669">
              <w:rPr>
                <w:rFonts w:cs="Arial"/>
                <w:b/>
                <w:bCs/>
                <w:sz w:val="22"/>
                <w:szCs w:val="22"/>
              </w:rPr>
              <w:t>Meta</w:t>
            </w:r>
            <w:r w:rsidRPr="00DE5669">
              <w:rPr>
                <w:rFonts w:cs="Arial"/>
                <w:sz w:val="22"/>
                <w:szCs w:val="22"/>
              </w:rPr>
              <w:t xml:space="preserve"> </w:t>
            </w:r>
          </w:p>
        </w:tc>
        <w:tc>
          <w:tcPr>
            <w:tcW w:w="2017"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7A1ADD72" w14:textId="77777777" w:rsidR="0DD6029D" w:rsidRPr="00DE5669" w:rsidRDefault="77F75FC0" w:rsidP="61F2CE04">
            <w:pPr>
              <w:spacing w:after="0"/>
              <w:ind w:right="4"/>
              <w:jc w:val="center"/>
              <w:rPr>
                <w:rFonts w:cs="Arial"/>
                <w:b/>
                <w:bCs/>
                <w:sz w:val="22"/>
                <w:szCs w:val="22"/>
              </w:rPr>
            </w:pPr>
            <w:r w:rsidRPr="00DE5669">
              <w:rPr>
                <w:rFonts w:cs="Arial"/>
                <w:b/>
                <w:bCs/>
                <w:sz w:val="22"/>
                <w:szCs w:val="22"/>
              </w:rPr>
              <w:t>Produção</w:t>
            </w:r>
            <w:r w:rsidRPr="00DE5669">
              <w:rPr>
                <w:rFonts w:cs="Arial"/>
                <w:sz w:val="22"/>
                <w:szCs w:val="22"/>
              </w:rPr>
              <w:t xml:space="preserve"> </w:t>
            </w:r>
          </w:p>
        </w:tc>
      </w:tr>
      <w:tr w:rsidR="00263901" w:rsidRPr="00DE5669" w14:paraId="116B8A4F" w14:textId="77777777" w:rsidTr="1A6EC8B6">
        <w:trPr>
          <w:trHeight w:val="283"/>
        </w:trPr>
        <w:tc>
          <w:tcPr>
            <w:tcW w:w="5039" w:type="dxa"/>
            <w:tcBorders>
              <w:top w:val="single" w:sz="2" w:space="0" w:color="999999"/>
              <w:left w:val="single" w:sz="2" w:space="0" w:color="999999"/>
              <w:bottom w:val="single" w:sz="2" w:space="0" w:color="999999"/>
              <w:right w:val="single" w:sz="2" w:space="0" w:color="999999"/>
            </w:tcBorders>
            <w:vAlign w:val="center"/>
          </w:tcPr>
          <w:p w14:paraId="5AA5C77C" w14:textId="77777777" w:rsidR="00A4224E" w:rsidRPr="00DE5669" w:rsidRDefault="00EE0FC9" w:rsidP="61F2CE04">
            <w:pPr>
              <w:spacing w:after="0"/>
              <w:rPr>
                <w:rFonts w:cs="Arial"/>
                <w:sz w:val="22"/>
                <w:szCs w:val="22"/>
              </w:rPr>
            </w:pPr>
            <w:r w:rsidRPr="00DE5669">
              <w:rPr>
                <w:rFonts w:cs="Arial"/>
                <w:sz w:val="22"/>
                <w:szCs w:val="22"/>
              </w:rPr>
              <w:t xml:space="preserve">Consulta médica na Atenção Especializada </w:t>
            </w:r>
          </w:p>
        </w:tc>
        <w:tc>
          <w:tcPr>
            <w:tcW w:w="2016" w:type="dxa"/>
            <w:tcBorders>
              <w:top w:val="single" w:sz="2" w:space="0" w:color="999999"/>
              <w:left w:val="single" w:sz="2" w:space="0" w:color="999999"/>
              <w:bottom w:val="single" w:sz="2" w:space="0" w:color="999999"/>
              <w:right w:val="single" w:sz="2" w:space="0" w:color="999999"/>
            </w:tcBorders>
          </w:tcPr>
          <w:p w14:paraId="24E2B910" w14:textId="7880B17F" w:rsidR="00A4224E" w:rsidRPr="00DE5669" w:rsidRDefault="36621E4B" w:rsidP="61F2CE04">
            <w:pPr>
              <w:spacing w:after="0"/>
              <w:ind w:left="3"/>
              <w:jc w:val="center"/>
              <w:rPr>
                <w:rFonts w:cs="Arial"/>
                <w:sz w:val="22"/>
                <w:szCs w:val="22"/>
              </w:rPr>
            </w:pPr>
            <w:r w:rsidRPr="00DE5669">
              <w:rPr>
                <w:rFonts w:cs="Arial"/>
                <w:sz w:val="22"/>
                <w:szCs w:val="22"/>
              </w:rPr>
              <w:t>3.400</w:t>
            </w:r>
          </w:p>
        </w:tc>
        <w:tc>
          <w:tcPr>
            <w:tcW w:w="2017" w:type="dxa"/>
            <w:tcBorders>
              <w:top w:val="single" w:sz="2" w:space="0" w:color="999999"/>
              <w:left w:val="single" w:sz="2" w:space="0" w:color="999999"/>
              <w:bottom w:val="single" w:sz="2" w:space="0" w:color="999999"/>
              <w:right w:val="single" w:sz="2" w:space="0" w:color="999999"/>
            </w:tcBorders>
          </w:tcPr>
          <w:p w14:paraId="2525C4E4" w14:textId="51269B17" w:rsidR="61F2CE04" w:rsidRPr="00DE5669" w:rsidRDefault="004C3B95" w:rsidP="1A6EC8B6">
            <w:pPr>
              <w:spacing w:after="0"/>
              <w:jc w:val="center"/>
              <w:rPr>
                <w:rFonts w:cs="Arial"/>
              </w:rPr>
            </w:pPr>
            <w:r>
              <w:rPr>
                <w:rFonts w:cs="Arial"/>
              </w:rPr>
              <w:t>3.688</w:t>
            </w:r>
          </w:p>
        </w:tc>
      </w:tr>
      <w:tr w:rsidR="00263901" w:rsidRPr="00DE5669" w14:paraId="2A0A5DB7" w14:textId="77777777" w:rsidTr="1A6EC8B6">
        <w:trPr>
          <w:trHeight w:val="283"/>
        </w:trPr>
        <w:tc>
          <w:tcPr>
            <w:tcW w:w="5039" w:type="dxa"/>
            <w:tcBorders>
              <w:top w:val="single" w:sz="2" w:space="0" w:color="999999"/>
              <w:left w:val="single" w:sz="2" w:space="0" w:color="999999"/>
              <w:bottom w:val="single" w:sz="2" w:space="0" w:color="999999"/>
              <w:right w:val="single" w:sz="2" w:space="0" w:color="999999"/>
            </w:tcBorders>
          </w:tcPr>
          <w:p w14:paraId="65A5C2CD" w14:textId="77777777" w:rsidR="00A4224E" w:rsidRPr="00DE5669" w:rsidRDefault="00EE0FC9" w:rsidP="61F2CE04">
            <w:pPr>
              <w:spacing w:after="0"/>
              <w:rPr>
                <w:rFonts w:cs="Arial"/>
                <w:sz w:val="22"/>
                <w:szCs w:val="22"/>
              </w:rPr>
            </w:pPr>
            <w:r w:rsidRPr="00DE5669">
              <w:rPr>
                <w:rFonts w:cs="Arial"/>
                <w:sz w:val="22"/>
                <w:szCs w:val="22"/>
              </w:rPr>
              <w:t xml:space="preserve">Consulta multiprofissional na Atenção Especializada </w:t>
            </w:r>
          </w:p>
        </w:tc>
        <w:tc>
          <w:tcPr>
            <w:tcW w:w="2016" w:type="dxa"/>
            <w:tcBorders>
              <w:top w:val="single" w:sz="2" w:space="0" w:color="999999"/>
              <w:left w:val="single" w:sz="2" w:space="0" w:color="999999"/>
              <w:bottom w:val="single" w:sz="2" w:space="0" w:color="999999"/>
              <w:right w:val="single" w:sz="2" w:space="0" w:color="999999"/>
            </w:tcBorders>
            <w:vAlign w:val="center"/>
          </w:tcPr>
          <w:p w14:paraId="232F24F7" w14:textId="5863EAF0" w:rsidR="00A4224E" w:rsidRPr="00DE5669" w:rsidRDefault="36621E4B" w:rsidP="61F2CE04">
            <w:pPr>
              <w:spacing w:after="0"/>
              <w:ind w:left="3"/>
              <w:jc w:val="center"/>
              <w:rPr>
                <w:rFonts w:cs="Arial"/>
                <w:sz w:val="22"/>
                <w:szCs w:val="22"/>
              </w:rPr>
            </w:pPr>
            <w:r w:rsidRPr="00DE5669">
              <w:rPr>
                <w:rFonts w:cs="Arial"/>
                <w:sz w:val="22"/>
                <w:szCs w:val="22"/>
              </w:rPr>
              <w:t>1.700</w:t>
            </w:r>
          </w:p>
        </w:tc>
        <w:tc>
          <w:tcPr>
            <w:tcW w:w="2017" w:type="dxa"/>
            <w:tcBorders>
              <w:top w:val="single" w:sz="2" w:space="0" w:color="999999"/>
              <w:left w:val="single" w:sz="2" w:space="0" w:color="999999"/>
              <w:bottom w:val="single" w:sz="2" w:space="0" w:color="999999"/>
              <w:right w:val="single" w:sz="2" w:space="0" w:color="999999"/>
            </w:tcBorders>
            <w:vAlign w:val="center"/>
          </w:tcPr>
          <w:p w14:paraId="477774FE" w14:textId="07AEAE4B" w:rsidR="61F2CE04" w:rsidRPr="00DE5669" w:rsidRDefault="00AC5B8F" w:rsidP="1A6EC8B6">
            <w:pPr>
              <w:spacing w:after="0"/>
              <w:jc w:val="center"/>
              <w:rPr>
                <w:rFonts w:cs="Arial"/>
              </w:rPr>
            </w:pPr>
            <w:r>
              <w:rPr>
                <w:rFonts w:cs="Arial"/>
              </w:rPr>
              <w:t>4.067</w:t>
            </w:r>
          </w:p>
        </w:tc>
      </w:tr>
      <w:tr w:rsidR="00263901" w:rsidRPr="00DE5669" w14:paraId="28A72EF3" w14:textId="77777777" w:rsidTr="1A6EC8B6">
        <w:trPr>
          <w:trHeight w:val="283"/>
        </w:trPr>
        <w:tc>
          <w:tcPr>
            <w:tcW w:w="5039" w:type="dxa"/>
            <w:tcBorders>
              <w:top w:val="single" w:sz="2" w:space="0" w:color="999999"/>
              <w:left w:val="single" w:sz="2" w:space="0" w:color="999999"/>
              <w:bottom w:val="single" w:sz="2" w:space="0" w:color="999999"/>
              <w:right w:val="single" w:sz="2" w:space="0" w:color="999999"/>
            </w:tcBorders>
          </w:tcPr>
          <w:p w14:paraId="6ABA0BDF" w14:textId="77777777" w:rsidR="00A4224E" w:rsidRPr="00DE5669" w:rsidRDefault="00EE0FC9" w:rsidP="61F2CE04">
            <w:pPr>
              <w:spacing w:after="0"/>
              <w:rPr>
                <w:rFonts w:cs="Arial"/>
                <w:sz w:val="22"/>
                <w:szCs w:val="22"/>
              </w:rPr>
            </w:pPr>
            <w:r w:rsidRPr="00DE5669">
              <w:rPr>
                <w:rFonts w:cs="Arial"/>
                <w:sz w:val="22"/>
                <w:szCs w:val="22"/>
              </w:rPr>
              <w:t xml:space="preserve">Pequeno procedimento ambulatorial (faturamento via BPA) </w:t>
            </w:r>
          </w:p>
        </w:tc>
        <w:tc>
          <w:tcPr>
            <w:tcW w:w="2016" w:type="dxa"/>
            <w:tcBorders>
              <w:top w:val="single" w:sz="2" w:space="0" w:color="999999"/>
              <w:left w:val="single" w:sz="2" w:space="0" w:color="999999"/>
              <w:bottom w:val="single" w:sz="2" w:space="0" w:color="999999"/>
              <w:right w:val="single" w:sz="2" w:space="0" w:color="999999"/>
            </w:tcBorders>
            <w:vAlign w:val="center"/>
          </w:tcPr>
          <w:p w14:paraId="7E665468" w14:textId="365B6032" w:rsidR="00A4224E" w:rsidRPr="00DE5669" w:rsidRDefault="3986B615" w:rsidP="61F2CE04">
            <w:pPr>
              <w:spacing w:after="0"/>
              <w:ind w:left="3"/>
              <w:jc w:val="center"/>
              <w:rPr>
                <w:rFonts w:cs="Arial"/>
                <w:sz w:val="22"/>
                <w:szCs w:val="22"/>
              </w:rPr>
            </w:pPr>
            <w:r w:rsidRPr="00DE5669">
              <w:rPr>
                <w:rFonts w:cs="Arial"/>
                <w:sz w:val="22"/>
                <w:szCs w:val="22"/>
              </w:rPr>
              <w:t>285</w:t>
            </w:r>
          </w:p>
        </w:tc>
        <w:tc>
          <w:tcPr>
            <w:tcW w:w="2017" w:type="dxa"/>
            <w:tcBorders>
              <w:top w:val="single" w:sz="2" w:space="0" w:color="999999"/>
              <w:left w:val="single" w:sz="2" w:space="0" w:color="999999"/>
              <w:bottom w:val="single" w:sz="2" w:space="0" w:color="999999"/>
              <w:right w:val="single" w:sz="2" w:space="0" w:color="999999"/>
            </w:tcBorders>
            <w:vAlign w:val="center"/>
          </w:tcPr>
          <w:p w14:paraId="7B2A22A1" w14:textId="3EA1C717" w:rsidR="61F2CE04" w:rsidRPr="00DE5669" w:rsidRDefault="00E246B8" w:rsidP="1A6EC8B6">
            <w:pPr>
              <w:spacing w:after="0"/>
              <w:jc w:val="center"/>
              <w:rPr>
                <w:rFonts w:cs="Arial"/>
              </w:rPr>
            </w:pPr>
            <w:r>
              <w:rPr>
                <w:rFonts w:cs="Arial"/>
              </w:rPr>
              <w:t>653</w:t>
            </w:r>
          </w:p>
        </w:tc>
      </w:tr>
      <w:tr w:rsidR="00263901" w:rsidRPr="00DE5669" w14:paraId="5ABD820A" w14:textId="77777777" w:rsidTr="1A6EC8B6">
        <w:trPr>
          <w:trHeight w:val="283"/>
        </w:trPr>
        <w:tc>
          <w:tcPr>
            <w:tcW w:w="5039" w:type="dxa"/>
            <w:tcBorders>
              <w:top w:val="single" w:sz="2" w:space="0" w:color="999999"/>
              <w:left w:val="single" w:sz="2" w:space="0" w:color="999999"/>
              <w:bottom w:val="single" w:sz="2" w:space="0" w:color="999999"/>
              <w:right w:val="single" w:sz="2" w:space="0" w:color="999999"/>
            </w:tcBorders>
            <w:vAlign w:val="center"/>
          </w:tcPr>
          <w:p w14:paraId="30C0FB8B" w14:textId="77777777" w:rsidR="00A4224E" w:rsidRPr="00DE5669" w:rsidRDefault="00EE0FC9" w:rsidP="61F2CE04">
            <w:pPr>
              <w:spacing w:after="0"/>
              <w:rPr>
                <w:rFonts w:cs="Arial"/>
                <w:sz w:val="22"/>
                <w:szCs w:val="22"/>
              </w:rPr>
            </w:pPr>
            <w:r w:rsidRPr="00DE5669">
              <w:rPr>
                <w:rFonts w:cs="Arial"/>
                <w:sz w:val="22"/>
                <w:szCs w:val="22"/>
              </w:rPr>
              <w:t xml:space="preserve">Hospital Dia </w:t>
            </w:r>
          </w:p>
        </w:tc>
        <w:tc>
          <w:tcPr>
            <w:tcW w:w="2016" w:type="dxa"/>
            <w:tcBorders>
              <w:top w:val="single" w:sz="2" w:space="0" w:color="999999"/>
              <w:left w:val="single" w:sz="2" w:space="0" w:color="999999"/>
              <w:bottom w:val="single" w:sz="2" w:space="0" w:color="999999"/>
              <w:right w:val="single" w:sz="2" w:space="0" w:color="999999"/>
            </w:tcBorders>
            <w:vAlign w:val="center"/>
          </w:tcPr>
          <w:p w14:paraId="767EC01C" w14:textId="06B970C0" w:rsidR="00A4224E" w:rsidRPr="00DE5669" w:rsidRDefault="73B4EBC4" w:rsidP="61F2CE04">
            <w:pPr>
              <w:spacing w:after="0"/>
              <w:ind w:left="3"/>
              <w:jc w:val="center"/>
              <w:rPr>
                <w:rFonts w:cs="Arial"/>
                <w:sz w:val="22"/>
                <w:szCs w:val="22"/>
              </w:rPr>
            </w:pPr>
            <w:r w:rsidRPr="00DE5669">
              <w:rPr>
                <w:rFonts w:cs="Arial"/>
                <w:sz w:val="22"/>
                <w:szCs w:val="22"/>
              </w:rPr>
              <w:t>365</w:t>
            </w:r>
          </w:p>
        </w:tc>
        <w:tc>
          <w:tcPr>
            <w:tcW w:w="2017" w:type="dxa"/>
            <w:tcBorders>
              <w:top w:val="single" w:sz="2" w:space="0" w:color="999999"/>
              <w:left w:val="single" w:sz="2" w:space="0" w:color="999999"/>
              <w:bottom w:val="single" w:sz="2" w:space="0" w:color="999999"/>
              <w:right w:val="single" w:sz="2" w:space="0" w:color="999999"/>
            </w:tcBorders>
            <w:vAlign w:val="center"/>
          </w:tcPr>
          <w:p w14:paraId="779CF059" w14:textId="6D98863C" w:rsidR="00A4224E" w:rsidRPr="00DE5669" w:rsidRDefault="00782D67" w:rsidP="00E83F3E">
            <w:pPr>
              <w:jc w:val="center"/>
              <w:rPr>
                <w:rFonts w:cs="Arial"/>
              </w:rPr>
            </w:pPr>
            <w:r>
              <w:rPr>
                <w:rFonts w:cs="Arial"/>
              </w:rPr>
              <w:t>595</w:t>
            </w:r>
          </w:p>
        </w:tc>
      </w:tr>
    </w:tbl>
    <w:p w14:paraId="04D8EFC2" w14:textId="77777777" w:rsidR="00A3347F" w:rsidRPr="00DE5669" w:rsidRDefault="00A3347F" w:rsidP="005447A2">
      <w:pPr>
        <w:pStyle w:val="Ttulo2"/>
        <w:ind w:left="0" w:firstLine="0"/>
      </w:pPr>
    </w:p>
    <w:p w14:paraId="35AF61DF" w14:textId="5B0D71F0" w:rsidR="00A4224E" w:rsidRPr="00DE5669" w:rsidRDefault="45BFB3F1" w:rsidP="005447A2">
      <w:pPr>
        <w:pStyle w:val="Ttulo2"/>
        <w:ind w:left="0" w:firstLine="0"/>
      </w:pPr>
      <w:bookmarkStart w:id="15" w:name="_Toc224057604"/>
      <w:bookmarkStart w:id="16" w:name="_Toc229241757"/>
      <w:bookmarkStart w:id="17" w:name="_Toc231974383"/>
      <w:bookmarkStart w:id="18" w:name="_Toc234260325"/>
      <w:r>
        <w:t>3.1. Análise Crítica</w:t>
      </w:r>
      <w:bookmarkEnd w:id="15"/>
      <w:bookmarkEnd w:id="16"/>
      <w:bookmarkEnd w:id="17"/>
      <w:bookmarkEnd w:id="18"/>
      <w:r>
        <w:t xml:space="preserve"> </w:t>
      </w:r>
    </w:p>
    <w:p w14:paraId="7010498F" w14:textId="439103AB" w:rsidR="00AB40B9" w:rsidRPr="00AB40B9" w:rsidRDefault="00AB40B9" w:rsidP="00AB40B9">
      <w:pPr>
        <w:spacing w:before="240" w:after="240"/>
        <w:ind w:left="0"/>
        <w:rPr>
          <w:rFonts w:cs="Arial"/>
        </w:rPr>
      </w:pPr>
      <w:r w:rsidRPr="00AB40B9">
        <w:rPr>
          <w:rFonts w:cs="Arial"/>
        </w:rPr>
        <w:t>A produção ambulatorial do HUGO em junho de 2026 refletiu a continuidade das linhas de cuidado estabelecidas pelo Termo de Colaboração.</w:t>
      </w:r>
    </w:p>
    <w:p w14:paraId="087240B7" w14:textId="4D77ECE9" w:rsidR="00AB40B9" w:rsidRPr="00AB40B9" w:rsidRDefault="00AB40B9" w:rsidP="00AB40B9">
      <w:pPr>
        <w:spacing w:before="240" w:after="240"/>
        <w:ind w:left="0"/>
        <w:rPr>
          <w:rFonts w:cs="Arial"/>
        </w:rPr>
      </w:pPr>
      <w:r w:rsidRPr="00AB40B9">
        <w:rPr>
          <w:rFonts w:cs="Arial"/>
        </w:rPr>
        <w:t>A oferta de consultas médicas na Atenção Especializada permaneceu em patamar superior à meta contratualizada (3.688 atendimentos), assegurando o seguimento ambulatorial dos pacientes egressos e a articulação com os ambulatórios de referência.</w:t>
      </w:r>
    </w:p>
    <w:p w14:paraId="0E237EDF" w14:textId="22295F95" w:rsidR="00BE544D" w:rsidRDefault="00AB40B9" w:rsidP="00AB40B9">
      <w:pPr>
        <w:spacing w:before="240" w:after="240"/>
        <w:ind w:left="0"/>
        <w:rPr>
          <w:rFonts w:cs="Arial"/>
        </w:rPr>
      </w:pPr>
      <w:r w:rsidRPr="00AB40B9">
        <w:rPr>
          <w:rFonts w:cs="Arial"/>
        </w:rPr>
        <w:t xml:space="preserve">Os pequenos </w:t>
      </w:r>
      <w:r w:rsidRPr="00C44BE0">
        <w:rPr>
          <w:rFonts w:cs="Arial"/>
        </w:rPr>
        <w:t>procedimentos</w:t>
      </w:r>
      <w:r w:rsidRPr="00AB40B9">
        <w:rPr>
          <w:rFonts w:cs="Arial"/>
        </w:rPr>
        <w:t xml:space="preserve"> ambulatoriais somaram 653 realizações no período. As consultas multiprofissionais (4.067 atendimentos) e o Hospital Dia (595 atendimentos) mantiveram sua operação regular e com entregas expressivamente superiores às metas, em conformidade com o escopo pactuado.</w:t>
      </w:r>
    </w:p>
    <w:p w14:paraId="32B4FEB1" w14:textId="04B1D6F4" w:rsidR="4639ED2E" w:rsidRPr="00DE5669" w:rsidRDefault="00EE0FC9" w:rsidP="005447A2">
      <w:pPr>
        <w:spacing w:after="135"/>
        <w:ind w:hanging="10"/>
        <w:rPr>
          <w:rFonts w:cs="Arial"/>
        </w:rPr>
      </w:pPr>
      <w:r w:rsidRPr="00DE5669">
        <w:rPr>
          <w:rFonts w:cs="Arial"/>
          <w:b/>
          <w:color w:val="2E75B6"/>
          <w:sz w:val="28"/>
          <w:szCs w:val="28"/>
        </w:rPr>
        <w:t xml:space="preserve">3.2. Produção SADT (Serviço de Apoio Diagnóstico e Terapêutico) </w:t>
      </w:r>
    </w:p>
    <w:tbl>
      <w:tblPr>
        <w:tblW w:w="8502" w:type="dxa"/>
        <w:tblInd w:w="1" w:type="dxa"/>
        <w:tblCellMar>
          <w:top w:w="96" w:type="dxa"/>
          <w:left w:w="120" w:type="dxa"/>
          <w:right w:w="115" w:type="dxa"/>
        </w:tblCellMar>
        <w:tblLook w:val="04A0" w:firstRow="1" w:lastRow="0" w:firstColumn="1" w:lastColumn="0" w:noHBand="0" w:noVBand="1"/>
      </w:tblPr>
      <w:tblGrid>
        <w:gridCol w:w="4680"/>
        <w:gridCol w:w="1274"/>
        <w:gridCol w:w="1274"/>
        <w:gridCol w:w="1274"/>
      </w:tblGrid>
      <w:tr w:rsidR="001E41A0" w:rsidRPr="00DE5669" w14:paraId="17D22B32" w14:textId="6A1788AB" w:rsidTr="1A6EC8B6">
        <w:trPr>
          <w:trHeight w:val="283"/>
        </w:trPr>
        <w:tc>
          <w:tcPr>
            <w:tcW w:w="4680"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1E813110" w14:textId="074FDE44" w:rsidR="00A47E43" w:rsidRPr="00DE5669" w:rsidRDefault="38E6A9E1" w:rsidP="61F2CE04">
            <w:pPr>
              <w:spacing w:after="0"/>
              <w:jc w:val="center"/>
              <w:rPr>
                <w:rFonts w:cs="Arial"/>
                <w:b/>
                <w:bCs/>
                <w:sz w:val="20"/>
                <w:szCs w:val="20"/>
              </w:rPr>
            </w:pPr>
            <w:r w:rsidRPr="00DE5669">
              <w:rPr>
                <w:rFonts w:cs="Arial"/>
                <w:b/>
                <w:bCs/>
                <w:sz w:val="20"/>
                <w:szCs w:val="20"/>
              </w:rPr>
              <w:t xml:space="preserve">SADT EXTERNO </w:t>
            </w:r>
          </w:p>
        </w:tc>
        <w:tc>
          <w:tcPr>
            <w:tcW w:w="1274"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5D43E623" w14:textId="77777777" w:rsidR="00A47E43" w:rsidRPr="00DE5669" w:rsidRDefault="38E6A9E1" w:rsidP="61F2CE04">
            <w:pPr>
              <w:spacing w:after="0"/>
              <w:ind w:right="3"/>
              <w:jc w:val="center"/>
              <w:rPr>
                <w:rFonts w:cs="Arial"/>
                <w:sz w:val="20"/>
                <w:szCs w:val="20"/>
              </w:rPr>
            </w:pPr>
            <w:r w:rsidRPr="00DE5669">
              <w:rPr>
                <w:rFonts w:cs="Arial"/>
                <w:b/>
                <w:bCs/>
                <w:sz w:val="20"/>
                <w:szCs w:val="20"/>
              </w:rPr>
              <w:t>Meta</w:t>
            </w:r>
            <w:r w:rsidRPr="00DE5669">
              <w:rPr>
                <w:rFonts w:cs="Arial"/>
                <w:sz w:val="20"/>
                <w:szCs w:val="20"/>
              </w:rPr>
              <w:t xml:space="preserve"> </w:t>
            </w:r>
          </w:p>
        </w:tc>
        <w:tc>
          <w:tcPr>
            <w:tcW w:w="1274"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10E0B6D1" w14:textId="20B215B7" w:rsidR="00A47E43" w:rsidRPr="00DE5669" w:rsidRDefault="38E6A9E1" w:rsidP="61F2CE04">
            <w:pPr>
              <w:spacing w:after="0"/>
              <w:ind w:left="3"/>
              <w:jc w:val="center"/>
              <w:rPr>
                <w:rFonts w:cs="Arial"/>
                <w:b/>
                <w:bCs/>
                <w:sz w:val="20"/>
                <w:szCs w:val="20"/>
              </w:rPr>
            </w:pPr>
            <w:r w:rsidRPr="00DE5669">
              <w:rPr>
                <w:rFonts w:cs="Arial"/>
                <w:b/>
                <w:bCs/>
                <w:sz w:val="20"/>
                <w:szCs w:val="20"/>
              </w:rPr>
              <w:t>Ofertado</w:t>
            </w:r>
          </w:p>
        </w:tc>
        <w:tc>
          <w:tcPr>
            <w:tcW w:w="1274"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23E2F36C" w14:textId="48D0A4D2" w:rsidR="00A47E43" w:rsidRPr="00DE5669" w:rsidRDefault="38E6A9E1" w:rsidP="61F2CE04">
            <w:pPr>
              <w:spacing w:after="0"/>
              <w:ind w:left="3"/>
              <w:jc w:val="center"/>
              <w:rPr>
                <w:rFonts w:cs="Arial"/>
                <w:b/>
                <w:bCs/>
                <w:sz w:val="20"/>
                <w:szCs w:val="20"/>
              </w:rPr>
            </w:pPr>
            <w:r w:rsidRPr="00DE5669">
              <w:rPr>
                <w:rFonts w:cs="Arial"/>
                <w:b/>
                <w:bCs/>
                <w:sz w:val="20"/>
                <w:szCs w:val="20"/>
              </w:rPr>
              <w:t>Realizado</w:t>
            </w:r>
          </w:p>
        </w:tc>
      </w:tr>
      <w:tr w:rsidR="001E41A0" w:rsidRPr="00DE5669" w14:paraId="18DC0509" w14:textId="105AD4A7" w:rsidTr="1A6EC8B6">
        <w:trPr>
          <w:trHeight w:val="227"/>
        </w:trPr>
        <w:tc>
          <w:tcPr>
            <w:tcW w:w="4680" w:type="dxa"/>
            <w:tcBorders>
              <w:top w:val="single" w:sz="2" w:space="0" w:color="999999"/>
              <w:left w:val="single" w:sz="2" w:space="0" w:color="999999"/>
              <w:bottom w:val="single" w:sz="2" w:space="0" w:color="999999"/>
              <w:right w:val="single" w:sz="2" w:space="0" w:color="999999"/>
            </w:tcBorders>
            <w:vAlign w:val="center"/>
          </w:tcPr>
          <w:p w14:paraId="74CFEAA3" w14:textId="48DDD0B4" w:rsidR="00A47E43" w:rsidRPr="00DE5669" w:rsidRDefault="38E6A9E1" w:rsidP="61F2CE04">
            <w:pPr>
              <w:spacing w:after="0"/>
              <w:rPr>
                <w:rFonts w:cs="Arial"/>
                <w:sz w:val="20"/>
                <w:szCs w:val="20"/>
              </w:rPr>
            </w:pPr>
            <w:r w:rsidRPr="00DE5669">
              <w:rPr>
                <w:rFonts w:cs="Arial"/>
                <w:sz w:val="20"/>
                <w:szCs w:val="20"/>
              </w:rPr>
              <w:t>Colonoscopia</w:t>
            </w:r>
          </w:p>
        </w:tc>
        <w:tc>
          <w:tcPr>
            <w:tcW w:w="1274" w:type="dxa"/>
            <w:tcBorders>
              <w:top w:val="single" w:sz="2" w:space="0" w:color="999999"/>
              <w:left w:val="single" w:sz="2" w:space="0" w:color="999999"/>
              <w:bottom w:val="single" w:sz="2" w:space="0" w:color="999999"/>
              <w:right w:val="single" w:sz="2" w:space="0" w:color="999999"/>
            </w:tcBorders>
            <w:vAlign w:val="center"/>
          </w:tcPr>
          <w:p w14:paraId="6769685F" w14:textId="1F0F2CFC" w:rsidR="00A47E43" w:rsidRPr="00DE5669" w:rsidRDefault="51C4E038" w:rsidP="61F2CE04">
            <w:pPr>
              <w:spacing w:after="0"/>
              <w:ind w:left="3"/>
              <w:jc w:val="center"/>
              <w:rPr>
                <w:rFonts w:cs="Arial"/>
                <w:sz w:val="20"/>
                <w:szCs w:val="20"/>
              </w:rPr>
            </w:pPr>
            <w:r w:rsidRPr="00DE5669">
              <w:rPr>
                <w:rFonts w:cs="Arial"/>
                <w:sz w:val="20"/>
                <w:szCs w:val="20"/>
              </w:rPr>
              <w:t>100</w:t>
            </w:r>
          </w:p>
        </w:tc>
        <w:tc>
          <w:tcPr>
            <w:tcW w:w="1274" w:type="dxa"/>
            <w:tcBorders>
              <w:top w:val="single" w:sz="2" w:space="0" w:color="999999"/>
              <w:left w:val="single" w:sz="2" w:space="0" w:color="999999"/>
              <w:bottom w:val="single" w:sz="2" w:space="0" w:color="999999"/>
              <w:right w:val="single" w:sz="2" w:space="0" w:color="999999"/>
            </w:tcBorders>
            <w:vAlign w:val="center"/>
          </w:tcPr>
          <w:p w14:paraId="6020EC1C" w14:textId="610D2A27" w:rsidR="61F2CE04" w:rsidRPr="00DE5669" w:rsidRDefault="00DB5384" w:rsidP="1A6EC8B6">
            <w:pPr>
              <w:spacing w:after="0"/>
              <w:jc w:val="center"/>
              <w:rPr>
                <w:rFonts w:cs="Arial"/>
                <w:sz w:val="20"/>
                <w:szCs w:val="20"/>
              </w:rPr>
            </w:pPr>
            <w:r>
              <w:rPr>
                <w:rFonts w:cs="Arial"/>
                <w:sz w:val="20"/>
                <w:szCs w:val="20"/>
              </w:rPr>
              <w:t>64</w:t>
            </w:r>
          </w:p>
        </w:tc>
        <w:tc>
          <w:tcPr>
            <w:tcW w:w="1274" w:type="dxa"/>
            <w:tcBorders>
              <w:top w:val="single" w:sz="2" w:space="0" w:color="999999"/>
              <w:left w:val="single" w:sz="2" w:space="0" w:color="999999"/>
              <w:bottom w:val="single" w:sz="2" w:space="0" w:color="999999"/>
              <w:right w:val="single" w:sz="2" w:space="0" w:color="999999"/>
            </w:tcBorders>
            <w:vAlign w:val="center"/>
          </w:tcPr>
          <w:p w14:paraId="701647A3" w14:textId="4E2F2897" w:rsidR="61F2CE04" w:rsidRPr="00DE5669" w:rsidRDefault="00EF5230" w:rsidP="1A6EC8B6">
            <w:pPr>
              <w:spacing w:after="0"/>
              <w:jc w:val="center"/>
              <w:rPr>
                <w:rFonts w:cs="Arial"/>
                <w:sz w:val="20"/>
                <w:szCs w:val="20"/>
              </w:rPr>
            </w:pPr>
            <w:r>
              <w:rPr>
                <w:rFonts w:cs="Arial"/>
                <w:sz w:val="20"/>
                <w:szCs w:val="20"/>
              </w:rPr>
              <w:t>35</w:t>
            </w:r>
          </w:p>
        </w:tc>
      </w:tr>
      <w:tr w:rsidR="001E41A0" w:rsidRPr="00DE5669" w14:paraId="2D048E15" w14:textId="018C03AC" w:rsidTr="1A6EC8B6">
        <w:trPr>
          <w:trHeight w:val="227"/>
        </w:trPr>
        <w:tc>
          <w:tcPr>
            <w:tcW w:w="4680" w:type="dxa"/>
            <w:tcBorders>
              <w:top w:val="single" w:sz="2" w:space="0" w:color="999999"/>
              <w:left w:val="single" w:sz="2" w:space="0" w:color="999999"/>
              <w:bottom w:val="single" w:sz="2" w:space="0" w:color="999999"/>
              <w:right w:val="single" w:sz="2" w:space="0" w:color="999999"/>
            </w:tcBorders>
            <w:vAlign w:val="center"/>
          </w:tcPr>
          <w:p w14:paraId="4BB9F785" w14:textId="4225605D" w:rsidR="00A47E43" w:rsidRPr="00DE5669" w:rsidRDefault="38E6A9E1" w:rsidP="61F2CE04">
            <w:pPr>
              <w:spacing w:after="0"/>
              <w:rPr>
                <w:rFonts w:cs="Arial"/>
                <w:sz w:val="20"/>
                <w:szCs w:val="20"/>
              </w:rPr>
            </w:pPr>
            <w:r w:rsidRPr="00DE5669">
              <w:rPr>
                <w:rFonts w:cs="Arial"/>
                <w:sz w:val="20"/>
                <w:szCs w:val="20"/>
              </w:rPr>
              <w:t>Endoscopia Digestiva</w:t>
            </w:r>
          </w:p>
        </w:tc>
        <w:tc>
          <w:tcPr>
            <w:tcW w:w="1274" w:type="dxa"/>
            <w:tcBorders>
              <w:top w:val="single" w:sz="2" w:space="0" w:color="999999"/>
              <w:left w:val="single" w:sz="2" w:space="0" w:color="999999"/>
              <w:bottom w:val="single" w:sz="2" w:space="0" w:color="999999"/>
              <w:right w:val="single" w:sz="2" w:space="0" w:color="999999"/>
            </w:tcBorders>
            <w:vAlign w:val="center"/>
          </w:tcPr>
          <w:p w14:paraId="38598D92" w14:textId="4137B12A" w:rsidR="00A47E43" w:rsidRPr="00DE5669" w:rsidRDefault="4BD5FD94" w:rsidP="61F2CE04">
            <w:pPr>
              <w:spacing w:after="0"/>
              <w:ind w:left="3"/>
              <w:jc w:val="center"/>
              <w:rPr>
                <w:rFonts w:cs="Arial"/>
                <w:sz w:val="20"/>
                <w:szCs w:val="20"/>
              </w:rPr>
            </w:pPr>
            <w:r w:rsidRPr="00DE5669">
              <w:rPr>
                <w:rFonts w:cs="Arial"/>
                <w:sz w:val="20"/>
                <w:szCs w:val="20"/>
              </w:rPr>
              <w:t>80</w:t>
            </w:r>
          </w:p>
        </w:tc>
        <w:tc>
          <w:tcPr>
            <w:tcW w:w="1274" w:type="dxa"/>
            <w:tcBorders>
              <w:top w:val="single" w:sz="2" w:space="0" w:color="999999"/>
              <w:left w:val="single" w:sz="2" w:space="0" w:color="999999"/>
              <w:bottom w:val="single" w:sz="2" w:space="0" w:color="999999"/>
              <w:right w:val="single" w:sz="2" w:space="0" w:color="999999"/>
            </w:tcBorders>
            <w:vAlign w:val="center"/>
          </w:tcPr>
          <w:p w14:paraId="36A298C0" w14:textId="7D44ACBA" w:rsidR="61F2CE04" w:rsidRPr="00DE5669" w:rsidRDefault="00DB5384" w:rsidP="1A6EC8B6">
            <w:pPr>
              <w:spacing w:after="0"/>
              <w:jc w:val="center"/>
              <w:rPr>
                <w:rFonts w:cs="Arial"/>
                <w:sz w:val="20"/>
                <w:szCs w:val="20"/>
              </w:rPr>
            </w:pPr>
            <w:r>
              <w:rPr>
                <w:rFonts w:cs="Arial"/>
                <w:sz w:val="20"/>
                <w:szCs w:val="20"/>
              </w:rPr>
              <w:t>53</w:t>
            </w:r>
          </w:p>
        </w:tc>
        <w:tc>
          <w:tcPr>
            <w:tcW w:w="1274" w:type="dxa"/>
            <w:tcBorders>
              <w:top w:val="single" w:sz="2" w:space="0" w:color="999999"/>
              <w:left w:val="single" w:sz="2" w:space="0" w:color="999999"/>
              <w:bottom w:val="single" w:sz="2" w:space="0" w:color="999999"/>
              <w:right w:val="single" w:sz="2" w:space="0" w:color="999999"/>
            </w:tcBorders>
            <w:vAlign w:val="center"/>
          </w:tcPr>
          <w:p w14:paraId="7AF98E9E" w14:textId="086A838D" w:rsidR="61F2CE04" w:rsidRPr="00DE5669" w:rsidRDefault="00A840DB" w:rsidP="1A6EC8B6">
            <w:pPr>
              <w:spacing w:after="0"/>
              <w:jc w:val="center"/>
              <w:rPr>
                <w:rFonts w:cs="Arial"/>
                <w:sz w:val="20"/>
                <w:szCs w:val="20"/>
              </w:rPr>
            </w:pPr>
            <w:r>
              <w:rPr>
                <w:rFonts w:cs="Arial"/>
                <w:sz w:val="20"/>
                <w:szCs w:val="20"/>
              </w:rPr>
              <w:t>30</w:t>
            </w:r>
          </w:p>
        </w:tc>
      </w:tr>
      <w:tr w:rsidR="001E41A0" w:rsidRPr="00DE5669" w14:paraId="3F2DACB2" w14:textId="03A79D1F" w:rsidTr="1A6EC8B6">
        <w:trPr>
          <w:trHeight w:val="300"/>
        </w:trPr>
        <w:tc>
          <w:tcPr>
            <w:tcW w:w="4680" w:type="dxa"/>
            <w:tcBorders>
              <w:top w:val="single" w:sz="2" w:space="0" w:color="999999"/>
              <w:left w:val="single" w:sz="2" w:space="0" w:color="999999"/>
              <w:bottom w:val="single" w:sz="2" w:space="0" w:color="999999"/>
              <w:right w:val="single" w:sz="2" w:space="0" w:color="999999"/>
            </w:tcBorders>
            <w:vAlign w:val="center"/>
          </w:tcPr>
          <w:p w14:paraId="22CB9791" w14:textId="1AAE342A" w:rsidR="00A47E43" w:rsidRPr="00DE5669" w:rsidRDefault="38E6A9E1" w:rsidP="61F2CE04">
            <w:pPr>
              <w:spacing w:after="0"/>
              <w:rPr>
                <w:rFonts w:cs="Arial"/>
                <w:sz w:val="20"/>
                <w:szCs w:val="20"/>
              </w:rPr>
            </w:pPr>
            <w:r w:rsidRPr="00DE5669">
              <w:rPr>
                <w:rFonts w:cs="Arial"/>
                <w:sz w:val="20"/>
                <w:szCs w:val="20"/>
              </w:rPr>
              <w:t>Endoscopia vias urinárias</w:t>
            </w:r>
          </w:p>
        </w:tc>
        <w:tc>
          <w:tcPr>
            <w:tcW w:w="1274" w:type="dxa"/>
            <w:tcBorders>
              <w:top w:val="single" w:sz="2" w:space="0" w:color="999999"/>
              <w:left w:val="single" w:sz="2" w:space="0" w:color="999999"/>
              <w:bottom w:val="single" w:sz="2" w:space="0" w:color="999999"/>
              <w:right w:val="single" w:sz="2" w:space="0" w:color="999999"/>
            </w:tcBorders>
            <w:vAlign w:val="center"/>
          </w:tcPr>
          <w:p w14:paraId="77826AA4" w14:textId="5AF6B781" w:rsidR="00A47E43" w:rsidRPr="00DE5669" w:rsidRDefault="2C012CC1" w:rsidP="61F2CE04">
            <w:pPr>
              <w:spacing w:after="0"/>
              <w:ind w:left="3"/>
              <w:jc w:val="center"/>
              <w:rPr>
                <w:rFonts w:cs="Arial"/>
                <w:sz w:val="20"/>
                <w:szCs w:val="20"/>
              </w:rPr>
            </w:pPr>
            <w:r w:rsidRPr="00DE5669">
              <w:rPr>
                <w:rFonts w:cs="Arial"/>
                <w:sz w:val="20"/>
                <w:szCs w:val="20"/>
              </w:rPr>
              <w:t>20</w:t>
            </w:r>
          </w:p>
        </w:tc>
        <w:tc>
          <w:tcPr>
            <w:tcW w:w="1274" w:type="dxa"/>
            <w:tcBorders>
              <w:top w:val="single" w:sz="2" w:space="0" w:color="999999"/>
              <w:left w:val="single" w:sz="2" w:space="0" w:color="999999"/>
              <w:bottom w:val="single" w:sz="2" w:space="0" w:color="999999"/>
              <w:right w:val="single" w:sz="2" w:space="0" w:color="999999"/>
            </w:tcBorders>
            <w:vAlign w:val="center"/>
          </w:tcPr>
          <w:p w14:paraId="269A53BC" w14:textId="23029ABB" w:rsidR="61F2CE04" w:rsidRPr="00DE5669" w:rsidRDefault="00157D7D" w:rsidP="1A6EC8B6">
            <w:pPr>
              <w:spacing w:after="0"/>
              <w:jc w:val="center"/>
              <w:rPr>
                <w:rFonts w:cs="Arial"/>
                <w:sz w:val="20"/>
                <w:szCs w:val="20"/>
              </w:rPr>
            </w:pPr>
            <w:r>
              <w:rPr>
                <w:rFonts w:cs="Arial"/>
                <w:sz w:val="20"/>
                <w:szCs w:val="20"/>
              </w:rPr>
              <w:t>0</w:t>
            </w:r>
          </w:p>
        </w:tc>
        <w:tc>
          <w:tcPr>
            <w:tcW w:w="1274" w:type="dxa"/>
            <w:tcBorders>
              <w:top w:val="single" w:sz="2" w:space="0" w:color="999999"/>
              <w:left w:val="single" w:sz="2" w:space="0" w:color="999999"/>
              <w:bottom w:val="single" w:sz="2" w:space="0" w:color="999999"/>
              <w:right w:val="single" w:sz="2" w:space="0" w:color="999999"/>
            </w:tcBorders>
            <w:vAlign w:val="center"/>
          </w:tcPr>
          <w:p w14:paraId="1E74D8E8" w14:textId="794570DE" w:rsidR="61F2CE04" w:rsidRPr="00DE5669" w:rsidRDefault="00A840DB" w:rsidP="1A6EC8B6">
            <w:pPr>
              <w:spacing w:after="0"/>
              <w:jc w:val="center"/>
              <w:rPr>
                <w:rFonts w:cs="Arial"/>
                <w:sz w:val="20"/>
                <w:szCs w:val="20"/>
              </w:rPr>
            </w:pPr>
            <w:r>
              <w:rPr>
                <w:rFonts w:cs="Arial"/>
                <w:sz w:val="20"/>
                <w:szCs w:val="20"/>
              </w:rPr>
              <w:t>0</w:t>
            </w:r>
          </w:p>
        </w:tc>
      </w:tr>
      <w:tr w:rsidR="001E41A0" w:rsidRPr="00DE5669" w14:paraId="381B399E" w14:textId="4E1B4610" w:rsidTr="1A6EC8B6">
        <w:trPr>
          <w:trHeight w:val="227"/>
        </w:trPr>
        <w:tc>
          <w:tcPr>
            <w:tcW w:w="4680" w:type="dxa"/>
            <w:tcBorders>
              <w:top w:val="single" w:sz="2" w:space="0" w:color="999999"/>
              <w:left w:val="single" w:sz="2" w:space="0" w:color="999999"/>
              <w:bottom w:val="single" w:sz="2" w:space="0" w:color="999999"/>
              <w:right w:val="single" w:sz="2" w:space="0" w:color="999999"/>
            </w:tcBorders>
            <w:vAlign w:val="center"/>
          </w:tcPr>
          <w:p w14:paraId="56470BDE" w14:textId="7E87E9C2" w:rsidR="00A47E43" w:rsidRPr="00DE5669" w:rsidRDefault="38E6A9E1" w:rsidP="61F2CE04">
            <w:pPr>
              <w:spacing w:after="0"/>
              <w:rPr>
                <w:rFonts w:cs="Arial"/>
                <w:sz w:val="20"/>
                <w:szCs w:val="20"/>
              </w:rPr>
            </w:pPr>
            <w:r w:rsidRPr="00DE5669">
              <w:rPr>
                <w:rFonts w:cs="Arial"/>
                <w:sz w:val="20"/>
                <w:szCs w:val="20"/>
              </w:rPr>
              <w:t>Tomografia Computadorizada (c/ ou s/ contraste)</w:t>
            </w:r>
          </w:p>
        </w:tc>
        <w:tc>
          <w:tcPr>
            <w:tcW w:w="1274" w:type="dxa"/>
            <w:tcBorders>
              <w:top w:val="single" w:sz="2" w:space="0" w:color="999999"/>
              <w:left w:val="single" w:sz="2" w:space="0" w:color="999999"/>
              <w:bottom w:val="single" w:sz="2" w:space="0" w:color="999999"/>
              <w:right w:val="single" w:sz="2" w:space="0" w:color="999999"/>
            </w:tcBorders>
            <w:vAlign w:val="center"/>
          </w:tcPr>
          <w:p w14:paraId="7E9F305E" w14:textId="426342C6" w:rsidR="00A47E43" w:rsidRPr="00DE5669" w:rsidRDefault="374C8772" w:rsidP="61F2CE04">
            <w:pPr>
              <w:spacing w:after="0"/>
              <w:ind w:left="3"/>
              <w:jc w:val="center"/>
              <w:rPr>
                <w:rFonts w:cs="Arial"/>
                <w:sz w:val="20"/>
                <w:szCs w:val="20"/>
              </w:rPr>
            </w:pPr>
            <w:r w:rsidRPr="00DE5669">
              <w:rPr>
                <w:rFonts w:cs="Arial"/>
                <w:sz w:val="20"/>
                <w:szCs w:val="20"/>
              </w:rPr>
              <w:t>125</w:t>
            </w:r>
          </w:p>
        </w:tc>
        <w:tc>
          <w:tcPr>
            <w:tcW w:w="1274" w:type="dxa"/>
            <w:tcBorders>
              <w:top w:val="single" w:sz="2" w:space="0" w:color="999999"/>
              <w:left w:val="single" w:sz="2" w:space="0" w:color="999999"/>
              <w:bottom w:val="single" w:sz="2" w:space="0" w:color="999999"/>
              <w:right w:val="single" w:sz="2" w:space="0" w:color="999999"/>
            </w:tcBorders>
            <w:vAlign w:val="center"/>
          </w:tcPr>
          <w:p w14:paraId="0106439B" w14:textId="028B941A" w:rsidR="61F2CE04" w:rsidRPr="00DE5669" w:rsidRDefault="000312C2" w:rsidP="1A6EC8B6">
            <w:pPr>
              <w:spacing w:after="0"/>
              <w:jc w:val="center"/>
              <w:rPr>
                <w:rFonts w:cs="Arial"/>
                <w:sz w:val="20"/>
                <w:szCs w:val="20"/>
              </w:rPr>
            </w:pPr>
            <w:r>
              <w:rPr>
                <w:rFonts w:cs="Arial"/>
                <w:sz w:val="20"/>
                <w:szCs w:val="20"/>
              </w:rPr>
              <w:t>210</w:t>
            </w:r>
          </w:p>
        </w:tc>
        <w:tc>
          <w:tcPr>
            <w:tcW w:w="1274" w:type="dxa"/>
            <w:tcBorders>
              <w:top w:val="single" w:sz="2" w:space="0" w:color="999999"/>
              <w:left w:val="single" w:sz="2" w:space="0" w:color="999999"/>
              <w:bottom w:val="single" w:sz="2" w:space="0" w:color="999999"/>
              <w:right w:val="single" w:sz="2" w:space="0" w:color="999999"/>
            </w:tcBorders>
            <w:vAlign w:val="center"/>
          </w:tcPr>
          <w:p w14:paraId="37C58801" w14:textId="6AF0AF10" w:rsidR="61F2CE04" w:rsidRPr="00DE5669" w:rsidRDefault="00FD5132" w:rsidP="1A6EC8B6">
            <w:pPr>
              <w:spacing w:after="0"/>
              <w:jc w:val="center"/>
              <w:rPr>
                <w:rFonts w:cs="Arial"/>
                <w:sz w:val="20"/>
                <w:szCs w:val="20"/>
              </w:rPr>
            </w:pPr>
            <w:r>
              <w:rPr>
                <w:rFonts w:cs="Arial"/>
                <w:sz w:val="20"/>
                <w:szCs w:val="20"/>
              </w:rPr>
              <w:t>30</w:t>
            </w:r>
            <w:r w:rsidR="002E19D1">
              <w:rPr>
                <w:rFonts w:cs="Arial"/>
                <w:sz w:val="20"/>
                <w:szCs w:val="20"/>
              </w:rPr>
              <w:t>7</w:t>
            </w:r>
          </w:p>
        </w:tc>
      </w:tr>
      <w:tr w:rsidR="001E41A0" w:rsidRPr="00DE5669" w14:paraId="186C837E" w14:textId="4E1C4461" w:rsidTr="1A6EC8B6">
        <w:trPr>
          <w:trHeight w:val="227"/>
        </w:trPr>
        <w:tc>
          <w:tcPr>
            <w:tcW w:w="4680" w:type="dxa"/>
            <w:tcBorders>
              <w:top w:val="single" w:sz="2" w:space="0" w:color="999999"/>
              <w:left w:val="single" w:sz="2" w:space="0" w:color="999999"/>
              <w:bottom w:val="single" w:sz="2" w:space="0" w:color="999999"/>
              <w:right w:val="single" w:sz="2" w:space="0" w:color="999999"/>
            </w:tcBorders>
            <w:vAlign w:val="center"/>
          </w:tcPr>
          <w:p w14:paraId="330109DD" w14:textId="79E73654" w:rsidR="00A47E43" w:rsidRPr="00DE5669" w:rsidRDefault="38E6A9E1" w:rsidP="61F2CE04">
            <w:pPr>
              <w:spacing w:after="0"/>
              <w:rPr>
                <w:rFonts w:cs="Arial"/>
                <w:sz w:val="20"/>
                <w:szCs w:val="20"/>
              </w:rPr>
            </w:pPr>
            <w:r w:rsidRPr="00DE5669">
              <w:rPr>
                <w:rFonts w:cs="Arial"/>
                <w:sz w:val="20"/>
                <w:szCs w:val="20"/>
              </w:rPr>
              <w:t xml:space="preserve">Ultrassonografia </w:t>
            </w:r>
          </w:p>
        </w:tc>
        <w:tc>
          <w:tcPr>
            <w:tcW w:w="1274" w:type="dxa"/>
            <w:tcBorders>
              <w:top w:val="single" w:sz="2" w:space="0" w:color="999999"/>
              <w:left w:val="single" w:sz="2" w:space="0" w:color="999999"/>
              <w:bottom w:val="single" w:sz="2" w:space="0" w:color="999999"/>
              <w:right w:val="single" w:sz="2" w:space="0" w:color="999999"/>
            </w:tcBorders>
            <w:vAlign w:val="center"/>
          </w:tcPr>
          <w:p w14:paraId="49E42C57" w14:textId="0FC99EC2" w:rsidR="00A47E43" w:rsidRPr="00DE5669" w:rsidRDefault="1B966E6D" w:rsidP="61F2CE04">
            <w:pPr>
              <w:spacing w:after="0"/>
              <w:ind w:left="3"/>
              <w:jc w:val="center"/>
              <w:rPr>
                <w:rFonts w:cs="Arial"/>
                <w:sz w:val="20"/>
                <w:szCs w:val="20"/>
              </w:rPr>
            </w:pPr>
            <w:r w:rsidRPr="00DE5669">
              <w:rPr>
                <w:rFonts w:cs="Arial"/>
                <w:sz w:val="20"/>
                <w:szCs w:val="20"/>
              </w:rPr>
              <w:t>60</w:t>
            </w:r>
          </w:p>
        </w:tc>
        <w:tc>
          <w:tcPr>
            <w:tcW w:w="1274" w:type="dxa"/>
            <w:tcBorders>
              <w:top w:val="single" w:sz="2" w:space="0" w:color="999999"/>
              <w:left w:val="single" w:sz="2" w:space="0" w:color="999999"/>
              <w:bottom w:val="single" w:sz="2" w:space="0" w:color="999999"/>
              <w:right w:val="single" w:sz="2" w:space="0" w:color="999999"/>
            </w:tcBorders>
            <w:vAlign w:val="center"/>
          </w:tcPr>
          <w:p w14:paraId="0C68859D" w14:textId="175ECCA2" w:rsidR="61F2CE04" w:rsidRPr="00DE5669" w:rsidRDefault="006344DB" w:rsidP="1A6EC8B6">
            <w:pPr>
              <w:spacing w:after="0"/>
              <w:jc w:val="center"/>
              <w:rPr>
                <w:rFonts w:cs="Arial"/>
                <w:sz w:val="20"/>
                <w:szCs w:val="20"/>
              </w:rPr>
            </w:pPr>
            <w:r>
              <w:rPr>
                <w:rFonts w:cs="Arial"/>
                <w:sz w:val="20"/>
                <w:szCs w:val="20"/>
              </w:rPr>
              <w:t>96</w:t>
            </w:r>
          </w:p>
        </w:tc>
        <w:tc>
          <w:tcPr>
            <w:tcW w:w="1274" w:type="dxa"/>
            <w:tcBorders>
              <w:top w:val="single" w:sz="2" w:space="0" w:color="999999"/>
              <w:left w:val="single" w:sz="2" w:space="0" w:color="999999"/>
              <w:bottom w:val="single" w:sz="2" w:space="0" w:color="999999"/>
              <w:right w:val="single" w:sz="2" w:space="0" w:color="999999"/>
            </w:tcBorders>
            <w:vAlign w:val="center"/>
          </w:tcPr>
          <w:p w14:paraId="2FB277DD" w14:textId="41185888" w:rsidR="61F2CE04" w:rsidRPr="00DE5669" w:rsidRDefault="00A4012D" w:rsidP="1A6EC8B6">
            <w:pPr>
              <w:spacing w:after="0"/>
              <w:jc w:val="center"/>
              <w:rPr>
                <w:rFonts w:cs="Arial"/>
                <w:sz w:val="20"/>
                <w:szCs w:val="20"/>
              </w:rPr>
            </w:pPr>
            <w:r>
              <w:rPr>
                <w:rFonts w:cs="Arial"/>
                <w:sz w:val="20"/>
                <w:szCs w:val="20"/>
              </w:rPr>
              <w:t>51</w:t>
            </w:r>
          </w:p>
        </w:tc>
      </w:tr>
      <w:tr w:rsidR="001E41A0" w:rsidRPr="00DE5669" w14:paraId="7EE842CE" w14:textId="01D4BFB7" w:rsidTr="1A6EC8B6">
        <w:trPr>
          <w:trHeight w:val="227"/>
        </w:trPr>
        <w:tc>
          <w:tcPr>
            <w:tcW w:w="4680" w:type="dxa"/>
            <w:tcBorders>
              <w:top w:val="single" w:sz="2" w:space="0" w:color="999999"/>
              <w:left w:val="single" w:sz="2" w:space="0" w:color="999999"/>
              <w:bottom w:val="single" w:sz="2" w:space="0" w:color="999999"/>
              <w:right w:val="single" w:sz="2" w:space="0" w:color="999999"/>
            </w:tcBorders>
            <w:vAlign w:val="center"/>
          </w:tcPr>
          <w:p w14:paraId="643EDDC5" w14:textId="4B488F0D" w:rsidR="00A47E43" w:rsidRPr="00DE5669" w:rsidRDefault="38E6A9E1" w:rsidP="61F2CE04">
            <w:pPr>
              <w:spacing w:after="0"/>
              <w:rPr>
                <w:rFonts w:cs="Arial"/>
                <w:sz w:val="20"/>
                <w:szCs w:val="20"/>
              </w:rPr>
            </w:pPr>
            <w:r w:rsidRPr="00DE5669">
              <w:rPr>
                <w:rFonts w:cs="Arial"/>
                <w:sz w:val="20"/>
                <w:szCs w:val="20"/>
              </w:rPr>
              <w:t>Ultrassonografia/Doppler</w:t>
            </w:r>
          </w:p>
        </w:tc>
        <w:tc>
          <w:tcPr>
            <w:tcW w:w="1274" w:type="dxa"/>
            <w:tcBorders>
              <w:top w:val="single" w:sz="2" w:space="0" w:color="999999"/>
              <w:left w:val="single" w:sz="2" w:space="0" w:color="999999"/>
              <w:bottom w:val="single" w:sz="2" w:space="0" w:color="999999"/>
              <w:right w:val="single" w:sz="2" w:space="0" w:color="999999"/>
            </w:tcBorders>
            <w:vAlign w:val="center"/>
          </w:tcPr>
          <w:p w14:paraId="5ACEC241" w14:textId="6D55EBEB" w:rsidR="00A47E43" w:rsidRPr="00DE5669" w:rsidRDefault="0E43056A" w:rsidP="61F2CE04">
            <w:pPr>
              <w:spacing w:after="0"/>
              <w:ind w:left="3"/>
              <w:jc w:val="center"/>
              <w:rPr>
                <w:rFonts w:cs="Arial"/>
                <w:sz w:val="20"/>
                <w:szCs w:val="20"/>
              </w:rPr>
            </w:pPr>
            <w:r w:rsidRPr="00DE5669">
              <w:rPr>
                <w:rFonts w:cs="Arial"/>
                <w:sz w:val="20"/>
                <w:szCs w:val="20"/>
              </w:rPr>
              <w:t>80</w:t>
            </w:r>
          </w:p>
        </w:tc>
        <w:tc>
          <w:tcPr>
            <w:tcW w:w="1274" w:type="dxa"/>
            <w:tcBorders>
              <w:top w:val="single" w:sz="2" w:space="0" w:color="999999"/>
              <w:left w:val="single" w:sz="2" w:space="0" w:color="999999"/>
              <w:bottom w:val="single" w:sz="2" w:space="0" w:color="999999"/>
              <w:right w:val="single" w:sz="2" w:space="0" w:color="999999"/>
            </w:tcBorders>
            <w:vAlign w:val="center"/>
          </w:tcPr>
          <w:p w14:paraId="46016076" w14:textId="300FBAC5" w:rsidR="61F2CE04" w:rsidRPr="00DE5669" w:rsidRDefault="00AA0CC2" w:rsidP="1A6EC8B6">
            <w:pPr>
              <w:spacing w:after="0"/>
              <w:jc w:val="center"/>
              <w:rPr>
                <w:rFonts w:cs="Arial"/>
                <w:sz w:val="20"/>
                <w:szCs w:val="20"/>
              </w:rPr>
            </w:pPr>
            <w:r>
              <w:rPr>
                <w:rFonts w:cs="Arial"/>
                <w:sz w:val="20"/>
                <w:szCs w:val="20"/>
              </w:rPr>
              <w:t>88</w:t>
            </w:r>
          </w:p>
        </w:tc>
        <w:tc>
          <w:tcPr>
            <w:tcW w:w="1274" w:type="dxa"/>
            <w:tcBorders>
              <w:top w:val="single" w:sz="2" w:space="0" w:color="999999"/>
              <w:left w:val="single" w:sz="2" w:space="0" w:color="999999"/>
              <w:bottom w:val="single" w:sz="2" w:space="0" w:color="999999"/>
              <w:right w:val="single" w:sz="2" w:space="0" w:color="999999"/>
            </w:tcBorders>
            <w:vAlign w:val="center"/>
          </w:tcPr>
          <w:p w14:paraId="65271246" w14:textId="43AE3CB5" w:rsidR="61F2CE04" w:rsidRPr="00DE5669" w:rsidRDefault="003A2430" w:rsidP="1A6EC8B6">
            <w:pPr>
              <w:spacing w:after="0"/>
              <w:jc w:val="center"/>
              <w:rPr>
                <w:rFonts w:cs="Arial"/>
                <w:sz w:val="20"/>
                <w:szCs w:val="20"/>
              </w:rPr>
            </w:pPr>
            <w:r>
              <w:rPr>
                <w:rFonts w:cs="Arial"/>
                <w:sz w:val="20"/>
                <w:szCs w:val="20"/>
              </w:rPr>
              <w:t>147</w:t>
            </w:r>
          </w:p>
        </w:tc>
      </w:tr>
      <w:tr w:rsidR="001E41A0" w:rsidRPr="00DE5669" w14:paraId="16A7591F" w14:textId="77777777" w:rsidTr="1A6EC8B6">
        <w:trPr>
          <w:trHeight w:val="227"/>
        </w:trPr>
        <w:tc>
          <w:tcPr>
            <w:tcW w:w="4680" w:type="dxa"/>
            <w:tcBorders>
              <w:top w:val="single" w:sz="2" w:space="0" w:color="999999"/>
              <w:left w:val="single" w:sz="2" w:space="0" w:color="999999"/>
              <w:bottom w:val="single" w:sz="2" w:space="0" w:color="999999"/>
              <w:right w:val="single" w:sz="2" w:space="0" w:color="999999"/>
            </w:tcBorders>
            <w:vAlign w:val="center"/>
          </w:tcPr>
          <w:p w14:paraId="41F48503" w14:textId="3D8D22F7" w:rsidR="6E0A9158" w:rsidRPr="00DE5669" w:rsidRDefault="6AC0E87F" w:rsidP="61F2CE04">
            <w:pPr>
              <w:spacing w:after="0"/>
              <w:rPr>
                <w:rFonts w:cs="Arial"/>
                <w:b/>
                <w:bCs/>
                <w:sz w:val="20"/>
                <w:szCs w:val="20"/>
              </w:rPr>
            </w:pPr>
            <w:r w:rsidRPr="00DE5669">
              <w:rPr>
                <w:rFonts w:cs="Arial"/>
                <w:b/>
                <w:bCs/>
                <w:sz w:val="20"/>
                <w:szCs w:val="20"/>
              </w:rPr>
              <w:t>Total</w:t>
            </w:r>
          </w:p>
        </w:tc>
        <w:tc>
          <w:tcPr>
            <w:tcW w:w="1274" w:type="dxa"/>
            <w:tcBorders>
              <w:top w:val="single" w:sz="2" w:space="0" w:color="999999"/>
              <w:left w:val="single" w:sz="2" w:space="0" w:color="999999"/>
              <w:bottom w:val="single" w:sz="2" w:space="0" w:color="999999"/>
              <w:right w:val="single" w:sz="2" w:space="0" w:color="999999"/>
            </w:tcBorders>
            <w:vAlign w:val="center"/>
          </w:tcPr>
          <w:p w14:paraId="6C471DC1" w14:textId="3C56DA52" w:rsidR="6E0A9158" w:rsidRPr="00DE5669" w:rsidRDefault="6AC0E87F" w:rsidP="61F2CE04">
            <w:pPr>
              <w:spacing w:after="0"/>
              <w:jc w:val="center"/>
              <w:rPr>
                <w:rFonts w:cs="Arial"/>
                <w:b/>
                <w:bCs/>
                <w:sz w:val="20"/>
                <w:szCs w:val="20"/>
              </w:rPr>
            </w:pPr>
            <w:r w:rsidRPr="00DE5669">
              <w:rPr>
                <w:rFonts w:cs="Arial"/>
                <w:b/>
                <w:bCs/>
                <w:sz w:val="20"/>
                <w:szCs w:val="20"/>
              </w:rPr>
              <w:t>465</w:t>
            </w:r>
          </w:p>
        </w:tc>
        <w:tc>
          <w:tcPr>
            <w:tcW w:w="1274" w:type="dxa"/>
            <w:tcBorders>
              <w:top w:val="single" w:sz="2" w:space="0" w:color="999999"/>
              <w:left w:val="single" w:sz="2" w:space="0" w:color="999999"/>
              <w:bottom w:val="single" w:sz="2" w:space="0" w:color="999999"/>
              <w:right w:val="single" w:sz="2" w:space="0" w:color="999999"/>
            </w:tcBorders>
            <w:vAlign w:val="center"/>
          </w:tcPr>
          <w:p w14:paraId="39FC5640" w14:textId="6BB7EE5A" w:rsidR="6E0A9158" w:rsidRPr="00DE5669" w:rsidRDefault="00627BCA" w:rsidP="188B0E26">
            <w:pPr>
              <w:spacing w:after="0"/>
              <w:jc w:val="center"/>
              <w:rPr>
                <w:rFonts w:cs="Arial"/>
                <w:b/>
                <w:bCs/>
                <w:sz w:val="20"/>
                <w:szCs w:val="20"/>
              </w:rPr>
            </w:pPr>
            <w:r>
              <w:rPr>
                <w:rFonts w:cs="Arial"/>
                <w:b/>
                <w:bCs/>
                <w:sz w:val="20"/>
                <w:szCs w:val="20"/>
              </w:rPr>
              <w:t>511</w:t>
            </w:r>
          </w:p>
        </w:tc>
        <w:tc>
          <w:tcPr>
            <w:tcW w:w="1274" w:type="dxa"/>
            <w:tcBorders>
              <w:top w:val="single" w:sz="2" w:space="0" w:color="999999"/>
              <w:left w:val="single" w:sz="2" w:space="0" w:color="999999"/>
              <w:bottom w:val="single" w:sz="2" w:space="0" w:color="999999"/>
              <w:right w:val="single" w:sz="2" w:space="0" w:color="999999"/>
            </w:tcBorders>
            <w:vAlign w:val="center"/>
          </w:tcPr>
          <w:p w14:paraId="294A450E" w14:textId="0F969854" w:rsidR="6E0A9158" w:rsidRPr="00DE5669" w:rsidRDefault="009E2856" w:rsidP="188B0E26">
            <w:pPr>
              <w:spacing w:after="0"/>
              <w:jc w:val="center"/>
              <w:rPr>
                <w:rFonts w:cs="Arial"/>
                <w:b/>
                <w:bCs/>
                <w:sz w:val="20"/>
                <w:szCs w:val="20"/>
              </w:rPr>
            </w:pPr>
            <w:r>
              <w:rPr>
                <w:rFonts w:cs="Arial"/>
                <w:b/>
                <w:bCs/>
                <w:sz w:val="20"/>
                <w:szCs w:val="20"/>
              </w:rPr>
              <w:t>573</w:t>
            </w:r>
          </w:p>
        </w:tc>
      </w:tr>
    </w:tbl>
    <w:p w14:paraId="6EBA0DC2" w14:textId="77777777" w:rsidR="006C11EC" w:rsidRPr="00DE5669" w:rsidRDefault="006C11EC" w:rsidP="61F2CE04">
      <w:pPr>
        <w:spacing w:after="0" w:line="249" w:lineRule="auto"/>
        <w:ind w:hanging="10"/>
        <w:rPr>
          <w:rFonts w:cs="Arial"/>
          <w:sz w:val="22"/>
          <w:szCs w:val="22"/>
        </w:rPr>
      </w:pPr>
    </w:p>
    <w:tbl>
      <w:tblPr>
        <w:tblW w:w="8536" w:type="dxa"/>
        <w:tblInd w:w="1" w:type="dxa"/>
        <w:tblCellMar>
          <w:top w:w="96" w:type="dxa"/>
          <w:left w:w="120" w:type="dxa"/>
          <w:right w:w="115" w:type="dxa"/>
        </w:tblCellMar>
        <w:tblLook w:val="04A0" w:firstRow="1" w:lastRow="0" w:firstColumn="1" w:lastColumn="0" w:noHBand="0" w:noVBand="1"/>
      </w:tblPr>
      <w:tblGrid>
        <w:gridCol w:w="4710"/>
        <w:gridCol w:w="1913"/>
        <w:gridCol w:w="1913"/>
      </w:tblGrid>
      <w:tr w:rsidR="00263901" w:rsidRPr="00DE5669" w14:paraId="6C06A43B" w14:textId="77777777" w:rsidTr="1A6EC8B6">
        <w:trPr>
          <w:trHeight w:val="283"/>
        </w:trPr>
        <w:tc>
          <w:tcPr>
            <w:tcW w:w="4710"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7D4E50D0" w14:textId="0B6ABEB3" w:rsidR="00A47E43" w:rsidRPr="00DE5669" w:rsidRDefault="38E6A9E1" w:rsidP="61F2CE04">
            <w:pPr>
              <w:spacing w:after="0"/>
              <w:jc w:val="center"/>
              <w:rPr>
                <w:rFonts w:cs="Arial"/>
                <w:sz w:val="20"/>
                <w:szCs w:val="20"/>
              </w:rPr>
            </w:pPr>
            <w:r w:rsidRPr="00DE5669">
              <w:rPr>
                <w:rFonts w:cs="Arial"/>
                <w:b/>
                <w:bCs/>
                <w:sz w:val="20"/>
                <w:szCs w:val="20"/>
              </w:rPr>
              <w:lastRenderedPageBreak/>
              <w:t>SADT INTERNO</w:t>
            </w:r>
          </w:p>
        </w:tc>
        <w:tc>
          <w:tcPr>
            <w:tcW w:w="1913"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407F304D" w14:textId="77777777" w:rsidR="00A47E43" w:rsidRPr="00DE5669" w:rsidRDefault="38E6A9E1" w:rsidP="61F2CE04">
            <w:pPr>
              <w:spacing w:after="0"/>
              <w:ind w:right="3"/>
              <w:jc w:val="center"/>
              <w:rPr>
                <w:rFonts w:cs="Arial"/>
                <w:sz w:val="20"/>
                <w:szCs w:val="20"/>
              </w:rPr>
            </w:pPr>
            <w:r w:rsidRPr="00DE5669">
              <w:rPr>
                <w:rFonts w:cs="Arial"/>
                <w:b/>
                <w:bCs/>
                <w:sz w:val="20"/>
                <w:szCs w:val="20"/>
              </w:rPr>
              <w:t>Meta</w:t>
            </w:r>
            <w:r w:rsidRPr="00DE5669">
              <w:rPr>
                <w:rFonts w:cs="Arial"/>
                <w:sz w:val="20"/>
                <w:szCs w:val="20"/>
              </w:rPr>
              <w:t xml:space="preserve"> </w:t>
            </w:r>
          </w:p>
        </w:tc>
        <w:tc>
          <w:tcPr>
            <w:tcW w:w="1913"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6A6CD3CF" w14:textId="77777777" w:rsidR="00A47E43" w:rsidRPr="00DE5669" w:rsidRDefault="38E6A9E1" w:rsidP="61F2CE04">
            <w:pPr>
              <w:spacing w:after="0"/>
              <w:ind w:left="3"/>
              <w:jc w:val="center"/>
              <w:rPr>
                <w:rFonts w:cs="Arial"/>
                <w:sz w:val="20"/>
                <w:szCs w:val="20"/>
              </w:rPr>
            </w:pPr>
            <w:r w:rsidRPr="00DE5669">
              <w:rPr>
                <w:rFonts w:cs="Arial"/>
                <w:b/>
                <w:bCs/>
                <w:sz w:val="20"/>
                <w:szCs w:val="20"/>
              </w:rPr>
              <w:t>Produção</w:t>
            </w:r>
            <w:r w:rsidRPr="00DE5669">
              <w:rPr>
                <w:rFonts w:cs="Arial"/>
                <w:sz w:val="20"/>
                <w:szCs w:val="20"/>
              </w:rPr>
              <w:t xml:space="preserve"> </w:t>
            </w:r>
          </w:p>
        </w:tc>
      </w:tr>
      <w:tr w:rsidR="00263901" w:rsidRPr="00DE5669" w14:paraId="054F3676" w14:textId="77777777" w:rsidTr="1A6EC8B6">
        <w:trPr>
          <w:trHeight w:val="227"/>
        </w:trPr>
        <w:tc>
          <w:tcPr>
            <w:tcW w:w="4710" w:type="dxa"/>
            <w:tcBorders>
              <w:top w:val="single" w:sz="2" w:space="0" w:color="999999"/>
              <w:left w:val="single" w:sz="2" w:space="0" w:color="999999"/>
              <w:bottom w:val="single" w:sz="2" w:space="0" w:color="999999"/>
              <w:right w:val="single" w:sz="2" w:space="0" w:color="999999"/>
            </w:tcBorders>
            <w:vAlign w:val="center"/>
          </w:tcPr>
          <w:p w14:paraId="55D76B2F" w14:textId="4DFA6516" w:rsidR="000C2A1D" w:rsidRPr="00DE5669" w:rsidRDefault="0D78B8DC" w:rsidP="61F2CE04">
            <w:pPr>
              <w:spacing w:after="0"/>
              <w:rPr>
                <w:rFonts w:cs="Arial"/>
                <w:sz w:val="20"/>
                <w:szCs w:val="20"/>
              </w:rPr>
            </w:pPr>
            <w:r w:rsidRPr="00DE5669">
              <w:rPr>
                <w:rFonts w:cs="Arial"/>
                <w:sz w:val="20"/>
                <w:szCs w:val="20"/>
              </w:rPr>
              <w:t>Colonoscopia</w:t>
            </w:r>
          </w:p>
        </w:tc>
        <w:tc>
          <w:tcPr>
            <w:tcW w:w="1913" w:type="dxa"/>
            <w:tcBorders>
              <w:top w:val="single" w:sz="2" w:space="0" w:color="999999"/>
              <w:left w:val="single" w:sz="2" w:space="0" w:color="999999"/>
              <w:bottom w:val="single" w:sz="2" w:space="0" w:color="999999"/>
              <w:right w:val="single" w:sz="2" w:space="0" w:color="999999"/>
            </w:tcBorders>
            <w:vAlign w:val="center"/>
          </w:tcPr>
          <w:p w14:paraId="4437DEBD" w14:textId="6A76F998" w:rsidR="000C2A1D" w:rsidRPr="00DE5669" w:rsidRDefault="2206BFA5" w:rsidP="61F2CE04">
            <w:pPr>
              <w:spacing w:after="0"/>
              <w:ind w:left="3"/>
              <w:jc w:val="center"/>
              <w:rPr>
                <w:rFonts w:cs="Arial"/>
                <w:sz w:val="20"/>
                <w:szCs w:val="20"/>
              </w:rPr>
            </w:pPr>
            <w:r w:rsidRPr="00DE5669">
              <w:rPr>
                <w:rFonts w:cs="Arial"/>
                <w:sz w:val="20"/>
                <w:szCs w:val="20"/>
              </w:rPr>
              <w:t>NA</w:t>
            </w:r>
          </w:p>
        </w:tc>
        <w:tc>
          <w:tcPr>
            <w:tcW w:w="1913" w:type="dxa"/>
            <w:tcBorders>
              <w:top w:val="single" w:sz="2" w:space="0" w:color="999999"/>
              <w:left w:val="single" w:sz="2" w:space="0" w:color="999999"/>
              <w:bottom w:val="single" w:sz="2" w:space="0" w:color="999999"/>
              <w:right w:val="single" w:sz="2" w:space="0" w:color="999999"/>
            </w:tcBorders>
            <w:vAlign w:val="center"/>
          </w:tcPr>
          <w:p w14:paraId="00949E90" w14:textId="72A5A607" w:rsidR="61F2CE04" w:rsidRPr="00DE5669" w:rsidRDefault="003E281F" w:rsidP="1A6EC8B6">
            <w:pPr>
              <w:spacing w:after="0"/>
              <w:jc w:val="center"/>
              <w:rPr>
                <w:rFonts w:cs="Arial"/>
                <w:sz w:val="20"/>
                <w:szCs w:val="20"/>
              </w:rPr>
            </w:pPr>
            <w:r>
              <w:rPr>
                <w:rFonts w:cs="Arial"/>
                <w:sz w:val="20"/>
                <w:szCs w:val="20"/>
              </w:rPr>
              <w:t>2</w:t>
            </w:r>
          </w:p>
        </w:tc>
      </w:tr>
      <w:tr w:rsidR="00263901" w:rsidRPr="00DE5669" w14:paraId="040A0166" w14:textId="77777777" w:rsidTr="1A6EC8B6">
        <w:trPr>
          <w:trHeight w:val="227"/>
        </w:trPr>
        <w:tc>
          <w:tcPr>
            <w:tcW w:w="4710" w:type="dxa"/>
            <w:tcBorders>
              <w:top w:val="single" w:sz="2" w:space="0" w:color="999999"/>
              <w:left w:val="single" w:sz="2" w:space="0" w:color="999999"/>
              <w:bottom w:val="single" w:sz="2" w:space="0" w:color="999999"/>
              <w:right w:val="single" w:sz="2" w:space="0" w:color="999999"/>
            </w:tcBorders>
            <w:vAlign w:val="center"/>
          </w:tcPr>
          <w:p w14:paraId="4AE907C3" w14:textId="1A04C9CC" w:rsidR="00F6697D" w:rsidRPr="00DE5669" w:rsidRDefault="2206BFA5" w:rsidP="61F2CE04">
            <w:pPr>
              <w:spacing w:after="0"/>
              <w:rPr>
                <w:rFonts w:cs="Arial"/>
                <w:sz w:val="20"/>
                <w:szCs w:val="20"/>
              </w:rPr>
            </w:pPr>
            <w:r w:rsidRPr="00DE5669">
              <w:rPr>
                <w:rFonts w:cs="Arial"/>
                <w:sz w:val="20"/>
                <w:szCs w:val="20"/>
              </w:rPr>
              <w:t>Endoscopia Digestiva</w:t>
            </w:r>
          </w:p>
        </w:tc>
        <w:tc>
          <w:tcPr>
            <w:tcW w:w="1913" w:type="dxa"/>
            <w:tcBorders>
              <w:top w:val="single" w:sz="2" w:space="0" w:color="999999"/>
              <w:left w:val="single" w:sz="2" w:space="0" w:color="999999"/>
              <w:bottom w:val="single" w:sz="2" w:space="0" w:color="999999"/>
              <w:right w:val="single" w:sz="2" w:space="0" w:color="999999"/>
            </w:tcBorders>
          </w:tcPr>
          <w:p w14:paraId="68DB94D6" w14:textId="58880CEF" w:rsidR="00F6697D" w:rsidRPr="00DE5669" w:rsidRDefault="2206BFA5" w:rsidP="61F2CE04">
            <w:pPr>
              <w:spacing w:after="0"/>
              <w:ind w:left="3"/>
              <w:jc w:val="center"/>
              <w:rPr>
                <w:rFonts w:cs="Arial"/>
                <w:sz w:val="20"/>
                <w:szCs w:val="20"/>
              </w:rPr>
            </w:pPr>
            <w:r w:rsidRPr="00DE5669">
              <w:rPr>
                <w:rFonts w:cs="Arial"/>
                <w:sz w:val="20"/>
                <w:szCs w:val="20"/>
              </w:rPr>
              <w:t>NA</w:t>
            </w:r>
          </w:p>
        </w:tc>
        <w:tc>
          <w:tcPr>
            <w:tcW w:w="1913" w:type="dxa"/>
            <w:tcBorders>
              <w:top w:val="single" w:sz="2" w:space="0" w:color="999999"/>
              <w:left w:val="single" w:sz="2" w:space="0" w:color="999999"/>
              <w:bottom w:val="single" w:sz="2" w:space="0" w:color="999999"/>
              <w:right w:val="single" w:sz="2" w:space="0" w:color="999999"/>
            </w:tcBorders>
            <w:vAlign w:val="center"/>
          </w:tcPr>
          <w:p w14:paraId="7737DE50" w14:textId="0E3BF2EB" w:rsidR="61F2CE04" w:rsidRPr="00DE5669" w:rsidRDefault="009C2D7F" w:rsidP="1A6EC8B6">
            <w:pPr>
              <w:spacing w:after="0"/>
              <w:jc w:val="center"/>
              <w:rPr>
                <w:rFonts w:cs="Arial"/>
                <w:sz w:val="20"/>
                <w:szCs w:val="20"/>
              </w:rPr>
            </w:pPr>
            <w:r>
              <w:rPr>
                <w:rFonts w:cs="Arial"/>
                <w:sz w:val="20"/>
                <w:szCs w:val="20"/>
              </w:rPr>
              <w:t>172</w:t>
            </w:r>
          </w:p>
        </w:tc>
      </w:tr>
      <w:tr w:rsidR="00263901" w:rsidRPr="00DE5669" w14:paraId="31383C03" w14:textId="77777777" w:rsidTr="1A6EC8B6">
        <w:trPr>
          <w:trHeight w:val="227"/>
        </w:trPr>
        <w:tc>
          <w:tcPr>
            <w:tcW w:w="4710" w:type="dxa"/>
            <w:tcBorders>
              <w:top w:val="single" w:sz="2" w:space="0" w:color="999999"/>
              <w:left w:val="single" w:sz="2" w:space="0" w:color="999999"/>
              <w:bottom w:val="single" w:sz="2" w:space="0" w:color="999999"/>
              <w:right w:val="single" w:sz="2" w:space="0" w:color="999999"/>
            </w:tcBorders>
            <w:vAlign w:val="center"/>
          </w:tcPr>
          <w:p w14:paraId="0EE44813" w14:textId="44BE518E" w:rsidR="00F6697D" w:rsidRPr="00DE5669" w:rsidRDefault="2206BFA5" w:rsidP="61F2CE04">
            <w:pPr>
              <w:spacing w:after="0"/>
              <w:rPr>
                <w:rFonts w:cs="Arial"/>
                <w:sz w:val="20"/>
                <w:szCs w:val="20"/>
              </w:rPr>
            </w:pPr>
            <w:r w:rsidRPr="00DE5669">
              <w:rPr>
                <w:rFonts w:cs="Arial"/>
                <w:sz w:val="20"/>
                <w:szCs w:val="20"/>
              </w:rPr>
              <w:t>Endoscopia vias urinárias</w:t>
            </w:r>
          </w:p>
        </w:tc>
        <w:tc>
          <w:tcPr>
            <w:tcW w:w="1913" w:type="dxa"/>
            <w:tcBorders>
              <w:top w:val="single" w:sz="2" w:space="0" w:color="999999"/>
              <w:left w:val="single" w:sz="2" w:space="0" w:color="999999"/>
              <w:bottom w:val="single" w:sz="2" w:space="0" w:color="999999"/>
              <w:right w:val="single" w:sz="2" w:space="0" w:color="999999"/>
            </w:tcBorders>
          </w:tcPr>
          <w:p w14:paraId="66ADC635" w14:textId="7665071C" w:rsidR="00F6697D" w:rsidRPr="00DE5669" w:rsidRDefault="2206BFA5" w:rsidP="61F2CE04">
            <w:pPr>
              <w:spacing w:after="0"/>
              <w:ind w:left="3"/>
              <w:jc w:val="center"/>
              <w:rPr>
                <w:rFonts w:cs="Arial"/>
                <w:sz w:val="20"/>
                <w:szCs w:val="20"/>
              </w:rPr>
            </w:pPr>
            <w:r w:rsidRPr="00DE5669">
              <w:rPr>
                <w:rFonts w:cs="Arial"/>
                <w:sz w:val="20"/>
                <w:szCs w:val="20"/>
              </w:rPr>
              <w:t>NA</w:t>
            </w:r>
          </w:p>
        </w:tc>
        <w:tc>
          <w:tcPr>
            <w:tcW w:w="1913" w:type="dxa"/>
            <w:tcBorders>
              <w:top w:val="single" w:sz="2" w:space="0" w:color="999999"/>
              <w:left w:val="single" w:sz="2" w:space="0" w:color="999999"/>
              <w:bottom w:val="single" w:sz="2" w:space="0" w:color="999999"/>
              <w:right w:val="single" w:sz="2" w:space="0" w:color="999999"/>
            </w:tcBorders>
            <w:vAlign w:val="center"/>
          </w:tcPr>
          <w:p w14:paraId="119F0E4F" w14:textId="4BEC7A8E" w:rsidR="61F2CE04" w:rsidRPr="00DE5669" w:rsidRDefault="00C2589A" w:rsidP="1A6EC8B6">
            <w:pPr>
              <w:spacing w:after="0"/>
              <w:jc w:val="center"/>
              <w:rPr>
                <w:rFonts w:cs="Arial"/>
                <w:sz w:val="20"/>
                <w:szCs w:val="20"/>
              </w:rPr>
            </w:pPr>
            <w:r>
              <w:rPr>
                <w:rFonts w:cs="Arial"/>
                <w:sz w:val="20"/>
                <w:szCs w:val="20"/>
              </w:rPr>
              <w:t>0</w:t>
            </w:r>
          </w:p>
        </w:tc>
      </w:tr>
      <w:tr w:rsidR="00263901" w:rsidRPr="00DE5669" w14:paraId="45081A7B" w14:textId="77777777" w:rsidTr="1A6EC8B6">
        <w:trPr>
          <w:trHeight w:val="227"/>
        </w:trPr>
        <w:tc>
          <w:tcPr>
            <w:tcW w:w="4710" w:type="dxa"/>
            <w:tcBorders>
              <w:top w:val="single" w:sz="2" w:space="0" w:color="999999"/>
              <w:left w:val="single" w:sz="2" w:space="0" w:color="999999"/>
              <w:bottom w:val="single" w:sz="2" w:space="0" w:color="999999"/>
              <w:right w:val="single" w:sz="2" w:space="0" w:color="999999"/>
            </w:tcBorders>
            <w:vAlign w:val="center"/>
          </w:tcPr>
          <w:p w14:paraId="556319C1" w14:textId="7466519C" w:rsidR="00F6697D" w:rsidRPr="00DE5669" w:rsidRDefault="2206BFA5" w:rsidP="61F2CE04">
            <w:pPr>
              <w:spacing w:after="0"/>
              <w:rPr>
                <w:rFonts w:cs="Arial"/>
                <w:sz w:val="20"/>
                <w:szCs w:val="20"/>
              </w:rPr>
            </w:pPr>
            <w:r w:rsidRPr="00DE5669">
              <w:rPr>
                <w:rFonts w:cs="Arial"/>
                <w:sz w:val="20"/>
                <w:szCs w:val="20"/>
              </w:rPr>
              <w:t>Tomografia Computadorizada (c/ ou s/ contraste)</w:t>
            </w:r>
          </w:p>
        </w:tc>
        <w:tc>
          <w:tcPr>
            <w:tcW w:w="1913" w:type="dxa"/>
            <w:tcBorders>
              <w:top w:val="single" w:sz="2" w:space="0" w:color="999999"/>
              <w:left w:val="single" w:sz="2" w:space="0" w:color="999999"/>
              <w:bottom w:val="single" w:sz="2" w:space="0" w:color="999999"/>
              <w:right w:val="single" w:sz="2" w:space="0" w:color="999999"/>
            </w:tcBorders>
          </w:tcPr>
          <w:p w14:paraId="55DFD2B6" w14:textId="1CCEB8A8" w:rsidR="00F6697D" w:rsidRPr="00DE5669" w:rsidRDefault="2206BFA5" w:rsidP="61F2CE04">
            <w:pPr>
              <w:spacing w:after="0"/>
              <w:ind w:left="3"/>
              <w:jc w:val="center"/>
              <w:rPr>
                <w:rFonts w:cs="Arial"/>
                <w:sz w:val="20"/>
                <w:szCs w:val="20"/>
              </w:rPr>
            </w:pPr>
            <w:r w:rsidRPr="00DE5669">
              <w:rPr>
                <w:rFonts w:cs="Arial"/>
                <w:sz w:val="20"/>
                <w:szCs w:val="20"/>
              </w:rPr>
              <w:t>NA</w:t>
            </w:r>
          </w:p>
        </w:tc>
        <w:tc>
          <w:tcPr>
            <w:tcW w:w="1913" w:type="dxa"/>
            <w:tcBorders>
              <w:top w:val="single" w:sz="2" w:space="0" w:color="999999"/>
              <w:left w:val="single" w:sz="2" w:space="0" w:color="999999"/>
              <w:bottom w:val="single" w:sz="2" w:space="0" w:color="999999"/>
              <w:right w:val="single" w:sz="2" w:space="0" w:color="999999"/>
            </w:tcBorders>
            <w:vAlign w:val="center"/>
          </w:tcPr>
          <w:p w14:paraId="705D268A" w14:textId="7E4C9953" w:rsidR="61F2CE04" w:rsidRPr="00DE5669" w:rsidRDefault="00C2589A" w:rsidP="1A6EC8B6">
            <w:pPr>
              <w:spacing w:after="0"/>
              <w:jc w:val="center"/>
              <w:rPr>
                <w:rFonts w:cs="Arial"/>
                <w:sz w:val="20"/>
                <w:szCs w:val="20"/>
              </w:rPr>
            </w:pPr>
            <w:r>
              <w:rPr>
                <w:rFonts w:cs="Arial"/>
                <w:sz w:val="20"/>
                <w:szCs w:val="20"/>
              </w:rPr>
              <w:t>6.351</w:t>
            </w:r>
          </w:p>
        </w:tc>
      </w:tr>
      <w:tr w:rsidR="00263901" w:rsidRPr="00DE5669" w14:paraId="312C8F7A" w14:textId="77777777" w:rsidTr="1A6EC8B6">
        <w:trPr>
          <w:trHeight w:val="227"/>
        </w:trPr>
        <w:tc>
          <w:tcPr>
            <w:tcW w:w="4710" w:type="dxa"/>
            <w:tcBorders>
              <w:top w:val="single" w:sz="2" w:space="0" w:color="999999"/>
              <w:left w:val="single" w:sz="2" w:space="0" w:color="999999"/>
              <w:bottom w:val="single" w:sz="2" w:space="0" w:color="999999"/>
              <w:right w:val="single" w:sz="2" w:space="0" w:color="999999"/>
            </w:tcBorders>
            <w:vAlign w:val="center"/>
          </w:tcPr>
          <w:p w14:paraId="556A580A" w14:textId="15891AC8" w:rsidR="00F6697D" w:rsidRPr="00DE5669" w:rsidRDefault="2206BFA5" w:rsidP="61F2CE04">
            <w:pPr>
              <w:spacing w:after="0"/>
              <w:rPr>
                <w:rFonts w:cs="Arial"/>
                <w:sz w:val="20"/>
                <w:szCs w:val="20"/>
              </w:rPr>
            </w:pPr>
            <w:r w:rsidRPr="00DE5669">
              <w:rPr>
                <w:rFonts w:cs="Arial"/>
                <w:sz w:val="20"/>
                <w:szCs w:val="20"/>
              </w:rPr>
              <w:t xml:space="preserve">Ultrassonografia </w:t>
            </w:r>
          </w:p>
        </w:tc>
        <w:tc>
          <w:tcPr>
            <w:tcW w:w="1913" w:type="dxa"/>
            <w:tcBorders>
              <w:top w:val="single" w:sz="2" w:space="0" w:color="999999"/>
              <w:left w:val="single" w:sz="2" w:space="0" w:color="999999"/>
              <w:bottom w:val="single" w:sz="2" w:space="0" w:color="999999"/>
              <w:right w:val="single" w:sz="2" w:space="0" w:color="999999"/>
            </w:tcBorders>
          </w:tcPr>
          <w:p w14:paraId="6BC06926" w14:textId="418EC5B2" w:rsidR="00F6697D" w:rsidRPr="00DE5669" w:rsidRDefault="2206BFA5" w:rsidP="61F2CE04">
            <w:pPr>
              <w:spacing w:after="0"/>
              <w:ind w:left="3"/>
              <w:jc w:val="center"/>
              <w:rPr>
                <w:rFonts w:cs="Arial"/>
                <w:sz w:val="20"/>
                <w:szCs w:val="20"/>
              </w:rPr>
            </w:pPr>
            <w:r w:rsidRPr="00DE5669">
              <w:rPr>
                <w:rFonts w:cs="Arial"/>
                <w:sz w:val="20"/>
                <w:szCs w:val="20"/>
              </w:rPr>
              <w:t>NA</w:t>
            </w:r>
          </w:p>
        </w:tc>
        <w:tc>
          <w:tcPr>
            <w:tcW w:w="1913" w:type="dxa"/>
            <w:tcBorders>
              <w:top w:val="single" w:sz="2" w:space="0" w:color="999999"/>
              <w:left w:val="single" w:sz="2" w:space="0" w:color="999999"/>
              <w:bottom w:val="single" w:sz="2" w:space="0" w:color="999999"/>
              <w:right w:val="single" w:sz="2" w:space="0" w:color="999999"/>
            </w:tcBorders>
            <w:vAlign w:val="center"/>
          </w:tcPr>
          <w:p w14:paraId="2A67AC4C" w14:textId="6873355A" w:rsidR="61F2CE04" w:rsidRPr="00DE5669" w:rsidRDefault="00042B13" w:rsidP="1A6EC8B6">
            <w:pPr>
              <w:spacing w:after="0"/>
              <w:jc w:val="center"/>
              <w:rPr>
                <w:rFonts w:cs="Arial"/>
                <w:sz w:val="20"/>
                <w:szCs w:val="20"/>
              </w:rPr>
            </w:pPr>
            <w:r>
              <w:rPr>
                <w:rFonts w:cs="Arial"/>
                <w:sz w:val="20"/>
                <w:szCs w:val="20"/>
              </w:rPr>
              <w:t>130</w:t>
            </w:r>
          </w:p>
        </w:tc>
      </w:tr>
      <w:tr w:rsidR="00263901" w:rsidRPr="00DE5669" w14:paraId="0ECE3A01" w14:textId="77777777" w:rsidTr="1A6EC8B6">
        <w:trPr>
          <w:trHeight w:val="227"/>
        </w:trPr>
        <w:tc>
          <w:tcPr>
            <w:tcW w:w="4710" w:type="dxa"/>
            <w:tcBorders>
              <w:top w:val="single" w:sz="2" w:space="0" w:color="999999"/>
              <w:left w:val="single" w:sz="2" w:space="0" w:color="999999"/>
              <w:bottom w:val="single" w:sz="2" w:space="0" w:color="999999"/>
              <w:right w:val="single" w:sz="2" w:space="0" w:color="999999"/>
            </w:tcBorders>
            <w:vAlign w:val="center"/>
          </w:tcPr>
          <w:p w14:paraId="5F812CD8" w14:textId="1893FE0D" w:rsidR="00F6697D" w:rsidRPr="00DE5669" w:rsidRDefault="2206BFA5" w:rsidP="61F2CE04">
            <w:pPr>
              <w:spacing w:after="0"/>
              <w:rPr>
                <w:rFonts w:cs="Arial"/>
                <w:sz w:val="20"/>
                <w:szCs w:val="20"/>
              </w:rPr>
            </w:pPr>
            <w:r w:rsidRPr="00DE5669">
              <w:rPr>
                <w:rFonts w:cs="Arial"/>
                <w:sz w:val="20"/>
                <w:szCs w:val="20"/>
              </w:rPr>
              <w:t>Ultrassonografia/Doppler</w:t>
            </w:r>
          </w:p>
        </w:tc>
        <w:tc>
          <w:tcPr>
            <w:tcW w:w="1913" w:type="dxa"/>
            <w:tcBorders>
              <w:top w:val="single" w:sz="2" w:space="0" w:color="999999"/>
              <w:left w:val="single" w:sz="2" w:space="0" w:color="999999"/>
              <w:bottom w:val="single" w:sz="2" w:space="0" w:color="999999"/>
              <w:right w:val="single" w:sz="2" w:space="0" w:color="999999"/>
            </w:tcBorders>
          </w:tcPr>
          <w:p w14:paraId="79A241F1" w14:textId="1D430E24" w:rsidR="00F6697D" w:rsidRPr="00DE5669" w:rsidRDefault="2206BFA5" w:rsidP="61F2CE04">
            <w:pPr>
              <w:spacing w:after="0"/>
              <w:ind w:left="3"/>
              <w:jc w:val="center"/>
              <w:rPr>
                <w:rFonts w:cs="Arial"/>
                <w:sz w:val="20"/>
                <w:szCs w:val="20"/>
              </w:rPr>
            </w:pPr>
            <w:r w:rsidRPr="00DE5669">
              <w:rPr>
                <w:rFonts w:cs="Arial"/>
                <w:sz w:val="20"/>
                <w:szCs w:val="20"/>
              </w:rPr>
              <w:t>NA</w:t>
            </w:r>
          </w:p>
        </w:tc>
        <w:tc>
          <w:tcPr>
            <w:tcW w:w="1913" w:type="dxa"/>
            <w:tcBorders>
              <w:top w:val="single" w:sz="2" w:space="0" w:color="999999"/>
              <w:left w:val="single" w:sz="2" w:space="0" w:color="999999"/>
              <w:bottom w:val="single" w:sz="2" w:space="0" w:color="999999"/>
              <w:right w:val="single" w:sz="2" w:space="0" w:color="999999"/>
            </w:tcBorders>
            <w:vAlign w:val="center"/>
          </w:tcPr>
          <w:p w14:paraId="616CFEFD" w14:textId="79F7BE53" w:rsidR="61F2CE04" w:rsidRPr="00DE5669" w:rsidRDefault="00042B13" w:rsidP="1A6EC8B6">
            <w:pPr>
              <w:spacing w:after="0"/>
              <w:jc w:val="center"/>
              <w:rPr>
                <w:rFonts w:cs="Arial"/>
                <w:sz w:val="20"/>
                <w:szCs w:val="20"/>
              </w:rPr>
            </w:pPr>
            <w:r>
              <w:rPr>
                <w:rFonts w:cs="Arial"/>
                <w:sz w:val="20"/>
                <w:szCs w:val="20"/>
              </w:rPr>
              <w:t>75</w:t>
            </w:r>
          </w:p>
        </w:tc>
      </w:tr>
      <w:tr w:rsidR="00263901" w:rsidRPr="00DE5669" w14:paraId="0C6B35B4" w14:textId="77777777" w:rsidTr="1A6EC8B6">
        <w:trPr>
          <w:trHeight w:val="227"/>
        </w:trPr>
        <w:tc>
          <w:tcPr>
            <w:tcW w:w="4710" w:type="dxa"/>
            <w:tcBorders>
              <w:top w:val="single" w:sz="2" w:space="0" w:color="999999"/>
              <w:left w:val="single" w:sz="2" w:space="0" w:color="999999"/>
              <w:bottom w:val="single" w:sz="2" w:space="0" w:color="999999"/>
              <w:right w:val="single" w:sz="2" w:space="0" w:color="999999"/>
            </w:tcBorders>
            <w:vAlign w:val="center"/>
          </w:tcPr>
          <w:p w14:paraId="5897BA55" w14:textId="6214045C" w:rsidR="00F6697D" w:rsidRPr="00DE5669" w:rsidRDefault="2206BFA5" w:rsidP="61F2CE04">
            <w:pPr>
              <w:spacing w:after="0"/>
              <w:rPr>
                <w:rFonts w:cs="Arial"/>
                <w:sz w:val="20"/>
                <w:szCs w:val="20"/>
              </w:rPr>
            </w:pPr>
            <w:r w:rsidRPr="00DE5669">
              <w:rPr>
                <w:rFonts w:cs="Arial"/>
                <w:sz w:val="20"/>
                <w:szCs w:val="20"/>
              </w:rPr>
              <w:t>Análises Clínicas</w:t>
            </w:r>
          </w:p>
        </w:tc>
        <w:tc>
          <w:tcPr>
            <w:tcW w:w="1913" w:type="dxa"/>
            <w:tcBorders>
              <w:top w:val="single" w:sz="2" w:space="0" w:color="999999"/>
              <w:left w:val="single" w:sz="2" w:space="0" w:color="999999"/>
              <w:bottom w:val="single" w:sz="2" w:space="0" w:color="999999"/>
              <w:right w:val="single" w:sz="2" w:space="0" w:color="999999"/>
            </w:tcBorders>
          </w:tcPr>
          <w:p w14:paraId="4FD44125" w14:textId="308231B4" w:rsidR="00F6697D" w:rsidRPr="00DE5669" w:rsidRDefault="2206BFA5" w:rsidP="61F2CE04">
            <w:pPr>
              <w:spacing w:after="0"/>
              <w:ind w:left="3"/>
              <w:jc w:val="center"/>
              <w:rPr>
                <w:rFonts w:cs="Arial"/>
                <w:sz w:val="20"/>
                <w:szCs w:val="20"/>
              </w:rPr>
            </w:pPr>
            <w:r w:rsidRPr="00DE5669">
              <w:rPr>
                <w:rFonts w:cs="Arial"/>
                <w:sz w:val="20"/>
                <w:szCs w:val="20"/>
              </w:rPr>
              <w:t>NA</w:t>
            </w:r>
          </w:p>
        </w:tc>
        <w:tc>
          <w:tcPr>
            <w:tcW w:w="1913" w:type="dxa"/>
            <w:tcBorders>
              <w:top w:val="single" w:sz="2" w:space="0" w:color="999999"/>
              <w:left w:val="single" w:sz="2" w:space="0" w:color="999999"/>
              <w:bottom w:val="single" w:sz="2" w:space="0" w:color="999999"/>
              <w:right w:val="single" w:sz="2" w:space="0" w:color="999999"/>
            </w:tcBorders>
            <w:vAlign w:val="center"/>
          </w:tcPr>
          <w:p w14:paraId="445442D1" w14:textId="4577F4F3" w:rsidR="61F2CE04" w:rsidRPr="00DE5669" w:rsidRDefault="00841F43" w:rsidP="1A6EC8B6">
            <w:pPr>
              <w:spacing w:after="0"/>
              <w:jc w:val="center"/>
              <w:rPr>
                <w:rFonts w:cs="Arial"/>
                <w:sz w:val="20"/>
                <w:szCs w:val="20"/>
              </w:rPr>
            </w:pPr>
            <w:r>
              <w:rPr>
                <w:rFonts w:cs="Arial"/>
                <w:sz w:val="20"/>
                <w:szCs w:val="20"/>
              </w:rPr>
              <w:t>47.821</w:t>
            </w:r>
          </w:p>
        </w:tc>
      </w:tr>
      <w:tr w:rsidR="00263901" w:rsidRPr="00DE5669" w14:paraId="0CB1D982" w14:textId="77777777" w:rsidTr="1A6EC8B6">
        <w:trPr>
          <w:trHeight w:val="227"/>
        </w:trPr>
        <w:tc>
          <w:tcPr>
            <w:tcW w:w="4710" w:type="dxa"/>
            <w:tcBorders>
              <w:top w:val="single" w:sz="2" w:space="0" w:color="999999"/>
              <w:left w:val="single" w:sz="2" w:space="0" w:color="999999"/>
              <w:bottom w:val="single" w:sz="2" w:space="0" w:color="999999"/>
              <w:right w:val="single" w:sz="2" w:space="0" w:color="999999"/>
            </w:tcBorders>
            <w:vAlign w:val="center"/>
          </w:tcPr>
          <w:p w14:paraId="5CA53491" w14:textId="6F0B801D" w:rsidR="00F6697D" w:rsidRPr="00DE5669" w:rsidRDefault="2206BFA5" w:rsidP="61F2CE04">
            <w:pPr>
              <w:spacing w:after="0"/>
              <w:rPr>
                <w:rFonts w:cs="Arial"/>
                <w:sz w:val="20"/>
                <w:szCs w:val="20"/>
              </w:rPr>
            </w:pPr>
            <w:r w:rsidRPr="00DE5669">
              <w:rPr>
                <w:rFonts w:cs="Arial"/>
                <w:sz w:val="20"/>
                <w:szCs w:val="20"/>
              </w:rPr>
              <w:t>Ecocardiograma</w:t>
            </w:r>
          </w:p>
        </w:tc>
        <w:tc>
          <w:tcPr>
            <w:tcW w:w="1913" w:type="dxa"/>
            <w:tcBorders>
              <w:top w:val="single" w:sz="2" w:space="0" w:color="999999"/>
              <w:left w:val="single" w:sz="2" w:space="0" w:color="999999"/>
              <w:bottom w:val="single" w:sz="2" w:space="0" w:color="999999"/>
              <w:right w:val="single" w:sz="2" w:space="0" w:color="999999"/>
            </w:tcBorders>
          </w:tcPr>
          <w:p w14:paraId="48DE816E" w14:textId="0DB989D4" w:rsidR="00F6697D" w:rsidRPr="00DE5669" w:rsidRDefault="2206BFA5" w:rsidP="61F2CE04">
            <w:pPr>
              <w:spacing w:after="0"/>
              <w:ind w:left="3"/>
              <w:jc w:val="center"/>
              <w:rPr>
                <w:rFonts w:cs="Arial"/>
                <w:sz w:val="20"/>
                <w:szCs w:val="20"/>
              </w:rPr>
            </w:pPr>
            <w:r w:rsidRPr="00DE5669">
              <w:rPr>
                <w:rFonts w:cs="Arial"/>
                <w:sz w:val="20"/>
                <w:szCs w:val="20"/>
              </w:rPr>
              <w:t>NA</w:t>
            </w:r>
          </w:p>
        </w:tc>
        <w:tc>
          <w:tcPr>
            <w:tcW w:w="1913" w:type="dxa"/>
            <w:tcBorders>
              <w:top w:val="single" w:sz="2" w:space="0" w:color="999999"/>
              <w:left w:val="single" w:sz="2" w:space="0" w:color="999999"/>
              <w:bottom w:val="single" w:sz="2" w:space="0" w:color="999999"/>
              <w:right w:val="single" w:sz="2" w:space="0" w:color="999999"/>
            </w:tcBorders>
            <w:vAlign w:val="center"/>
          </w:tcPr>
          <w:p w14:paraId="3D67A18C" w14:textId="38720170" w:rsidR="61F2CE04" w:rsidRPr="00DE5669" w:rsidRDefault="00064B67" w:rsidP="1A6EC8B6">
            <w:pPr>
              <w:spacing w:after="0"/>
              <w:jc w:val="center"/>
              <w:rPr>
                <w:rFonts w:cs="Arial"/>
                <w:sz w:val="20"/>
                <w:szCs w:val="20"/>
              </w:rPr>
            </w:pPr>
            <w:r>
              <w:rPr>
                <w:rFonts w:cs="Arial"/>
                <w:sz w:val="20"/>
                <w:szCs w:val="20"/>
              </w:rPr>
              <w:t>282</w:t>
            </w:r>
          </w:p>
        </w:tc>
      </w:tr>
      <w:tr w:rsidR="00263901" w:rsidRPr="00DE5669" w14:paraId="7A2599B3" w14:textId="77777777" w:rsidTr="1A6EC8B6">
        <w:trPr>
          <w:trHeight w:val="227"/>
        </w:trPr>
        <w:tc>
          <w:tcPr>
            <w:tcW w:w="4710" w:type="dxa"/>
            <w:tcBorders>
              <w:top w:val="single" w:sz="2" w:space="0" w:color="999999"/>
              <w:left w:val="single" w:sz="2" w:space="0" w:color="999999"/>
              <w:bottom w:val="single" w:sz="2" w:space="0" w:color="999999"/>
              <w:right w:val="single" w:sz="2" w:space="0" w:color="999999"/>
            </w:tcBorders>
            <w:vAlign w:val="center"/>
          </w:tcPr>
          <w:p w14:paraId="0EB15F85" w14:textId="6C2BE010" w:rsidR="00F6697D" w:rsidRPr="00DE5669" w:rsidRDefault="2206BFA5" w:rsidP="61F2CE04">
            <w:pPr>
              <w:spacing w:after="0"/>
              <w:rPr>
                <w:rFonts w:cs="Arial"/>
                <w:sz w:val="20"/>
                <w:szCs w:val="20"/>
              </w:rPr>
            </w:pPr>
            <w:r w:rsidRPr="00DE5669">
              <w:rPr>
                <w:rFonts w:cs="Arial"/>
                <w:sz w:val="20"/>
                <w:szCs w:val="20"/>
              </w:rPr>
              <w:t>Eletrocardiograma</w:t>
            </w:r>
          </w:p>
        </w:tc>
        <w:tc>
          <w:tcPr>
            <w:tcW w:w="1913" w:type="dxa"/>
            <w:tcBorders>
              <w:top w:val="single" w:sz="2" w:space="0" w:color="999999"/>
              <w:left w:val="single" w:sz="2" w:space="0" w:color="999999"/>
              <w:bottom w:val="single" w:sz="2" w:space="0" w:color="999999"/>
              <w:right w:val="single" w:sz="2" w:space="0" w:color="999999"/>
            </w:tcBorders>
          </w:tcPr>
          <w:p w14:paraId="45AA2E15" w14:textId="5FB423B6" w:rsidR="00F6697D" w:rsidRPr="00DE5669" w:rsidRDefault="2206BFA5" w:rsidP="61F2CE04">
            <w:pPr>
              <w:spacing w:after="0"/>
              <w:ind w:left="3"/>
              <w:jc w:val="center"/>
              <w:rPr>
                <w:rFonts w:cs="Arial"/>
                <w:sz w:val="20"/>
                <w:szCs w:val="20"/>
              </w:rPr>
            </w:pPr>
            <w:r w:rsidRPr="00DE5669">
              <w:rPr>
                <w:rFonts w:cs="Arial"/>
                <w:sz w:val="20"/>
                <w:szCs w:val="20"/>
              </w:rPr>
              <w:t>NA</w:t>
            </w:r>
          </w:p>
        </w:tc>
        <w:tc>
          <w:tcPr>
            <w:tcW w:w="1913" w:type="dxa"/>
            <w:tcBorders>
              <w:top w:val="single" w:sz="2" w:space="0" w:color="999999"/>
              <w:left w:val="single" w:sz="2" w:space="0" w:color="999999"/>
              <w:bottom w:val="single" w:sz="2" w:space="0" w:color="999999"/>
              <w:right w:val="single" w:sz="2" w:space="0" w:color="999999"/>
            </w:tcBorders>
            <w:vAlign w:val="center"/>
          </w:tcPr>
          <w:p w14:paraId="0CCA4F23" w14:textId="558F620C" w:rsidR="61F2CE04" w:rsidRPr="00DE5669" w:rsidRDefault="00064B67" w:rsidP="1A6EC8B6">
            <w:pPr>
              <w:spacing w:after="0"/>
              <w:jc w:val="center"/>
              <w:rPr>
                <w:rFonts w:cs="Arial"/>
                <w:sz w:val="20"/>
                <w:szCs w:val="20"/>
              </w:rPr>
            </w:pPr>
            <w:r>
              <w:rPr>
                <w:rFonts w:cs="Arial"/>
                <w:sz w:val="20"/>
                <w:szCs w:val="20"/>
              </w:rPr>
              <w:t>841</w:t>
            </w:r>
          </w:p>
        </w:tc>
      </w:tr>
      <w:tr w:rsidR="00263901" w:rsidRPr="00DE5669" w14:paraId="64C148A3" w14:textId="77777777" w:rsidTr="1A6EC8B6">
        <w:trPr>
          <w:trHeight w:val="227"/>
        </w:trPr>
        <w:tc>
          <w:tcPr>
            <w:tcW w:w="4710" w:type="dxa"/>
            <w:tcBorders>
              <w:top w:val="single" w:sz="2" w:space="0" w:color="999999"/>
              <w:left w:val="single" w:sz="2" w:space="0" w:color="999999"/>
              <w:bottom w:val="single" w:sz="2" w:space="0" w:color="999999"/>
              <w:right w:val="single" w:sz="2" w:space="0" w:color="999999"/>
            </w:tcBorders>
            <w:vAlign w:val="center"/>
          </w:tcPr>
          <w:p w14:paraId="36D9A339" w14:textId="0FF4D7CA" w:rsidR="00F6697D" w:rsidRPr="00DE5669" w:rsidRDefault="2206BFA5" w:rsidP="61F2CE04">
            <w:pPr>
              <w:spacing w:after="0"/>
              <w:rPr>
                <w:rFonts w:cs="Arial"/>
                <w:sz w:val="20"/>
                <w:szCs w:val="20"/>
              </w:rPr>
            </w:pPr>
            <w:r w:rsidRPr="00DE5669">
              <w:rPr>
                <w:rFonts w:cs="Arial"/>
                <w:sz w:val="20"/>
                <w:szCs w:val="20"/>
              </w:rPr>
              <w:t>Raio X</w:t>
            </w:r>
          </w:p>
        </w:tc>
        <w:tc>
          <w:tcPr>
            <w:tcW w:w="1913" w:type="dxa"/>
            <w:tcBorders>
              <w:top w:val="single" w:sz="2" w:space="0" w:color="999999"/>
              <w:left w:val="single" w:sz="2" w:space="0" w:color="999999"/>
              <w:bottom w:val="single" w:sz="2" w:space="0" w:color="999999"/>
              <w:right w:val="single" w:sz="2" w:space="0" w:color="999999"/>
            </w:tcBorders>
          </w:tcPr>
          <w:p w14:paraId="56579999" w14:textId="1CCAD696" w:rsidR="00F6697D" w:rsidRPr="00DE5669" w:rsidRDefault="2206BFA5" w:rsidP="61F2CE04">
            <w:pPr>
              <w:spacing w:after="0"/>
              <w:ind w:left="3"/>
              <w:jc w:val="center"/>
              <w:rPr>
                <w:rFonts w:cs="Arial"/>
                <w:sz w:val="20"/>
                <w:szCs w:val="20"/>
              </w:rPr>
            </w:pPr>
            <w:r w:rsidRPr="00DE5669">
              <w:rPr>
                <w:rFonts w:cs="Arial"/>
                <w:sz w:val="20"/>
                <w:szCs w:val="20"/>
              </w:rPr>
              <w:t>NA</w:t>
            </w:r>
          </w:p>
        </w:tc>
        <w:tc>
          <w:tcPr>
            <w:tcW w:w="1913" w:type="dxa"/>
            <w:tcBorders>
              <w:top w:val="single" w:sz="2" w:space="0" w:color="999999"/>
              <w:left w:val="single" w:sz="2" w:space="0" w:color="999999"/>
              <w:bottom w:val="single" w:sz="2" w:space="0" w:color="999999"/>
              <w:right w:val="single" w:sz="2" w:space="0" w:color="999999"/>
            </w:tcBorders>
            <w:vAlign w:val="center"/>
          </w:tcPr>
          <w:p w14:paraId="0CFBECD4" w14:textId="4923257F" w:rsidR="61F2CE04" w:rsidRPr="00DE5669" w:rsidRDefault="009F5DE4" w:rsidP="1A6EC8B6">
            <w:pPr>
              <w:spacing w:after="0"/>
              <w:jc w:val="center"/>
              <w:rPr>
                <w:rFonts w:cs="Arial"/>
                <w:sz w:val="20"/>
                <w:szCs w:val="20"/>
              </w:rPr>
            </w:pPr>
            <w:r>
              <w:rPr>
                <w:rFonts w:cs="Arial"/>
                <w:sz w:val="20"/>
                <w:szCs w:val="20"/>
              </w:rPr>
              <w:t>4.554</w:t>
            </w:r>
          </w:p>
        </w:tc>
      </w:tr>
      <w:tr w:rsidR="00263901" w:rsidRPr="00DE5669" w14:paraId="26D6114A" w14:textId="77777777" w:rsidTr="1A6EC8B6">
        <w:trPr>
          <w:trHeight w:val="227"/>
        </w:trPr>
        <w:tc>
          <w:tcPr>
            <w:tcW w:w="4710" w:type="dxa"/>
            <w:tcBorders>
              <w:top w:val="single" w:sz="2" w:space="0" w:color="999999"/>
              <w:left w:val="single" w:sz="2" w:space="0" w:color="999999"/>
              <w:bottom w:val="single" w:sz="2" w:space="0" w:color="999999"/>
              <w:right w:val="single" w:sz="2" w:space="0" w:color="999999"/>
            </w:tcBorders>
            <w:vAlign w:val="center"/>
          </w:tcPr>
          <w:p w14:paraId="538E4F23" w14:textId="49462CB1" w:rsidR="00F6697D" w:rsidRPr="00DE5669" w:rsidRDefault="2206BFA5" w:rsidP="61F2CE04">
            <w:pPr>
              <w:spacing w:after="0"/>
              <w:rPr>
                <w:rFonts w:cs="Arial"/>
                <w:sz w:val="20"/>
                <w:szCs w:val="20"/>
              </w:rPr>
            </w:pPr>
            <w:r w:rsidRPr="00DE5669">
              <w:rPr>
                <w:rFonts w:cs="Arial"/>
                <w:sz w:val="20"/>
                <w:szCs w:val="20"/>
              </w:rPr>
              <w:t>Broncoscopia</w:t>
            </w:r>
          </w:p>
        </w:tc>
        <w:tc>
          <w:tcPr>
            <w:tcW w:w="1913" w:type="dxa"/>
            <w:tcBorders>
              <w:top w:val="single" w:sz="2" w:space="0" w:color="999999"/>
              <w:left w:val="single" w:sz="2" w:space="0" w:color="999999"/>
              <w:bottom w:val="single" w:sz="2" w:space="0" w:color="999999"/>
              <w:right w:val="single" w:sz="2" w:space="0" w:color="999999"/>
            </w:tcBorders>
          </w:tcPr>
          <w:p w14:paraId="157ECCFB" w14:textId="2C96E753" w:rsidR="00F6697D" w:rsidRPr="00DE5669" w:rsidRDefault="2206BFA5" w:rsidP="61F2CE04">
            <w:pPr>
              <w:spacing w:after="0"/>
              <w:ind w:left="3"/>
              <w:jc w:val="center"/>
              <w:rPr>
                <w:rFonts w:cs="Arial"/>
                <w:sz w:val="20"/>
                <w:szCs w:val="20"/>
              </w:rPr>
            </w:pPr>
            <w:r w:rsidRPr="00DE5669">
              <w:rPr>
                <w:rFonts w:cs="Arial"/>
                <w:sz w:val="20"/>
                <w:szCs w:val="20"/>
              </w:rPr>
              <w:t>NA</w:t>
            </w:r>
          </w:p>
        </w:tc>
        <w:tc>
          <w:tcPr>
            <w:tcW w:w="1913" w:type="dxa"/>
            <w:tcBorders>
              <w:top w:val="single" w:sz="2" w:space="0" w:color="999999"/>
              <w:left w:val="single" w:sz="2" w:space="0" w:color="999999"/>
              <w:bottom w:val="single" w:sz="2" w:space="0" w:color="999999"/>
              <w:right w:val="single" w:sz="2" w:space="0" w:color="999999"/>
            </w:tcBorders>
            <w:vAlign w:val="center"/>
          </w:tcPr>
          <w:p w14:paraId="306F1435" w14:textId="2DBC73F9" w:rsidR="61F2CE04" w:rsidRPr="00DE5669" w:rsidRDefault="009F5DE4" w:rsidP="1A6EC8B6">
            <w:pPr>
              <w:spacing w:after="0"/>
              <w:jc w:val="center"/>
              <w:rPr>
                <w:rFonts w:cs="Arial"/>
                <w:sz w:val="20"/>
                <w:szCs w:val="20"/>
              </w:rPr>
            </w:pPr>
            <w:r>
              <w:rPr>
                <w:rFonts w:cs="Arial"/>
                <w:sz w:val="20"/>
                <w:szCs w:val="20"/>
              </w:rPr>
              <w:t>15</w:t>
            </w:r>
          </w:p>
        </w:tc>
      </w:tr>
      <w:tr w:rsidR="00263901" w:rsidRPr="00DE5669" w14:paraId="340FE4C9" w14:textId="77777777" w:rsidTr="1A6EC8B6">
        <w:trPr>
          <w:trHeight w:val="227"/>
        </w:trPr>
        <w:tc>
          <w:tcPr>
            <w:tcW w:w="4710" w:type="dxa"/>
            <w:tcBorders>
              <w:top w:val="single" w:sz="2" w:space="0" w:color="999999"/>
              <w:left w:val="single" w:sz="2" w:space="0" w:color="999999"/>
              <w:bottom w:val="single" w:sz="2" w:space="0" w:color="999999"/>
              <w:right w:val="single" w:sz="2" w:space="0" w:color="999999"/>
            </w:tcBorders>
            <w:vAlign w:val="center"/>
          </w:tcPr>
          <w:p w14:paraId="55EE4BCA" w14:textId="19D6225B" w:rsidR="00F6697D" w:rsidRPr="00DE5669" w:rsidRDefault="15CE2667" w:rsidP="61F2CE04">
            <w:pPr>
              <w:spacing w:after="0"/>
              <w:rPr>
                <w:rFonts w:cs="Arial"/>
                <w:b/>
                <w:bCs/>
                <w:sz w:val="20"/>
                <w:szCs w:val="20"/>
              </w:rPr>
            </w:pPr>
            <w:r w:rsidRPr="00DE5669">
              <w:rPr>
                <w:rFonts w:cs="Arial"/>
                <w:b/>
                <w:bCs/>
                <w:sz w:val="20"/>
                <w:szCs w:val="20"/>
              </w:rPr>
              <w:t>T</w:t>
            </w:r>
            <w:r w:rsidR="597D3536" w:rsidRPr="00DE5669">
              <w:rPr>
                <w:rFonts w:cs="Arial"/>
                <w:b/>
                <w:bCs/>
                <w:sz w:val="20"/>
                <w:szCs w:val="20"/>
              </w:rPr>
              <w:t>otal</w:t>
            </w:r>
          </w:p>
        </w:tc>
        <w:tc>
          <w:tcPr>
            <w:tcW w:w="1913" w:type="dxa"/>
            <w:tcBorders>
              <w:top w:val="single" w:sz="2" w:space="0" w:color="999999"/>
              <w:left w:val="single" w:sz="2" w:space="0" w:color="999999"/>
              <w:bottom w:val="single" w:sz="2" w:space="0" w:color="999999"/>
              <w:right w:val="single" w:sz="2" w:space="0" w:color="999999"/>
            </w:tcBorders>
          </w:tcPr>
          <w:p w14:paraId="31DE5B60" w14:textId="343522C9" w:rsidR="00F6697D" w:rsidRPr="00DE5669" w:rsidRDefault="15CE2667" w:rsidP="61F2CE04">
            <w:pPr>
              <w:spacing w:after="0"/>
              <w:ind w:left="3"/>
              <w:jc w:val="center"/>
              <w:rPr>
                <w:rFonts w:cs="Arial"/>
                <w:b/>
                <w:bCs/>
                <w:sz w:val="20"/>
                <w:szCs w:val="20"/>
              </w:rPr>
            </w:pPr>
            <w:r w:rsidRPr="00DE5669">
              <w:rPr>
                <w:rFonts w:cs="Arial"/>
                <w:b/>
                <w:bCs/>
                <w:sz w:val="20"/>
                <w:szCs w:val="20"/>
              </w:rPr>
              <w:t>NA</w:t>
            </w:r>
          </w:p>
        </w:tc>
        <w:tc>
          <w:tcPr>
            <w:tcW w:w="1913" w:type="dxa"/>
            <w:tcBorders>
              <w:top w:val="single" w:sz="2" w:space="0" w:color="999999"/>
              <w:left w:val="single" w:sz="2" w:space="0" w:color="999999"/>
              <w:bottom w:val="single" w:sz="2" w:space="0" w:color="999999"/>
              <w:right w:val="single" w:sz="2" w:space="0" w:color="999999"/>
            </w:tcBorders>
            <w:vAlign w:val="center"/>
          </w:tcPr>
          <w:p w14:paraId="0B18D4F8" w14:textId="79C6A24A" w:rsidR="61F2CE04" w:rsidRPr="00DE5669" w:rsidRDefault="005D3D28" w:rsidP="188B0E26">
            <w:pPr>
              <w:spacing w:after="0"/>
              <w:jc w:val="center"/>
              <w:rPr>
                <w:rFonts w:cs="Arial"/>
                <w:b/>
                <w:bCs/>
                <w:sz w:val="20"/>
                <w:szCs w:val="20"/>
              </w:rPr>
            </w:pPr>
            <w:r>
              <w:rPr>
                <w:rFonts w:cs="Arial"/>
                <w:b/>
                <w:bCs/>
                <w:sz w:val="20"/>
                <w:szCs w:val="20"/>
              </w:rPr>
              <w:t>60.262</w:t>
            </w:r>
          </w:p>
        </w:tc>
      </w:tr>
    </w:tbl>
    <w:p w14:paraId="1E09A9FA" w14:textId="77777777" w:rsidR="00957196" w:rsidRDefault="00957196" w:rsidP="00957196">
      <w:pPr>
        <w:spacing w:after="135"/>
        <w:ind w:hanging="10"/>
        <w:rPr>
          <w:color w:val="EE0000"/>
        </w:rPr>
      </w:pPr>
    </w:p>
    <w:p w14:paraId="2271B2FB" w14:textId="2023F20D" w:rsidR="00957196" w:rsidRPr="00957196" w:rsidRDefault="00957196" w:rsidP="00957196">
      <w:pPr>
        <w:spacing w:after="135"/>
        <w:ind w:hanging="10"/>
        <w:rPr>
          <w:color w:val="auto"/>
        </w:rPr>
      </w:pPr>
      <w:r w:rsidRPr="00957196">
        <w:rPr>
          <w:color w:val="auto"/>
        </w:rPr>
        <w:t>A produção do SADT Externo em junho de 2026 totalizou 573 exames realizados frente a 511 ofertados, alcançando 123,2% da meta contratualizada de 465 procedimentos.</w:t>
      </w:r>
    </w:p>
    <w:p w14:paraId="424045EC" w14:textId="1199AA6D" w:rsidR="00957196" w:rsidRPr="00957196" w:rsidRDefault="00957196" w:rsidP="00957196">
      <w:pPr>
        <w:spacing w:after="135"/>
        <w:ind w:hanging="10"/>
        <w:rPr>
          <w:color w:val="auto"/>
        </w:rPr>
      </w:pPr>
      <w:r w:rsidRPr="00957196">
        <w:rPr>
          <w:color w:val="auto"/>
        </w:rPr>
        <w:t>Dentre os exames ofertados, a Tomografia Computadorizada concentrou o maior volume assistencial, com 210 vagas disponibilizadas e 307 procedimentos efetivamente realizados — desempenho que representou 245,6% da meta pactuada (125 exames). A diferença positiva entre realizado e ofertado é explicada pelo aproveitamento de demanda represada de períodos anteriores e por encaixes assistenciais de urgência, dinâmica recorrente no perfil de atendimento da unidade. A Ultrassonografia com Doppler apresentou oferta de 88 vagas e 147 exames realizados, demonstrando uma elevação na realização frente ao padrão observado nos últimos períodos.</w:t>
      </w:r>
    </w:p>
    <w:p w14:paraId="1734F5B2" w14:textId="55991290" w:rsidR="00957196" w:rsidRPr="00957196" w:rsidRDefault="00957196" w:rsidP="00957196">
      <w:pPr>
        <w:spacing w:after="135"/>
        <w:ind w:hanging="10"/>
        <w:rPr>
          <w:color w:val="auto"/>
        </w:rPr>
      </w:pPr>
      <w:r w:rsidRPr="00957196">
        <w:rPr>
          <w:color w:val="auto"/>
        </w:rPr>
        <w:t>Os procedimentos endoscópicos externos seguem como o principal gargalo do SADT: a Colonoscopia contabilizou 64 vagas ofertadas e 35 realizadas, enquanto a Endoscopia Digestiva apresentou 53 ofertadas e 30 realizadas. Esse comportamento decorre da natureza compartilhada do parque endoscópico do HUGO, no qual equipamentos e equipes atendem simultaneamente à agenda externa e à demanda interna. Considerando que os exames endoscópicos internos correspondem majoritariamente a procedimentos de urgência em pacientes graves, com necessidade frequente de intervenção terapêutica imediata, a alocação preferencial do recurso para o componente interno configura uma característica estrutural do serviço.</w:t>
      </w:r>
    </w:p>
    <w:p w14:paraId="6B33D150" w14:textId="64488946" w:rsidR="00957196" w:rsidRPr="00957196" w:rsidRDefault="00957196" w:rsidP="00957196">
      <w:pPr>
        <w:spacing w:after="135"/>
        <w:ind w:hanging="10"/>
        <w:rPr>
          <w:color w:val="auto"/>
        </w:rPr>
      </w:pPr>
      <w:r w:rsidRPr="00957196">
        <w:rPr>
          <w:color w:val="auto"/>
        </w:rPr>
        <w:lastRenderedPageBreak/>
        <w:t>No que se refere ao SADT Interno, a produção do mês totalizou 60.262 procedimentos, com participação predominante das Análises Clínicas (47.821), seguidas pela Tomografia Computadorizada (6.351) e pelo Raio X (4.554). O volume mantém-se aderente ao perfil de internações e atendimentos de urgência registrado no período.</w:t>
      </w:r>
    </w:p>
    <w:p w14:paraId="4341EDFE" w14:textId="6C6BF996" w:rsidR="3D15A949" w:rsidRPr="00DE5669" w:rsidRDefault="3D15A949" w:rsidP="00052D43">
      <w:pPr>
        <w:spacing w:after="0"/>
        <w:ind w:hanging="10"/>
        <w:rPr>
          <w:rFonts w:cs="Arial"/>
          <w:b/>
          <w:bCs/>
          <w:color w:val="2E75B6"/>
          <w:sz w:val="28"/>
          <w:szCs w:val="28"/>
        </w:rPr>
      </w:pPr>
    </w:p>
    <w:p w14:paraId="390E4AF7" w14:textId="3E333CC3" w:rsidR="3338C15F" w:rsidRPr="00DE5669" w:rsidRDefault="00EE0FC9" w:rsidP="00052D43">
      <w:pPr>
        <w:spacing w:after="135"/>
        <w:ind w:hanging="10"/>
        <w:rPr>
          <w:rFonts w:cs="Arial"/>
        </w:rPr>
      </w:pPr>
      <w:r w:rsidRPr="00DE5669">
        <w:rPr>
          <w:rFonts w:cs="Arial"/>
          <w:b/>
          <w:color w:val="2E75B6"/>
          <w:sz w:val="28"/>
          <w:szCs w:val="28"/>
        </w:rPr>
        <w:t xml:space="preserve">3.3. Atendimento de Urgência e Emergência </w:t>
      </w:r>
    </w:p>
    <w:tbl>
      <w:tblPr>
        <w:tblW w:w="9210" w:type="dxa"/>
        <w:tblInd w:w="1" w:type="dxa"/>
        <w:tblLook w:val="04A0" w:firstRow="1" w:lastRow="0" w:firstColumn="1" w:lastColumn="0" w:noHBand="0" w:noVBand="1"/>
      </w:tblPr>
      <w:tblGrid>
        <w:gridCol w:w="3090"/>
        <w:gridCol w:w="25"/>
        <w:gridCol w:w="1820"/>
        <w:gridCol w:w="1620"/>
        <w:gridCol w:w="2616"/>
        <w:gridCol w:w="39"/>
      </w:tblGrid>
      <w:tr w:rsidR="00F731D9" w:rsidRPr="00DE5669" w14:paraId="76ADF422" w14:textId="77777777" w:rsidTr="1A6EC8B6">
        <w:trPr>
          <w:gridAfter w:val="1"/>
          <w:wAfter w:w="39" w:type="dxa"/>
          <w:trHeight w:val="283"/>
        </w:trPr>
        <w:tc>
          <w:tcPr>
            <w:tcW w:w="3090"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5E37792E" w14:textId="514AD04B" w:rsidR="6A77A5BA" w:rsidRPr="00DE5669" w:rsidRDefault="5758567F" w:rsidP="61F2CE04">
            <w:pPr>
              <w:spacing w:after="0" w:line="276" w:lineRule="auto"/>
              <w:jc w:val="center"/>
              <w:rPr>
                <w:rFonts w:cs="Arial"/>
                <w:sz w:val="20"/>
                <w:szCs w:val="20"/>
              </w:rPr>
            </w:pPr>
            <w:r w:rsidRPr="00DE5669">
              <w:rPr>
                <w:rFonts w:cs="Arial"/>
                <w:b/>
                <w:bCs/>
                <w:sz w:val="20"/>
                <w:szCs w:val="20"/>
              </w:rPr>
              <w:t>Atendimento de Urgência</w:t>
            </w:r>
          </w:p>
        </w:tc>
        <w:tc>
          <w:tcPr>
            <w:tcW w:w="1845" w:type="dxa"/>
            <w:gridSpan w:val="2"/>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712E4536" w14:textId="797A40C9" w:rsidR="43EE7D73" w:rsidRPr="00DE5669" w:rsidRDefault="3781A9E9" w:rsidP="61F2CE04">
            <w:pPr>
              <w:spacing w:after="0" w:line="276" w:lineRule="auto"/>
              <w:ind w:right="3"/>
              <w:jc w:val="center"/>
              <w:rPr>
                <w:rFonts w:cs="Arial"/>
                <w:sz w:val="20"/>
                <w:szCs w:val="20"/>
              </w:rPr>
            </w:pPr>
            <w:r w:rsidRPr="00DE5669">
              <w:rPr>
                <w:rFonts w:cs="Arial"/>
                <w:b/>
                <w:bCs/>
                <w:sz w:val="20"/>
                <w:szCs w:val="20"/>
              </w:rPr>
              <w:t>Quantidade</w:t>
            </w:r>
          </w:p>
        </w:tc>
        <w:tc>
          <w:tcPr>
            <w:tcW w:w="1620"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57E786AF" w14:textId="5F2255D9" w:rsidR="43EE7D73" w:rsidRPr="00DE5669" w:rsidRDefault="3781A9E9" w:rsidP="61F2CE04">
            <w:pPr>
              <w:spacing w:after="0" w:line="276" w:lineRule="auto"/>
              <w:ind w:left="3"/>
              <w:jc w:val="center"/>
              <w:rPr>
                <w:rFonts w:cs="Arial"/>
                <w:b/>
                <w:bCs/>
                <w:sz w:val="20"/>
                <w:szCs w:val="20"/>
              </w:rPr>
            </w:pPr>
            <w:r w:rsidRPr="00DE5669">
              <w:rPr>
                <w:rFonts w:cs="Arial"/>
                <w:b/>
                <w:bCs/>
                <w:sz w:val="20"/>
                <w:szCs w:val="20"/>
              </w:rPr>
              <w:t>Internados</w:t>
            </w:r>
          </w:p>
        </w:tc>
        <w:tc>
          <w:tcPr>
            <w:tcW w:w="2616"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245700EA" w14:textId="79939A26" w:rsidR="43EE7D73" w:rsidRPr="00DE5669" w:rsidRDefault="08BA6978" w:rsidP="61F2CE04">
            <w:pPr>
              <w:spacing w:after="0" w:line="276" w:lineRule="auto"/>
              <w:ind w:left="3"/>
              <w:jc w:val="center"/>
              <w:rPr>
                <w:rFonts w:cs="Arial"/>
                <w:sz w:val="20"/>
                <w:szCs w:val="20"/>
              </w:rPr>
            </w:pPr>
            <w:r w:rsidRPr="00DE5669">
              <w:rPr>
                <w:rFonts w:cs="Arial"/>
                <w:b/>
                <w:bCs/>
                <w:sz w:val="20"/>
                <w:szCs w:val="20"/>
              </w:rPr>
              <w:t xml:space="preserve">Taxa de conversão </w:t>
            </w:r>
          </w:p>
        </w:tc>
      </w:tr>
      <w:tr w:rsidR="00F731D9" w:rsidRPr="00DE5669" w14:paraId="16DD2174" w14:textId="77777777" w:rsidTr="1A6EC8B6">
        <w:trPr>
          <w:gridAfter w:val="1"/>
          <w:wAfter w:w="39" w:type="dxa"/>
          <w:trHeight w:val="20"/>
        </w:trPr>
        <w:tc>
          <w:tcPr>
            <w:tcW w:w="3090" w:type="dxa"/>
            <w:tcBorders>
              <w:top w:val="single" w:sz="2" w:space="0" w:color="999999"/>
              <w:left w:val="single" w:sz="2" w:space="0" w:color="999999"/>
              <w:bottom w:val="single" w:sz="2" w:space="0" w:color="999999"/>
              <w:right w:val="single" w:sz="2" w:space="0" w:color="999999"/>
            </w:tcBorders>
            <w:vAlign w:val="center"/>
          </w:tcPr>
          <w:p w14:paraId="41341D00" w14:textId="090D4FDB" w:rsidR="4F325232" w:rsidRPr="00DE5669" w:rsidRDefault="23F8B347" w:rsidP="61F2CE04">
            <w:pPr>
              <w:spacing w:after="0" w:line="276" w:lineRule="auto"/>
              <w:ind w:firstLine="90"/>
              <w:rPr>
                <w:rFonts w:cs="Arial"/>
                <w:sz w:val="20"/>
                <w:szCs w:val="20"/>
              </w:rPr>
            </w:pPr>
            <w:r w:rsidRPr="00DE5669">
              <w:rPr>
                <w:rFonts w:cs="Arial"/>
                <w:sz w:val="20"/>
                <w:szCs w:val="20"/>
              </w:rPr>
              <w:t>Regulados</w:t>
            </w:r>
          </w:p>
        </w:tc>
        <w:tc>
          <w:tcPr>
            <w:tcW w:w="1845" w:type="dxa"/>
            <w:gridSpan w:val="2"/>
            <w:tcBorders>
              <w:top w:val="single" w:sz="2" w:space="0" w:color="999999"/>
              <w:left w:val="single" w:sz="2" w:space="0" w:color="999999"/>
              <w:bottom w:val="single" w:sz="2" w:space="0" w:color="999999"/>
              <w:right w:val="single" w:sz="2" w:space="0" w:color="999999"/>
            </w:tcBorders>
            <w:vAlign w:val="center"/>
          </w:tcPr>
          <w:p w14:paraId="2EB67D37" w14:textId="55266B84" w:rsidR="43EE7D73" w:rsidRPr="00361BEF" w:rsidRDefault="00807775" w:rsidP="1A6EC8B6">
            <w:pPr>
              <w:spacing w:after="0" w:line="276" w:lineRule="auto"/>
              <w:ind w:left="3"/>
              <w:jc w:val="center"/>
              <w:rPr>
                <w:rFonts w:cs="Arial"/>
                <w:color w:val="auto"/>
                <w:sz w:val="20"/>
                <w:szCs w:val="20"/>
              </w:rPr>
            </w:pPr>
            <w:r>
              <w:rPr>
                <w:rFonts w:cs="Arial"/>
                <w:color w:val="auto"/>
                <w:sz w:val="20"/>
                <w:szCs w:val="20"/>
              </w:rPr>
              <w:t>1.557</w:t>
            </w:r>
          </w:p>
        </w:tc>
        <w:tc>
          <w:tcPr>
            <w:tcW w:w="1620" w:type="dxa"/>
            <w:tcBorders>
              <w:top w:val="single" w:sz="2" w:space="0" w:color="999999"/>
              <w:left w:val="single" w:sz="2" w:space="0" w:color="999999"/>
              <w:bottom w:val="single" w:sz="2" w:space="0" w:color="999999"/>
              <w:right w:val="single" w:sz="2" w:space="0" w:color="999999"/>
            </w:tcBorders>
            <w:vAlign w:val="center"/>
          </w:tcPr>
          <w:p w14:paraId="1F2FEA53" w14:textId="3DE3B8E0" w:rsidR="43EE7D73" w:rsidRPr="00DE5669" w:rsidRDefault="00F05A4C" w:rsidP="1A6EC8B6">
            <w:pPr>
              <w:spacing w:after="0" w:line="276" w:lineRule="auto"/>
              <w:ind w:left="3"/>
              <w:jc w:val="center"/>
              <w:rPr>
                <w:rFonts w:cs="Arial"/>
                <w:sz w:val="20"/>
                <w:szCs w:val="20"/>
              </w:rPr>
            </w:pPr>
            <w:r>
              <w:rPr>
                <w:rFonts w:cs="Arial"/>
                <w:sz w:val="20"/>
                <w:szCs w:val="20"/>
              </w:rPr>
              <w:t>735</w:t>
            </w:r>
          </w:p>
        </w:tc>
        <w:tc>
          <w:tcPr>
            <w:tcW w:w="2616" w:type="dxa"/>
            <w:tcBorders>
              <w:top w:val="single" w:sz="2" w:space="0" w:color="999999"/>
              <w:left w:val="single" w:sz="2" w:space="0" w:color="999999"/>
              <w:bottom w:val="single" w:sz="2" w:space="0" w:color="999999"/>
              <w:right w:val="single" w:sz="2" w:space="0" w:color="999999"/>
            </w:tcBorders>
            <w:vAlign w:val="center"/>
          </w:tcPr>
          <w:p w14:paraId="5DDED79F" w14:textId="4C645C59" w:rsidR="43EE7D73" w:rsidRPr="00DE5669" w:rsidRDefault="00792CE6" w:rsidP="1A6EC8B6">
            <w:pPr>
              <w:spacing w:after="0" w:line="276" w:lineRule="auto"/>
              <w:ind w:left="3"/>
              <w:jc w:val="center"/>
              <w:rPr>
                <w:rFonts w:cs="Arial"/>
                <w:sz w:val="20"/>
                <w:szCs w:val="20"/>
              </w:rPr>
            </w:pPr>
            <w:r>
              <w:rPr>
                <w:rFonts w:cs="Arial"/>
                <w:sz w:val="20"/>
                <w:szCs w:val="20"/>
              </w:rPr>
              <w:t>47,21%</w:t>
            </w:r>
          </w:p>
        </w:tc>
      </w:tr>
      <w:tr w:rsidR="00F731D9" w:rsidRPr="00DE5669" w14:paraId="76BBF68A" w14:textId="77777777" w:rsidTr="1A6EC8B6">
        <w:trPr>
          <w:gridAfter w:val="1"/>
          <w:wAfter w:w="39" w:type="dxa"/>
          <w:trHeight w:val="20"/>
        </w:trPr>
        <w:tc>
          <w:tcPr>
            <w:tcW w:w="3090" w:type="dxa"/>
            <w:tcBorders>
              <w:top w:val="single" w:sz="2" w:space="0" w:color="999999"/>
              <w:left w:val="single" w:sz="2" w:space="0" w:color="999999"/>
              <w:bottom w:val="single" w:sz="2" w:space="0" w:color="999999"/>
              <w:right w:val="single" w:sz="2" w:space="0" w:color="999999"/>
            </w:tcBorders>
            <w:vAlign w:val="center"/>
          </w:tcPr>
          <w:p w14:paraId="58A61A19" w14:textId="1E483382" w:rsidR="4F8553C4" w:rsidRPr="00DE5669" w:rsidRDefault="2E710B61" w:rsidP="61F2CE04">
            <w:pPr>
              <w:spacing w:after="0" w:line="276" w:lineRule="auto"/>
              <w:ind w:firstLine="90"/>
              <w:rPr>
                <w:rFonts w:cs="Arial"/>
                <w:sz w:val="20"/>
                <w:szCs w:val="20"/>
              </w:rPr>
            </w:pPr>
            <w:r w:rsidRPr="00DE5669">
              <w:rPr>
                <w:rFonts w:cs="Arial"/>
                <w:sz w:val="20"/>
                <w:szCs w:val="20"/>
              </w:rPr>
              <w:t>SAMU/Bombeiro</w:t>
            </w:r>
          </w:p>
        </w:tc>
        <w:tc>
          <w:tcPr>
            <w:tcW w:w="1845" w:type="dxa"/>
            <w:gridSpan w:val="2"/>
            <w:tcBorders>
              <w:top w:val="single" w:sz="2" w:space="0" w:color="999999"/>
              <w:left w:val="single" w:sz="2" w:space="0" w:color="999999"/>
              <w:bottom w:val="single" w:sz="2" w:space="0" w:color="999999"/>
              <w:right w:val="single" w:sz="2" w:space="0" w:color="999999"/>
            </w:tcBorders>
            <w:vAlign w:val="center"/>
          </w:tcPr>
          <w:p w14:paraId="11CB1698" w14:textId="508727C4" w:rsidR="43EE7D73" w:rsidRPr="00361BEF" w:rsidRDefault="00D642CB" w:rsidP="1A6EC8B6">
            <w:pPr>
              <w:spacing w:after="0" w:line="276" w:lineRule="auto"/>
              <w:ind w:left="3"/>
              <w:jc w:val="center"/>
              <w:rPr>
                <w:rFonts w:cs="Arial"/>
                <w:color w:val="auto"/>
                <w:sz w:val="20"/>
                <w:szCs w:val="20"/>
              </w:rPr>
            </w:pPr>
            <w:r>
              <w:rPr>
                <w:rFonts w:cs="Arial"/>
                <w:color w:val="auto"/>
                <w:sz w:val="20"/>
                <w:szCs w:val="20"/>
              </w:rPr>
              <w:t>593</w:t>
            </w:r>
          </w:p>
        </w:tc>
        <w:tc>
          <w:tcPr>
            <w:tcW w:w="1620" w:type="dxa"/>
            <w:tcBorders>
              <w:top w:val="single" w:sz="2" w:space="0" w:color="999999"/>
              <w:left w:val="single" w:sz="2" w:space="0" w:color="999999"/>
              <w:bottom w:val="single" w:sz="2" w:space="0" w:color="999999"/>
              <w:right w:val="single" w:sz="2" w:space="0" w:color="999999"/>
            </w:tcBorders>
            <w:vAlign w:val="center"/>
          </w:tcPr>
          <w:p w14:paraId="1CFB9117" w14:textId="54AD9AB1" w:rsidR="43EE7D73" w:rsidRPr="00DE5669" w:rsidRDefault="002E5B90" w:rsidP="1A6EC8B6">
            <w:pPr>
              <w:spacing w:after="0" w:line="276" w:lineRule="auto"/>
              <w:ind w:left="3"/>
              <w:jc w:val="center"/>
              <w:rPr>
                <w:rFonts w:cs="Arial"/>
                <w:sz w:val="20"/>
                <w:szCs w:val="20"/>
              </w:rPr>
            </w:pPr>
            <w:r>
              <w:rPr>
                <w:rFonts w:cs="Arial"/>
                <w:sz w:val="20"/>
                <w:szCs w:val="20"/>
              </w:rPr>
              <w:t>322</w:t>
            </w:r>
          </w:p>
        </w:tc>
        <w:tc>
          <w:tcPr>
            <w:tcW w:w="2616" w:type="dxa"/>
            <w:tcBorders>
              <w:top w:val="single" w:sz="2" w:space="0" w:color="999999"/>
              <w:left w:val="single" w:sz="2" w:space="0" w:color="999999"/>
              <w:bottom w:val="single" w:sz="2" w:space="0" w:color="999999"/>
              <w:right w:val="single" w:sz="2" w:space="0" w:color="999999"/>
            </w:tcBorders>
            <w:vAlign w:val="center"/>
          </w:tcPr>
          <w:p w14:paraId="7A87B09E" w14:textId="525B0DB4" w:rsidR="43EE7D73" w:rsidRPr="00DE5669" w:rsidRDefault="00792CE6" w:rsidP="1A6EC8B6">
            <w:pPr>
              <w:spacing w:after="0" w:line="276" w:lineRule="auto"/>
              <w:ind w:left="3"/>
              <w:jc w:val="center"/>
              <w:rPr>
                <w:rFonts w:cs="Arial"/>
                <w:sz w:val="20"/>
                <w:szCs w:val="20"/>
              </w:rPr>
            </w:pPr>
            <w:r>
              <w:rPr>
                <w:rFonts w:cs="Arial"/>
                <w:sz w:val="20"/>
                <w:szCs w:val="20"/>
              </w:rPr>
              <w:t>54,30%</w:t>
            </w:r>
          </w:p>
        </w:tc>
      </w:tr>
      <w:tr w:rsidR="00F731D9" w:rsidRPr="00DE5669" w14:paraId="7E565FA8" w14:textId="77777777" w:rsidTr="1A6EC8B6">
        <w:trPr>
          <w:gridAfter w:val="1"/>
          <w:wAfter w:w="39" w:type="dxa"/>
          <w:trHeight w:val="20"/>
        </w:trPr>
        <w:tc>
          <w:tcPr>
            <w:tcW w:w="3090" w:type="dxa"/>
            <w:tcBorders>
              <w:top w:val="single" w:sz="2" w:space="0" w:color="999999"/>
              <w:left w:val="single" w:sz="2" w:space="0" w:color="999999"/>
              <w:bottom w:val="single" w:sz="2" w:space="0" w:color="999999"/>
              <w:right w:val="single" w:sz="2" w:space="0" w:color="999999"/>
            </w:tcBorders>
            <w:vAlign w:val="center"/>
          </w:tcPr>
          <w:p w14:paraId="3342D294" w14:textId="3B3047DB" w:rsidR="5D16FEA5" w:rsidRPr="00DE5669" w:rsidRDefault="4A3C57DE" w:rsidP="61F2CE04">
            <w:pPr>
              <w:spacing w:after="0" w:line="276" w:lineRule="auto"/>
              <w:ind w:firstLine="90"/>
              <w:rPr>
                <w:rFonts w:cs="Arial"/>
                <w:sz w:val="20"/>
                <w:szCs w:val="20"/>
              </w:rPr>
            </w:pPr>
            <w:r w:rsidRPr="00DE5669">
              <w:rPr>
                <w:rFonts w:cs="Arial"/>
                <w:sz w:val="20"/>
                <w:szCs w:val="20"/>
              </w:rPr>
              <w:t>Demanda Espontânea</w:t>
            </w:r>
          </w:p>
        </w:tc>
        <w:tc>
          <w:tcPr>
            <w:tcW w:w="1845" w:type="dxa"/>
            <w:gridSpan w:val="2"/>
            <w:tcBorders>
              <w:top w:val="single" w:sz="2" w:space="0" w:color="999999"/>
              <w:left w:val="single" w:sz="2" w:space="0" w:color="999999"/>
              <w:bottom w:val="single" w:sz="2" w:space="0" w:color="999999"/>
              <w:right w:val="single" w:sz="2" w:space="0" w:color="999999"/>
            </w:tcBorders>
            <w:vAlign w:val="center"/>
          </w:tcPr>
          <w:p w14:paraId="03088A6E" w14:textId="60D16B24" w:rsidR="43EE7D73" w:rsidRPr="00361BEF" w:rsidRDefault="00EE3600" w:rsidP="1A6EC8B6">
            <w:pPr>
              <w:spacing w:after="0" w:line="276" w:lineRule="auto"/>
              <w:ind w:left="3"/>
              <w:jc w:val="center"/>
              <w:rPr>
                <w:rFonts w:cs="Arial"/>
                <w:color w:val="auto"/>
                <w:sz w:val="20"/>
                <w:szCs w:val="20"/>
              </w:rPr>
            </w:pPr>
            <w:r>
              <w:rPr>
                <w:rFonts w:cs="Arial"/>
                <w:color w:val="auto"/>
                <w:sz w:val="20"/>
                <w:szCs w:val="20"/>
              </w:rPr>
              <w:t>578</w:t>
            </w:r>
          </w:p>
        </w:tc>
        <w:tc>
          <w:tcPr>
            <w:tcW w:w="1620" w:type="dxa"/>
            <w:tcBorders>
              <w:top w:val="single" w:sz="2" w:space="0" w:color="999999"/>
              <w:left w:val="single" w:sz="2" w:space="0" w:color="999999"/>
              <w:bottom w:val="single" w:sz="2" w:space="0" w:color="999999"/>
              <w:right w:val="single" w:sz="2" w:space="0" w:color="999999"/>
            </w:tcBorders>
            <w:vAlign w:val="center"/>
          </w:tcPr>
          <w:p w14:paraId="7888305D" w14:textId="40D91501" w:rsidR="43EE7D73" w:rsidRPr="00DE5669" w:rsidRDefault="00792CE6" w:rsidP="1A6EC8B6">
            <w:pPr>
              <w:spacing w:after="0" w:line="276" w:lineRule="auto"/>
              <w:ind w:left="3"/>
              <w:jc w:val="center"/>
              <w:rPr>
                <w:rFonts w:cs="Arial"/>
                <w:sz w:val="20"/>
                <w:szCs w:val="20"/>
              </w:rPr>
            </w:pPr>
            <w:r>
              <w:rPr>
                <w:rFonts w:cs="Arial"/>
                <w:sz w:val="20"/>
                <w:szCs w:val="20"/>
              </w:rPr>
              <w:t>234</w:t>
            </w:r>
          </w:p>
        </w:tc>
        <w:tc>
          <w:tcPr>
            <w:tcW w:w="2616" w:type="dxa"/>
            <w:tcBorders>
              <w:top w:val="single" w:sz="2" w:space="0" w:color="999999"/>
              <w:left w:val="single" w:sz="2" w:space="0" w:color="999999"/>
              <w:bottom w:val="single" w:sz="2" w:space="0" w:color="999999"/>
              <w:right w:val="single" w:sz="2" w:space="0" w:color="999999"/>
            </w:tcBorders>
            <w:vAlign w:val="center"/>
          </w:tcPr>
          <w:p w14:paraId="3E80D2AE" w14:textId="348651CB" w:rsidR="43EE7D73" w:rsidRPr="00DE5669" w:rsidRDefault="006C1FEA" w:rsidP="1A6EC8B6">
            <w:pPr>
              <w:spacing w:after="0" w:line="276" w:lineRule="auto"/>
              <w:ind w:left="3"/>
              <w:jc w:val="center"/>
              <w:rPr>
                <w:rFonts w:cs="Arial"/>
                <w:sz w:val="20"/>
                <w:szCs w:val="20"/>
              </w:rPr>
            </w:pPr>
            <w:r>
              <w:rPr>
                <w:rFonts w:cs="Arial"/>
                <w:sz w:val="20"/>
                <w:szCs w:val="20"/>
              </w:rPr>
              <w:t>40,48</w:t>
            </w:r>
          </w:p>
        </w:tc>
      </w:tr>
      <w:tr w:rsidR="00F731D9" w:rsidRPr="00DE5669" w14:paraId="0C5FE56A" w14:textId="77777777" w:rsidTr="1A6EC8B6">
        <w:trPr>
          <w:gridAfter w:val="1"/>
          <w:wAfter w:w="39" w:type="dxa"/>
          <w:trHeight w:val="20"/>
        </w:trPr>
        <w:tc>
          <w:tcPr>
            <w:tcW w:w="3090" w:type="dxa"/>
            <w:tcBorders>
              <w:top w:val="single" w:sz="2" w:space="0" w:color="999999"/>
              <w:left w:val="single" w:sz="2" w:space="0" w:color="999999"/>
              <w:bottom w:val="single" w:sz="2" w:space="0" w:color="999999"/>
              <w:right w:val="single" w:sz="2" w:space="0" w:color="999999"/>
            </w:tcBorders>
            <w:vAlign w:val="center"/>
          </w:tcPr>
          <w:p w14:paraId="2897435C" w14:textId="47FAFC7D" w:rsidR="484C2615" w:rsidRPr="00DE5669" w:rsidRDefault="0C657853" w:rsidP="61F2CE04">
            <w:pPr>
              <w:spacing w:after="0" w:line="276" w:lineRule="auto"/>
              <w:ind w:firstLine="90"/>
              <w:rPr>
                <w:rFonts w:cs="Arial"/>
                <w:b/>
                <w:bCs/>
                <w:sz w:val="20"/>
                <w:szCs w:val="20"/>
              </w:rPr>
            </w:pPr>
            <w:r w:rsidRPr="00DE5669">
              <w:rPr>
                <w:rFonts w:cs="Arial"/>
                <w:b/>
                <w:bCs/>
                <w:sz w:val="20"/>
                <w:szCs w:val="20"/>
              </w:rPr>
              <w:t>Total</w:t>
            </w:r>
          </w:p>
        </w:tc>
        <w:tc>
          <w:tcPr>
            <w:tcW w:w="1845" w:type="dxa"/>
            <w:gridSpan w:val="2"/>
            <w:tcBorders>
              <w:top w:val="single" w:sz="2" w:space="0" w:color="999999"/>
              <w:left w:val="single" w:sz="2" w:space="0" w:color="999999"/>
              <w:bottom w:val="single" w:sz="2" w:space="0" w:color="999999"/>
              <w:right w:val="single" w:sz="2" w:space="0" w:color="999999"/>
            </w:tcBorders>
            <w:vAlign w:val="center"/>
          </w:tcPr>
          <w:p w14:paraId="5E971031" w14:textId="0C0ACA6A" w:rsidR="43EE7D73" w:rsidRPr="00DE5669" w:rsidRDefault="006C1FEA" w:rsidP="188B0E26">
            <w:pPr>
              <w:spacing w:after="0" w:line="276" w:lineRule="auto"/>
              <w:ind w:left="3"/>
              <w:jc w:val="center"/>
              <w:rPr>
                <w:rFonts w:cs="Arial"/>
                <w:b/>
                <w:bCs/>
                <w:sz w:val="20"/>
                <w:szCs w:val="20"/>
              </w:rPr>
            </w:pPr>
            <w:r>
              <w:rPr>
                <w:rFonts w:cs="Arial"/>
                <w:b/>
                <w:bCs/>
                <w:sz w:val="20"/>
                <w:szCs w:val="20"/>
              </w:rPr>
              <w:t>2.728</w:t>
            </w:r>
          </w:p>
        </w:tc>
        <w:tc>
          <w:tcPr>
            <w:tcW w:w="1620" w:type="dxa"/>
            <w:tcBorders>
              <w:top w:val="single" w:sz="2" w:space="0" w:color="999999"/>
              <w:left w:val="single" w:sz="2" w:space="0" w:color="999999"/>
              <w:bottom w:val="single" w:sz="2" w:space="0" w:color="999999"/>
              <w:right w:val="single" w:sz="2" w:space="0" w:color="999999"/>
            </w:tcBorders>
            <w:vAlign w:val="center"/>
          </w:tcPr>
          <w:p w14:paraId="1DD7CA82" w14:textId="59E1D778" w:rsidR="43EE7D73" w:rsidRPr="00DE5669" w:rsidRDefault="00B72079" w:rsidP="188B0E26">
            <w:pPr>
              <w:spacing w:after="0" w:line="276" w:lineRule="auto"/>
              <w:ind w:left="3"/>
              <w:jc w:val="center"/>
              <w:rPr>
                <w:rFonts w:cs="Arial"/>
                <w:b/>
                <w:bCs/>
                <w:sz w:val="20"/>
                <w:szCs w:val="20"/>
              </w:rPr>
            </w:pPr>
            <w:r>
              <w:rPr>
                <w:rFonts w:cs="Arial"/>
                <w:b/>
                <w:bCs/>
                <w:sz w:val="20"/>
                <w:szCs w:val="20"/>
              </w:rPr>
              <w:t>1.291</w:t>
            </w:r>
          </w:p>
        </w:tc>
        <w:tc>
          <w:tcPr>
            <w:tcW w:w="2616" w:type="dxa"/>
            <w:tcBorders>
              <w:top w:val="single" w:sz="2" w:space="0" w:color="999999"/>
              <w:left w:val="single" w:sz="2" w:space="0" w:color="999999"/>
              <w:bottom w:val="single" w:sz="2" w:space="0" w:color="999999"/>
              <w:right w:val="single" w:sz="2" w:space="0" w:color="999999"/>
            </w:tcBorders>
            <w:vAlign w:val="center"/>
          </w:tcPr>
          <w:p w14:paraId="23CCE8AC" w14:textId="0487411B" w:rsidR="43EE7D73" w:rsidRPr="00DE5669" w:rsidRDefault="00166065" w:rsidP="188B0E26">
            <w:pPr>
              <w:spacing w:after="0" w:line="276" w:lineRule="auto"/>
              <w:ind w:left="3"/>
              <w:jc w:val="center"/>
              <w:rPr>
                <w:rFonts w:cs="Arial"/>
                <w:b/>
                <w:bCs/>
                <w:sz w:val="20"/>
                <w:szCs w:val="20"/>
              </w:rPr>
            </w:pPr>
            <w:r>
              <w:rPr>
                <w:rFonts w:cs="Arial"/>
                <w:b/>
                <w:bCs/>
                <w:sz w:val="20"/>
                <w:szCs w:val="20"/>
              </w:rPr>
              <w:t>47,32%</w:t>
            </w:r>
          </w:p>
        </w:tc>
      </w:tr>
      <w:tr w:rsidR="00A575D6" w:rsidRPr="00DE5669" w14:paraId="2B1BFAA7" w14:textId="77777777" w:rsidTr="1A6EC8B6">
        <w:trPr>
          <w:trHeight w:val="20"/>
        </w:trPr>
        <w:tc>
          <w:tcPr>
            <w:tcW w:w="3115" w:type="dxa"/>
            <w:gridSpan w:val="2"/>
            <w:tcBorders>
              <w:top w:val="single" w:sz="2" w:space="0" w:color="999999"/>
              <w:left w:val="single" w:sz="2" w:space="0" w:color="999999"/>
              <w:bottom w:val="single" w:sz="2" w:space="0" w:color="999999"/>
              <w:right w:val="single" w:sz="2" w:space="0" w:color="999999"/>
            </w:tcBorders>
            <w:shd w:val="clear" w:color="auto" w:fill="DAE8F8"/>
            <w:vAlign w:val="center"/>
          </w:tcPr>
          <w:p w14:paraId="00E3D5F9" w14:textId="514AD04B" w:rsidR="40C80128" w:rsidRPr="00DE5669" w:rsidRDefault="6E0234FE" w:rsidP="61F2CE04">
            <w:pPr>
              <w:spacing w:after="0"/>
              <w:jc w:val="center"/>
              <w:rPr>
                <w:rFonts w:cs="Arial"/>
                <w:sz w:val="20"/>
                <w:szCs w:val="20"/>
              </w:rPr>
            </w:pPr>
            <w:r w:rsidRPr="00DE5669">
              <w:rPr>
                <w:rFonts w:cs="Arial"/>
                <w:b/>
                <w:bCs/>
                <w:sz w:val="20"/>
                <w:szCs w:val="20"/>
              </w:rPr>
              <w:t>Atendimento de Urgência</w:t>
            </w:r>
          </w:p>
        </w:tc>
        <w:tc>
          <w:tcPr>
            <w:tcW w:w="6095" w:type="dxa"/>
            <w:gridSpan w:val="4"/>
            <w:tcBorders>
              <w:top w:val="single" w:sz="2" w:space="0" w:color="999999"/>
              <w:left w:val="single" w:sz="2" w:space="0" w:color="999999"/>
              <w:bottom w:val="single" w:sz="2" w:space="0" w:color="999999"/>
              <w:right w:val="single" w:sz="2" w:space="0" w:color="999999"/>
            </w:tcBorders>
            <w:shd w:val="clear" w:color="auto" w:fill="DAE8F8"/>
            <w:vAlign w:val="center"/>
          </w:tcPr>
          <w:p w14:paraId="4972A283" w14:textId="797A40C9" w:rsidR="40C80128" w:rsidRPr="00DE5669" w:rsidRDefault="6E0234FE" w:rsidP="61F2CE04">
            <w:pPr>
              <w:spacing w:after="0"/>
              <w:ind w:right="3"/>
              <w:jc w:val="center"/>
              <w:rPr>
                <w:rFonts w:cs="Arial"/>
                <w:sz w:val="20"/>
                <w:szCs w:val="20"/>
              </w:rPr>
            </w:pPr>
            <w:r w:rsidRPr="00DE5669">
              <w:rPr>
                <w:rFonts w:cs="Arial"/>
                <w:b/>
                <w:bCs/>
                <w:sz w:val="20"/>
                <w:szCs w:val="20"/>
              </w:rPr>
              <w:t>Quantidade</w:t>
            </w:r>
          </w:p>
        </w:tc>
      </w:tr>
      <w:tr w:rsidR="00A575D6" w:rsidRPr="00DE5669" w14:paraId="0D73922B" w14:textId="77777777" w:rsidTr="1A6EC8B6">
        <w:trPr>
          <w:trHeight w:val="20"/>
        </w:trPr>
        <w:tc>
          <w:tcPr>
            <w:tcW w:w="3115" w:type="dxa"/>
            <w:gridSpan w:val="2"/>
            <w:tcBorders>
              <w:top w:val="single" w:sz="2" w:space="0" w:color="999999"/>
              <w:left w:val="single" w:sz="2" w:space="0" w:color="999999"/>
              <w:bottom w:val="single" w:sz="2" w:space="0" w:color="999999"/>
              <w:right w:val="single" w:sz="2" w:space="0" w:color="999999"/>
            </w:tcBorders>
            <w:shd w:val="clear" w:color="auto" w:fill="F56E6E"/>
            <w:vAlign w:val="center"/>
          </w:tcPr>
          <w:p w14:paraId="3059F051" w14:textId="3AC9AE3C" w:rsidR="0748F9E2" w:rsidRPr="00DE5669" w:rsidRDefault="5417C2EF" w:rsidP="61F2CE04">
            <w:pPr>
              <w:spacing w:after="0" w:line="276" w:lineRule="auto"/>
              <w:ind w:firstLine="90"/>
              <w:jc w:val="center"/>
              <w:rPr>
                <w:rFonts w:cs="Arial"/>
                <w:sz w:val="20"/>
                <w:szCs w:val="20"/>
              </w:rPr>
            </w:pPr>
            <w:r w:rsidRPr="00DE5669">
              <w:rPr>
                <w:rFonts w:cs="Arial"/>
                <w:sz w:val="20"/>
                <w:szCs w:val="20"/>
              </w:rPr>
              <w:t>AACR Vermelho</w:t>
            </w:r>
          </w:p>
        </w:tc>
        <w:tc>
          <w:tcPr>
            <w:tcW w:w="6095" w:type="dxa"/>
            <w:gridSpan w:val="4"/>
            <w:tcBorders>
              <w:top w:val="single" w:sz="2" w:space="0" w:color="999999"/>
              <w:left w:val="single" w:sz="2" w:space="0" w:color="999999"/>
              <w:bottom w:val="single" w:sz="2" w:space="0" w:color="999999"/>
              <w:right w:val="single" w:sz="2" w:space="0" w:color="999999"/>
            </w:tcBorders>
          </w:tcPr>
          <w:p w14:paraId="10C3DBE0" w14:textId="27E28B6B" w:rsidR="61F2CE04" w:rsidRPr="00DE5669" w:rsidRDefault="00C607C4" w:rsidP="1A6EC8B6">
            <w:pPr>
              <w:spacing w:after="0"/>
              <w:jc w:val="center"/>
              <w:rPr>
                <w:rFonts w:cs="Arial"/>
                <w:sz w:val="20"/>
                <w:szCs w:val="20"/>
              </w:rPr>
            </w:pPr>
            <w:r>
              <w:rPr>
                <w:rFonts w:cs="Arial"/>
                <w:sz w:val="20"/>
                <w:szCs w:val="20"/>
              </w:rPr>
              <w:t>59</w:t>
            </w:r>
          </w:p>
        </w:tc>
      </w:tr>
      <w:tr w:rsidR="00A575D6" w:rsidRPr="00DE5669" w14:paraId="2B11D8FA" w14:textId="77777777" w:rsidTr="1A6EC8B6">
        <w:trPr>
          <w:trHeight w:val="300"/>
        </w:trPr>
        <w:tc>
          <w:tcPr>
            <w:tcW w:w="3115" w:type="dxa"/>
            <w:gridSpan w:val="2"/>
            <w:tcBorders>
              <w:top w:val="single" w:sz="2" w:space="0" w:color="999999"/>
              <w:left w:val="single" w:sz="2" w:space="0" w:color="999999"/>
              <w:bottom w:val="single" w:sz="2" w:space="0" w:color="999999"/>
              <w:right w:val="single" w:sz="2" w:space="0" w:color="999999"/>
            </w:tcBorders>
            <w:shd w:val="clear" w:color="auto" w:fill="F4B083" w:themeFill="accent2" w:themeFillTint="99"/>
            <w:vAlign w:val="center"/>
          </w:tcPr>
          <w:p w14:paraId="028094C1" w14:textId="2C2684D1" w:rsidR="0748F9E2" w:rsidRPr="00DE5669" w:rsidRDefault="5417C2EF" w:rsidP="61F2CE04">
            <w:pPr>
              <w:spacing w:after="0" w:line="276" w:lineRule="auto"/>
              <w:ind w:firstLine="90"/>
              <w:jc w:val="center"/>
              <w:rPr>
                <w:rFonts w:cs="Arial"/>
                <w:sz w:val="20"/>
                <w:szCs w:val="20"/>
              </w:rPr>
            </w:pPr>
            <w:r w:rsidRPr="00DE5669">
              <w:rPr>
                <w:rFonts w:cs="Arial"/>
                <w:sz w:val="20"/>
                <w:szCs w:val="20"/>
              </w:rPr>
              <w:t>AACR Laranja</w:t>
            </w:r>
          </w:p>
        </w:tc>
        <w:tc>
          <w:tcPr>
            <w:tcW w:w="6095" w:type="dxa"/>
            <w:gridSpan w:val="4"/>
            <w:tcBorders>
              <w:top w:val="single" w:sz="2" w:space="0" w:color="999999"/>
              <w:left w:val="single" w:sz="2" w:space="0" w:color="999999"/>
              <w:bottom w:val="single" w:sz="2" w:space="0" w:color="999999"/>
              <w:right w:val="single" w:sz="2" w:space="0" w:color="999999"/>
            </w:tcBorders>
          </w:tcPr>
          <w:p w14:paraId="73253773" w14:textId="2330D156" w:rsidR="61F2CE04" w:rsidRPr="00DE5669" w:rsidRDefault="00C607C4" w:rsidP="1A6EC8B6">
            <w:pPr>
              <w:spacing w:after="0"/>
              <w:jc w:val="center"/>
              <w:rPr>
                <w:rFonts w:cs="Arial"/>
                <w:sz w:val="20"/>
                <w:szCs w:val="20"/>
              </w:rPr>
            </w:pPr>
            <w:r>
              <w:rPr>
                <w:rFonts w:cs="Arial"/>
                <w:sz w:val="20"/>
                <w:szCs w:val="20"/>
              </w:rPr>
              <w:t>477</w:t>
            </w:r>
          </w:p>
        </w:tc>
      </w:tr>
      <w:tr w:rsidR="00A575D6" w:rsidRPr="00DE5669" w14:paraId="3290EA48" w14:textId="77777777" w:rsidTr="1A6EC8B6">
        <w:trPr>
          <w:trHeight w:val="20"/>
        </w:trPr>
        <w:tc>
          <w:tcPr>
            <w:tcW w:w="3115" w:type="dxa"/>
            <w:gridSpan w:val="2"/>
            <w:tcBorders>
              <w:top w:val="single" w:sz="2" w:space="0" w:color="999999"/>
              <w:left w:val="single" w:sz="2" w:space="0" w:color="999999"/>
              <w:bottom w:val="single" w:sz="2" w:space="0" w:color="999999"/>
              <w:right w:val="single" w:sz="2" w:space="0" w:color="999999"/>
            </w:tcBorders>
            <w:shd w:val="clear" w:color="auto" w:fill="FFD966" w:themeFill="accent4" w:themeFillTint="99"/>
            <w:vAlign w:val="center"/>
          </w:tcPr>
          <w:p w14:paraId="35D6CE5E" w14:textId="3168670C" w:rsidR="0748F9E2" w:rsidRPr="00DE5669" w:rsidRDefault="5417C2EF" w:rsidP="61F2CE04">
            <w:pPr>
              <w:spacing w:after="0" w:line="276" w:lineRule="auto"/>
              <w:ind w:firstLine="90"/>
              <w:jc w:val="center"/>
              <w:rPr>
                <w:rFonts w:cs="Arial"/>
                <w:sz w:val="20"/>
                <w:szCs w:val="20"/>
              </w:rPr>
            </w:pPr>
            <w:r w:rsidRPr="00DE5669">
              <w:rPr>
                <w:rFonts w:cs="Arial"/>
                <w:sz w:val="20"/>
                <w:szCs w:val="20"/>
              </w:rPr>
              <w:t>AACR Amarelo</w:t>
            </w:r>
          </w:p>
        </w:tc>
        <w:tc>
          <w:tcPr>
            <w:tcW w:w="6095" w:type="dxa"/>
            <w:gridSpan w:val="4"/>
            <w:tcBorders>
              <w:top w:val="single" w:sz="2" w:space="0" w:color="999999"/>
              <w:left w:val="single" w:sz="2" w:space="0" w:color="999999"/>
              <w:bottom w:val="single" w:sz="2" w:space="0" w:color="999999"/>
              <w:right w:val="single" w:sz="2" w:space="0" w:color="999999"/>
            </w:tcBorders>
          </w:tcPr>
          <w:p w14:paraId="3F9E890F" w14:textId="1F2063D9" w:rsidR="61F2CE04" w:rsidRPr="00DE5669" w:rsidRDefault="00E94695" w:rsidP="1A6EC8B6">
            <w:pPr>
              <w:spacing w:after="0"/>
              <w:jc w:val="center"/>
              <w:rPr>
                <w:rFonts w:cs="Arial"/>
                <w:sz w:val="20"/>
                <w:szCs w:val="20"/>
              </w:rPr>
            </w:pPr>
            <w:r>
              <w:rPr>
                <w:rFonts w:cs="Arial"/>
                <w:sz w:val="20"/>
                <w:szCs w:val="20"/>
              </w:rPr>
              <w:t>1.864</w:t>
            </w:r>
          </w:p>
        </w:tc>
      </w:tr>
      <w:tr w:rsidR="00A575D6" w:rsidRPr="00DE5669" w14:paraId="156FB7A3" w14:textId="77777777" w:rsidTr="1A6EC8B6">
        <w:trPr>
          <w:trHeight w:val="20"/>
        </w:trPr>
        <w:tc>
          <w:tcPr>
            <w:tcW w:w="3115" w:type="dxa"/>
            <w:gridSpan w:val="2"/>
            <w:tcBorders>
              <w:top w:val="single" w:sz="2" w:space="0" w:color="999999"/>
              <w:left w:val="single" w:sz="2" w:space="0" w:color="999999"/>
              <w:bottom w:val="single" w:sz="2" w:space="0" w:color="999999"/>
              <w:right w:val="single" w:sz="2" w:space="0" w:color="999999"/>
            </w:tcBorders>
            <w:shd w:val="clear" w:color="auto" w:fill="A8D08D" w:themeFill="accent6" w:themeFillTint="99"/>
            <w:vAlign w:val="center"/>
          </w:tcPr>
          <w:p w14:paraId="1BBD9303" w14:textId="1E457069" w:rsidR="0748F9E2" w:rsidRPr="00DE5669" w:rsidRDefault="5417C2EF" w:rsidP="61F2CE04">
            <w:pPr>
              <w:spacing w:after="0" w:line="276" w:lineRule="auto"/>
              <w:ind w:firstLine="90"/>
              <w:jc w:val="center"/>
              <w:rPr>
                <w:rFonts w:cs="Arial"/>
                <w:sz w:val="20"/>
                <w:szCs w:val="20"/>
              </w:rPr>
            </w:pPr>
            <w:r w:rsidRPr="00DE5669">
              <w:rPr>
                <w:rFonts w:cs="Arial"/>
                <w:sz w:val="20"/>
                <w:szCs w:val="20"/>
              </w:rPr>
              <w:t>AACR Verde</w:t>
            </w:r>
          </w:p>
        </w:tc>
        <w:tc>
          <w:tcPr>
            <w:tcW w:w="6095" w:type="dxa"/>
            <w:gridSpan w:val="4"/>
            <w:tcBorders>
              <w:top w:val="single" w:sz="2" w:space="0" w:color="999999"/>
              <w:left w:val="single" w:sz="2" w:space="0" w:color="999999"/>
              <w:bottom w:val="single" w:sz="2" w:space="0" w:color="999999"/>
              <w:right w:val="single" w:sz="2" w:space="0" w:color="999999"/>
            </w:tcBorders>
          </w:tcPr>
          <w:p w14:paraId="7F8BA38C" w14:textId="789F28DE" w:rsidR="61F2CE04" w:rsidRPr="00DE5669" w:rsidRDefault="00E94695" w:rsidP="1A6EC8B6">
            <w:pPr>
              <w:spacing w:after="0"/>
              <w:jc w:val="center"/>
              <w:rPr>
                <w:rFonts w:cs="Arial"/>
                <w:sz w:val="20"/>
                <w:szCs w:val="20"/>
              </w:rPr>
            </w:pPr>
            <w:r>
              <w:rPr>
                <w:rFonts w:cs="Arial"/>
                <w:sz w:val="20"/>
                <w:szCs w:val="20"/>
              </w:rPr>
              <w:t>102</w:t>
            </w:r>
          </w:p>
        </w:tc>
      </w:tr>
      <w:tr w:rsidR="00A575D6" w:rsidRPr="00DE5669" w14:paraId="0C041B29" w14:textId="77777777" w:rsidTr="1A6EC8B6">
        <w:trPr>
          <w:trHeight w:val="20"/>
        </w:trPr>
        <w:tc>
          <w:tcPr>
            <w:tcW w:w="3115" w:type="dxa"/>
            <w:gridSpan w:val="2"/>
            <w:tcBorders>
              <w:top w:val="single" w:sz="2" w:space="0" w:color="999999"/>
              <w:left w:val="single" w:sz="2" w:space="0" w:color="999999"/>
              <w:bottom w:val="single" w:sz="2" w:space="0" w:color="999999"/>
              <w:right w:val="single" w:sz="2" w:space="0" w:color="999999"/>
            </w:tcBorders>
            <w:shd w:val="clear" w:color="auto" w:fill="9CC2E5" w:themeFill="accent5" w:themeFillTint="99"/>
            <w:vAlign w:val="center"/>
          </w:tcPr>
          <w:p w14:paraId="55B322E4" w14:textId="78D29E71" w:rsidR="0748F9E2" w:rsidRPr="00DE5669" w:rsidRDefault="5417C2EF" w:rsidP="61F2CE04">
            <w:pPr>
              <w:spacing w:after="0" w:line="276" w:lineRule="auto"/>
              <w:ind w:firstLine="90"/>
              <w:jc w:val="center"/>
              <w:rPr>
                <w:rFonts w:cs="Arial"/>
                <w:sz w:val="20"/>
                <w:szCs w:val="20"/>
              </w:rPr>
            </w:pPr>
            <w:r w:rsidRPr="00DE5669">
              <w:rPr>
                <w:rFonts w:cs="Arial"/>
                <w:sz w:val="20"/>
                <w:szCs w:val="20"/>
              </w:rPr>
              <w:t>AACR Azul</w:t>
            </w:r>
          </w:p>
        </w:tc>
        <w:tc>
          <w:tcPr>
            <w:tcW w:w="6095" w:type="dxa"/>
            <w:gridSpan w:val="4"/>
            <w:tcBorders>
              <w:top w:val="single" w:sz="2" w:space="0" w:color="999999"/>
              <w:left w:val="single" w:sz="2" w:space="0" w:color="999999"/>
              <w:bottom w:val="single" w:sz="2" w:space="0" w:color="999999"/>
              <w:right w:val="single" w:sz="2" w:space="0" w:color="999999"/>
            </w:tcBorders>
          </w:tcPr>
          <w:p w14:paraId="234E84F9" w14:textId="5A974041" w:rsidR="61F2CE04" w:rsidRPr="00DE5669" w:rsidRDefault="00D5492E" w:rsidP="1A6EC8B6">
            <w:pPr>
              <w:spacing w:after="0"/>
              <w:jc w:val="center"/>
              <w:rPr>
                <w:rFonts w:cs="Arial"/>
                <w:sz w:val="20"/>
                <w:szCs w:val="20"/>
              </w:rPr>
            </w:pPr>
            <w:r>
              <w:rPr>
                <w:rFonts w:cs="Arial"/>
                <w:sz w:val="20"/>
                <w:szCs w:val="20"/>
              </w:rPr>
              <w:t>13</w:t>
            </w:r>
          </w:p>
        </w:tc>
      </w:tr>
      <w:tr w:rsidR="00A575D6" w:rsidRPr="00DE5669" w14:paraId="62AF98D7" w14:textId="77777777" w:rsidTr="1A6EC8B6">
        <w:trPr>
          <w:trHeight w:val="20"/>
        </w:trPr>
        <w:tc>
          <w:tcPr>
            <w:tcW w:w="3115" w:type="dxa"/>
            <w:gridSpan w:val="2"/>
            <w:tcBorders>
              <w:top w:val="single" w:sz="2" w:space="0" w:color="999999"/>
              <w:left w:val="single" w:sz="2" w:space="0" w:color="999999"/>
              <w:bottom w:val="single" w:sz="2" w:space="0" w:color="999999"/>
              <w:right w:val="single" w:sz="2" w:space="0" w:color="999999"/>
            </w:tcBorders>
            <w:vAlign w:val="center"/>
          </w:tcPr>
          <w:p w14:paraId="7C1B3051" w14:textId="0093F645" w:rsidR="0748F9E2" w:rsidRPr="00DE5669" w:rsidRDefault="5417C2EF" w:rsidP="61F2CE04">
            <w:pPr>
              <w:spacing w:after="0" w:line="276" w:lineRule="auto"/>
              <w:ind w:firstLine="90"/>
              <w:jc w:val="center"/>
              <w:rPr>
                <w:rFonts w:cs="Arial"/>
                <w:sz w:val="20"/>
                <w:szCs w:val="20"/>
              </w:rPr>
            </w:pPr>
            <w:r w:rsidRPr="00DE5669">
              <w:rPr>
                <w:rFonts w:cs="Arial"/>
                <w:sz w:val="20"/>
                <w:szCs w:val="20"/>
              </w:rPr>
              <w:t>Sem classificação</w:t>
            </w:r>
          </w:p>
        </w:tc>
        <w:tc>
          <w:tcPr>
            <w:tcW w:w="6095" w:type="dxa"/>
            <w:gridSpan w:val="4"/>
            <w:tcBorders>
              <w:top w:val="single" w:sz="2" w:space="0" w:color="999999"/>
              <w:left w:val="single" w:sz="2" w:space="0" w:color="999999"/>
              <w:bottom w:val="single" w:sz="2" w:space="0" w:color="999999"/>
              <w:right w:val="single" w:sz="2" w:space="0" w:color="999999"/>
            </w:tcBorders>
          </w:tcPr>
          <w:p w14:paraId="7B510E52" w14:textId="18A38CF7" w:rsidR="61F2CE04" w:rsidRPr="00DE5669" w:rsidRDefault="00520427" w:rsidP="1A6EC8B6">
            <w:pPr>
              <w:spacing w:after="0"/>
              <w:jc w:val="center"/>
              <w:rPr>
                <w:rFonts w:cs="Arial"/>
                <w:sz w:val="20"/>
                <w:szCs w:val="20"/>
              </w:rPr>
            </w:pPr>
            <w:r>
              <w:rPr>
                <w:rFonts w:cs="Arial"/>
                <w:sz w:val="20"/>
                <w:szCs w:val="20"/>
              </w:rPr>
              <w:t>213</w:t>
            </w:r>
          </w:p>
        </w:tc>
      </w:tr>
      <w:tr w:rsidR="00A575D6" w:rsidRPr="00DE5669" w14:paraId="1BA758DB" w14:textId="77777777" w:rsidTr="1A6EC8B6">
        <w:trPr>
          <w:trHeight w:val="283"/>
        </w:trPr>
        <w:tc>
          <w:tcPr>
            <w:tcW w:w="3115" w:type="dxa"/>
            <w:gridSpan w:val="2"/>
            <w:tcBorders>
              <w:top w:val="single" w:sz="2" w:space="0" w:color="999999"/>
              <w:left w:val="single" w:sz="2" w:space="0" w:color="999999"/>
              <w:bottom w:val="single" w:sz="2" w:space="0" w:color="999999"/>
              <w:right w:val="single" w:sz="2" w:space="0" w:color="999999"/>
            </w:tcBorders>
            <w:vAlign w:val="center"/>
          </w:tcPr>
          <w:p w14:paraId="3910410B" w14:textId="61C26157" w:rsidR="40C80128" w:rsidRPr="00DE5669" w:rsidRDefault="4455B56F" w:rsidP="61F2CE04">
            <w:pPr>
              <w:spacing w:after="0" w:line="276" w:lineRule="auto"/>
              <w:ind w:firstLine="90"/>
              <w:jc w:val="center"/>
              <w:rPr>
                <w:rFonts w:cs="Arial"/>
                <w:b/>
                <w:bCs/>
                <w:sz w:val="20"/>
                <w:szCs w:val="20"/>
              </w:rPr>
            </w:pPr>
            <w:r w:rsidRPr="00DE5669">
              <w:rPr>
                <w:rFonts w:cs="Arial"/>
                <w:b/>
                <w:bCs/>
                <w:sz w:val="20"/>
                <w:szCs w:val="20"/>
              </w:rPr>
              <w:t>Total</w:t>
            </w:r>
          </w:p>
        </w:tc>
        <w:tc>
          <w:tcPr>
            <w:tcW w:w="6095" w:type="dxa"/>
            <w:gridSpan w:val="4"/>
            <w:tcBorders>
              <w:top w:val="single" w:sz="2" w:space="0" w:color="999999"/>
              <w:left w:val="single" w:sz="2" w:space="0" w:color="999999"/>
              <w:bottom w:val="single" w:sz="2" w:space="0" w:color="999999"/>
              <w:right w:val="single" w:sz="2" w:space="0" w:color="999999"/>
            </w:tcBorders>
          </w:tcPr>
          <w:p w14:paraId="3252BCF9" w14:textId="5328ECA1" w:rsidR="61F2CE04" w:rsidRPr="00DE5669" w:rsidRDefault="00520427" w:rsidP="188B0E26">
            <w:pPr>
              <w:spacing w:after="0"/>
              <w:jc w:val="center"/>
              <w:rPr>
                <w:rFonts w:cs="Arial"/>
                <w:b/>
                <w:bCs/>
                <w:sz w:val="20"/>
                <w:szCs w:val="20"/>
              </w:rPr>
            </w:pPr>
            <w:r>
              <w:rPr>
                <w:rFonts w:cs="Arial"/>
                <w:b/>
                <w:bCs/>
                <w:sz w:val="20"/>
                <w:szCs w:val="20"/>
              </w:rPr>
              <w:t>2.728</w:t>
            </w:r>
          </w:p>
        </w:tc>
      </w:tr>
    </w:tbl>
    <w:p w14:paraId="54C3841F" w14:textId="4097E312" w:rsidR="0026722E" w:rsidRPr="00C21984" w:rsidRDefault="00C21984" w:rsidP="007F0CD7">
      <w:pPr>
        <w:pStyle w:val="Ttulo1"/>
        <w:spacing w:before="240"/>
        <w:ind w:left="0" w:firstLine="0"/>
        <w:jc w:val="both"/>
        <w:rPr>
          <w:rFonts w:cstheme="minorBidi"/>
          <w:b w:val="0"/>
          <w:color w:val="auto"/>
          <w:sz w:val="24"/>
          <w:szCs w:val="24"/>
        </w:rPr>
      </w:pPr>
      <w:bookmarkStart w:id="19" w:name="_Toc234254693"/>
      <w:bookmarkStart w:id="20" w:name="_Toc234260326"/>
      <w:r w:rsidRPr="00C21984">
        <w:rPr>
          <w:rFonts w:cstheme="minorBidi"/>
          <w:b w:val="0"/>
          <w:color w:val="auto"/>
          <w:sz w:val="24"/>
          <w:szCs w:val="24"/>
        </w:rPr>
        <w:t>N</w:t>
      </w:r>
      <w:r w:rsidR="0026722E" w:rsidRPr="00C21984">
        <w:rPr>
          <w:rFonts w:cstheme="minorBidi"/>
          <w:b w:val="0"/>
          <w:color w:val="auto"/>
          <w:sz w:val="24"/>
          <w:szCs w:val="24"/>
        </w:rPr>
        <w:t>o mês de junho de 2026, foram contabilizados 2.728 atendimentos no Pronto-Socorro do HUGO, dos quais 1.291 evoluíram para internação hospitalar, configurando taxa de conversão geral de 47,32%. Em comparação com maio (3.024 atendimentos), observou-se redução de 9,8% no volume de porta.</w:t>
      </w:r>
      <w:bookmarkEnd w:id="19"/>
      <w:bookmarkEnd w:id="20"/>
    </w:p>
    <w:p w14:paraId="6BB081C9" w14:textId="77777777" w:rsidR="0026722E" w:rsidRPr="00C21984" w:rsidRDefault="0026722E" w:rsidP="007F0CD7">
      <w:pPr>
        <w:pStyle w:val="Ttulo1"/>
        <w:jc w:val="both"/>
        <w:rPr>
          <w:rFonts w:cstheme="minorBidi"/>
          <w:b w:val="0"/>
          <w:color w:val="auto"/>
          <w:sz w:val="24"/>
          <w:szCs w:val="24"/>
        </w:rPr>
      </w:pPr>
      <w:bookmarkStart w:id="21" w:name="_Toc234254694"/>
      <w:bookmarkStart w:id="22" w:name="_Toc234260327"/>
      <w:r w:rsidRPr="00C21984">
        <w:rPr>
          <w:rFonts w:cstheme="minorBidi"/>
          <w:b w:val="0"/>
          <w:color w:val="auto"/>
          <w:sz w:val="24"/>
          <w:szCs w:val="24"/>
        </w:rPr>
        <w:t>A composição do fluxo de entrada manteve predominância dos atendimentos regulados, que somaram 1.557 casos com taxa de conversão de 47,21%. Os encaminhamentos via SAMU e Corpo de Bombeiros totalizaram 593 atendimentos e registraram a maior taxa de conversão do período (54,30%), o que evidencia a gravidade dos pacientes recebidos por essas vias de acesso. A demanda espontânea correspondeu a 578 atendimentos, com taxa de conversão de 40,48%.</w:t>
      </w:r>
      <w:bookmarkEnd w:id="21"/>
      <w:bookmarkEnd w:id="22"/>
    </w:p>
    <w:p w14:paraId="72069ED5" w14:textId="78A83101" w:rsidR="000F7E98" w:rsidRPr="00C21984" w:rsidRDefault="0026722E" w:rsidP="007F0CD7">
      <w:pPr>
        <w:pStyle w:val="Ttulo1"/>
        <w:ind w:left="-5"/>
        <w:jc w:val="both"/>
        <w:rPr>
          <w:rFonts w:cstheme="minorBidi"/>
          <w:b w:val="0"/>
          <w:color w:val="auto"/>
          <w:sz w:val="24"/>
          <w:szCs w:val="24"/>
        </w:rPr>
      </w:pPr>
      <w:bookmarkStart w:id="23" w:name="_Toc234254695"/>
      <w:bookmarkStart w:id="24" w:name="_Toc234260328"/>
      <w:r w:rsidRPr="00C21984">
        <w:rPr>
          <w:rFonts w:cstheme="minorBidi"/>
          <w:b w:val="0"/>
          <w:color w:val="auto"/>
          <w:sz w:val="24"/>
          <w:szCs w:val="24"/>
        </w:rPr>
        <w:t>Quanto à estratificação pelo Acolhimento com Avaliação e Classificação de Risco (AACR), predominaram os pacientes classificados como amarelo (1.864 casos; 68,3% do total), seguidos pelas categorias laranja (477; 17,5%) e verde (102; 3,7%). Os casos classificados como vermelho — pacientes em risco iminente de morte — totalizaram 59 atendimentos no período, número que reitera a vocação do HUGO como referência estadual para emergências de alta complexidade.</w:t>
      </w:r>
      <w:bookmarkEnd w:id="23"/>
      <w:bookmarkEnd w:id="24"/>
    </w:p>
    <w:p w14:paraId="5A9EED7B" w14:textId="77777777" w:rsidR="00C21984" w:rsidRPr="00C21984" w:rsidRDefault="00C21984" w:rsidP="00C21984"/>
    <w:p w14:paraId="5AAAC9A3" w14:textId="77777777" w:rsidR="00A4224E" w:rsidRPr="00DE5669" w:rsidRDefault="00EE0FC9">
      <w:pPr>
        <w:pStyle w:val="Ttulo1"/>
        <w:ind w:left="-5"/>
      </w:pPr>
      <w:bookmarkStart w:id="25" w:name="_Toc234260329"/>
      <w:r w:rsidRPr="00DE5669">
        <w:lastRenderedPageBreak/>
        <w:t>4. Indicadores de Desempenho</w:t>
      </w:r>
      <w:bookmarkEnd w:id="25"/>
      <w:r w:rsidRPr="00DE5669">
        <w:t xml:space="preserve"> </w:t>
      </w:r>
    </w:p>
    <w:p w14:paraId="6BBD6794" w14:textId="0272C6E9" w:rsidR="6A727976" w:rsidRPr="00DE5669" w:rsidRDefault="42EE4ED5" w:rsidP="3527D8AF">
      <w:pPr>
        <w:spacing w:before="240" w:after="240"/>
      </w:pPr>
      <w:r w:rsidRPr="1A6EC8B6">
        <w:rPr>
          <w:rFonts w:cs="Arial"/>
        </w:rPr>
        <w:t xml:space="preserve"> </w:t>
      </w:r>
      <w:r w:rsidR="00E40EC2" w:rsidRPr="00E40EC2">
        <w:rPr>
          <w:rFonts w:cs="Arial"/>
        </w:rPr>
        <w:t xml:space="preserve">O Termo de Colaboração estabelece que 10% do valor orçamentário global é destinado à parcela variável de desempenho, vinculada diretamente ao cumprimento de metas assistenciais, operacionais e de qualidade dos serviços prestados.   </w:t>
      </w:r>
      <w:r w:rsidRPr="1A6EC8B6">
        <w:rPr>
          <w:rFonts w:cs="Arial"/>
        </w:rPr>
        <w:t xml:space="preserve">  </w:t>
      </w:r>
    </w:p>
    <w:tbl>
      <w:tblPr>
        <w:tblW w:w="9072" w:type="dxa"/>
        <w:tblInd w:w="1" w:type="dxa"/>
        <w:tblCellMar>
          <w:top w:w="95" w:type="dxa"/>
          <w:left w:w="120" w:type="dxa"/>
          <w:right w:w="101" w:type="dxa"/>
        </w:tblCellMar>
        <w:tblLook w:val="04A0" w:firstRow="1" w:lastRow="0" w:firstColumn="1" w:lastColumn="0" w:noHBand="0" w:noVBand="1"/>
      </w:tblPr>
      <w:tblGrid>
        <w:gridCol w:w="5544"/>
        <w:gridCol w:w="1511"/>
        <w:gridCol w:w="2017"/>
      </w:tblGrid>
      <w:tr w:rsidR="00263901" w:rsidRPr="00DE5669" w14:paraId="364B2D44" w14:textId="77777777" w:rsidTr="1A6EC8B6">
        <w:trPr>
          <w:trHeight w:val="170"/>
        </w:trPr>
        <w:tc>
          <w:tcPr>
            <w:tcW w:w="5544"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3F3E7423" w14:textId="77777777" w:rsidR="00A4224E" w:rsidRPr="00DE5669" w:rsidRDefault="00EE0FC9" w:rsidP="007433C3">
            <w:pPr>
              <w:spacing w:after="0"/>
              <w:rPr>
                <w:rFonts w:cs="Arial"/>
                <w:sz w:val="20"/>
                <w:szCs w:val="20"/>
              </w:rPr>
            </w:pPr>
            <w:r w:rsidRPr="00DE5669">
              <w:rPr>
                <w:rFonts w:cs="Arial"/>
                <w:b/>
                <w:sz w:val="20"/>
                <w:szCs w:val="20"/>
              </w:rPr>
              <w:t>Indicadores de Desempenho</w:t>
            </w:r>
            <w:r w:rsidRPr="00DE5669">
              <w:rPr>
                <w:rFonts w:cs="Arial"/>
                <w:sz w:val="20"/>
                <w:szCs w:val="20"/>
              </w:rPr>
              <w:t xml:space="preserve"> </w:t>
            </w:r>
          </w:p>
        </w:tc>
        <w:tc>
          <w:tcPr>
            <w:tcW w:w="1511"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59FA2A1F" w14:textId="77777777" w:rsidR="00A4224E" w:rsidRPr="00DE5669" w:rsidRDefault="00EE0FC9" w:rsidP="007433C3">
            <w:pPr>
              <w:spacing w:after="0"/>
              <w:ind w:right="12"/>
              <w:jc w:val="center"/>
              <w:rPr>
                <w:rFonts w:cs="Arial"/>
                <w:sz w:val="20"/>
                <w:szCs w:val="20"/>
              </w:rPr>
            </w:pPr>
            <w:r w:rsidRPr="00DE5669">
              <w:rPr>
                <w:rFonts w:cs="Arial"/>
                <w:b/>
                <w:sz w:val="20"/>
                <w:szCs w:val="20"/>
              </w:rPr>
              <w:t>Meta</w:t>
            </w:r>
            <w:r w:rsidRPr="00DE5669">
              <w:rPr>
                <w:rFonts w:cs="Arial"/>
                <w:sz w:val="20"/>
                <w:szCs w:val="20"/>
              </w:rPr>
              <w:t xml:space="preserve"> </w:t>
            </w:r>
          </w:p>
        </w:tc>
        <w:tc>
          <w:tcPr>
            <w:tcW w:w="2017"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6D2EC512" w14:textId="77777777" w:rsidR="00A4224E" w:rsidRPr="00DE5669" w:rsidRDefault="00EE0FC9" w:rsidP="007433C3">
            <w:pPr>
              <w:spacing w:after="0"/>
              <w:ind w:right="12"/>
              <w:jc w:val="center"/>
              <w:rPr>
                <w:rFonts w:cs="Arial"/>
                <w:sz w:val="20"/>
                <w:szCs w:val="20"/>
              </w:rPr>
            </w:pPr>
            <w:r w:rsidRPr="00DE5669">
              <w:rPr>
                <w:rFonts w:cs="Arial"/>
                <w:b/>
                <w:sz w:val="20"/>
                <w:szCs w:val="20"/>
              </w:rPr>
              <w:t>Resultado</w:t>
            </w:r>
            <w:r w:rsidRPr="00DE5669">
              <w:rPr>
                <w:rFonts w:cs="Arial"/>
                <w:sz w:val="20"/>
                <w:szCs w:val="20"/>
              </w:rPr>
              <w:t xml:space="preserve"> </w:t>
            </w:r>
          </w:p>
        </w:tc>
      </w:tr>
      <w:tr w:rsidR="00263901" w:rsidRPr="00DE5669" w14:paraId="219DBC10" w14:textId="77777777" w:rsidTr="1A6EC8B6">
        <w:trPr>
          <w:trHeight w:val="170"/>
        </w:trPr>
        <w:tc>
          <w:tcPr>
            <w:tcW w:w="5544" w:type="dxa"/>
            <w:tcBorders>
              <w:top w:val="single" w:sz="2" w:space="0" w:color="999999"/>
              <w:left w:val="single" w:sz="2" w:space="0" w:color="999999"/>
              <w:bottom w:val="single" w:sz="2" w:space="0" w:color="999999"/>
              <w:right w:val="single" w:sz="2" w:space="0" w:color="999999"/>
            </w:tcBorders>
            <w:vAlign w:val="center"/>
          </w:tcPr>
          <w:p w14:paraId="7D144891" w14:textId="77777777" w:rsidR="00A4224E" w:rsidRPr="00DE5669" w:rsidRDefault="00EE0FC9" w:rsidP="007433C3">
            <w:pPr>
              <w:spacing w:after="0"/>
              <w:rPr>
                <w:rFonts w:cs="Arial"/>
                <w:sz w:val="20"/>
                <w:szCs w:val="20"/>
              </w:rPr>
            </w:pPr>
            <w:r w:rsidRPr="00DE5669">
              <w:rPr>
                <w:rFonts w:cs="Arial"/>
                <w:sz w:val="20"/>
                <w:szCs w:val="20"/>
              </w:rPr>
              <w:t xml:space="preserve">1. Taxa de Ocupação Hospitalar (TOH) </w:t>
            </w:r>
          </w:p>
        </w:tc>
        <w:tc>
          <w:tcPr>
            <w:tcW w:w="1511" w:type="dxa"/>
            <w:tcBorders>
              <w:top w:val="single" w:sz="2" w:space="0" w:color="999999"/>
              <w:left w:val="single" w:sz="2" w:space="0" w:color="999999"/>
              <w:bottom w:val="single" w:sz="2" w:space="0" w:color="999999"/>
              <w:right w:val="single" w:sz="2" w:space="0" w:color="999999"/>
            </w:tcBorders>
            <w:vAlign w:val="center"/>
          </w:tcPr>
          <w:p w14:paraId="0E30CBBB" w14:textId="0F4B7CCF" w:rsidR="00A4224E" w:rsidRPr="00DE5669" w:rsidRDefault="00EE0FC9" w:rsidP="007433C3">
            <w:pPr>
              <w:spacing w:after="0"/>
              <w:ind w:left="3"/>
              <w:jc w:val="center"/>
              <w:rPr>
                <w:rFonts w:cs="Arial"/>
                <w:sz w:val="20"/>
                <w:szCs w:val="20"/>
              </w:rPr>
            </w:pPr>
            <w:r w:rsidRPr="00DE5669">
              <w:rPr>
                <w:rFonts w:cs="Arial"/>
                <w:sz w:val="20"/>
                <w:szCs w:val="20"/>
              </w:rPr>
              <w:t>≥ 90%</w:t>
            </w:r>
          </w:p>
        </w:tc>
        <w:tc>
          <w:tcPr>
            <w:tcW w:w="2017" w:type="dxa"/>
            <w:tcBorders>
              <w:top w:val="single" w:sz="2" w:space="0" w:color="999999"/>
              <w:left w:val="single" w:sz="2" w:space="0" w:color="999999"/>
              <w:bottom w:val="single" w:sz="2" w:space="0" w:color="999999"/>
              <w:right w:val="single" w:sz="2" w:space="0" w:color="999999"/>
            </w:tcBorders>
            <w:vAlign w:val="center"/>
          </w:tcPr>
          <w:p w14:paraId="01046B87" w14:textId="4D98B648" w:rsidR="00A4224E" w:rsidRPr="00DE5669" w:rsidRDefault="002702E9" w:rsidP="188B0E26">
            <w:pPr>
              <w:spacing w:after="0"/>
              <w:ind w:left="3"/>
              <w:jc w:val="center"/>
              <w:rPr>
                <w:rFonts w:cs="Arial"/>
                <w:b/>
                <w:bCs/>
                <w:sz w:val="20"/>
                <w:szCs w:val="20"/>
              </w:rPr>
            </w:pPr>
            <w:r>
              <w:rPr>
                <w:rFonts w:cs="Arial"/>
                <w:b/>
                <w:bCs/>
                <w:sz w:val="20"/>
                <w:szCs w:val="20"/>
              </w:rPr>
              <w:t>117,87%</w:t>
            </w:r>
          </w:p>
        </w:tc>
      </w:tr>
      <w:tr w:rsidR="00263901" w:rsidRPr="00DE5669" w14:paraId="11CCA497" w14:textId="77777777" w:rsidTr="1A6EC8B6">
        <w:trPr>
          <w:trHeight w:val="227"/>
        </w:trPr>
        <w:tc>
          <w:tcPr>
            <w:tcW w:w="5544" w:type="dxa"/>
            <w:tcBorders>
              <w:top w:val="single" w:sz="2" w:space="0" w:color="999999"/>
              <w:left w:val="single" w:sz="2" w:space="0" w:color="999999"/>
              <w:bottom w:val="single" w:sz="2" w:space="0" w:color="999999"/>
              <w:right w:val="single" w:sz="2" w:space="0" w:color="999999"/>
            </w:tcBorders>
            <w:vAlign w:val="center"/>
          </w:tcPr>
          <w:p w14:paraId="3B44771F" w14:textId="77777777" w:rsidR="00A4224E" w:rsidRPr="00DE5669" w:rsidRDefault="00EE0FC9" w:rsidP="007433C3">
            <w:pPr>
              <w:spacing w:after="0"/>
              <w:rPr>
                <w:rFonts w:cs="Arial"/>
                <w:sz w:val="20"/>
                <w:szCs w:val="20"/>
              </w:rPr>
            </w:pPr>
            <w:r w:rsidRPr="00DE5669">
              <w:rPr>
                <w:rFonts w:cs="Arial"/>
                <w:sz w:val="20"/>
                <w:szCs w:val="20"/>
              </w:rPr>
              <w:t xml:space="preserve">2. Tempo Médio de Permanência (TMP) </w:t>
            </w:r>
          </w:p>
        </w:tc>
        <w:tc>
          <w:tcPr>
            <w:tcW w:w="1511" w:type="dxa"/>
            <w:tcBorders>
              <w:top w:val="single" w:sz="2" w:space="0" w:color="999999"/>
              <w:left w:val="single" w:sz="2" w:space="0" w:color="999999"/>
              <w:bottom w:val="single" w:sz="2" w:space="0" w:color="999999"/>
              <w:right w:val="single" w:sz="2" w:space="0" w:color="999999"/>
            </w:tcBorders>
            <w:vAlign w:val="center"/>
          </w:tcPr>
          <w:p w14:paraId="4C9AC647" w14:textId="5DFFBA8F" w:rsidR="00A4224E" w:rsidRPr="00DE5669" w:rsidRDefault="00EE0FC9" w:rsidP="007433C3">
            <w:pPr>
              <w:spacing w:after="0"/>
              <w:ind w:left="3"/>
              <w:jc w:val="center"/>
              <w:rPr>
                <w:rFonts w:cs="Arial"/>
                <w:sz w:val="20"/>
                <w:szCs w:val="20"/>
              </w:rPr>
            </w:pPr>
            <w:r w:rsidRPr="00DE5669">
              <w:rPr>
                <w:rFonts w:cs="Arial"/>
                <w:sz w:val="20"/>
                <w:szCs w:val="20"/>
              </w:rPr>
              <w:t>≤ 7 dias</w:t>
            </w:r>
          </w:p>
        </w:tc>
        <w:tc>
          <w:tcPr>
            <w:tcW w:w="2017" w:type="dxa"/>
            <w:tcBorders>
              <w:top w:val="single" w:sz="2" w:space="0" w:color="999999"/>
              <w:left w:val="single" w:sz="2" w:space="0" w:color="999999"/>
              <w:bottom w:val="single" w:sz="2" w:space="0" w:color="999999"/>
              <w:right w:val="single" w:sz="2" w:space="0" w:color="999999"/>
            </w:tcBorders>
            <w:vAlign w:val="center"/>
          </w:tcPr>
          <w:p w14:paraId="68B56410" w14:textId="1E2F7071" w:rsidR="00A4224E" w:rsidRPr="00DE5669" w:rsidRDefault="00946060" w:rsidP="188B0E26">
            <w:pPr>
              <w:spacing w:after="0"/>
              <w:ind w:left="3"/>
              <w:jc w:val="center"/>
              <w:rPr>
                <w:rFonts w:cs="Arial"/>
                <w:b/>
                <w:bCs/>
                <w:sz w:val="20"/>
                <w:szCs w:val="20"/>
              </w:rPr>
            </w:pPr>
            <w:r>
              <w:rPr>
                <w:rFonts w:cs="Arial"/>
                <w:b/>
                <w:bCs/>
                <w:sz w:val="20"/>
                <w:szCs w:val="20"/>
              </w:rPr>
              <w:t>8,13</w:t>
            </w:r>
          </w:p>
        </w:tc>
      </w:tr>
      <w:tr w:rsidR="00263901" w:rsidRPr="00DE5669" w14:paraId="42220C4D" w14:textId="77777777" w:rsidTr="1A6EC8B6">
        <w:trPr>
          <w:trHeight w:val="227"/>
        </w:trPr>
        <w:tc>
          <w:tcPr>
            <w:tcW w:w="5544" w:type="dxa"/>
            <w:tcBorders>
              <w:top w:val="single" w:sz="2" w:space="0" w:color="999999"/>
              <w:left w:val="single" w:sz="2" w:space="0" w:color="999999"/>
              <w:bottom w:val="single" w:sz="2" w:space="0" w:color="999999"/>
              <w:right w:val="single" w:sz="2" w:space="0" w:color="999999"/>
            </w:tcBorders>
            <w:vAlign w:val="center"/>
          </w:tcPr>
          <w:p w14:paraId="72D2E21C" w14:textId="77777777" w:rsidR="00A4224E" w:rsidRPr="00DE5669" w:rsidRDefault="00EE0FC9" w:rsidP="007433C3">
            <w:pPr>
              <w:spacing w:after="0"/>
              <w:rPr>
                <w:rFonts w:cs="Arial"/>
                <w:sz w:val="20"/>
                <w:szCs w:val="20"/>
              </w:rPr>
            </w:pPr>
            <w:r w:rsidRPr="00DE5669">
              <w:rPr>
                <w:rFonts w:cs="Arial"/>
                <w:sz w:val="20"/>
                <w:szCs w:val="20"/>
              </w:rPr>
              <w:t xml:space="preserve">3. Índice de Intervalo de Substituição (horas) </w:t>
            </w:r>
          </w:p>
        </w:tc>
        <w:tc>
          <w:tcPr>
            <w:tcW w:w="1511" w:type="dxa"/>
            <w:tcBorders>
              <w:top w:val="single" w:sz="2" w:space="0" w:color="999999"/>
              <w:left w:val="single" w:sz="2" w:space="0" w:color="999999"/>
              <w:bottom w:val="single" w:sz="2" w:space="0" w:color="999999"/>
              <w:right w:val="single" w:sz="2" w:space="0" w:color="999999"/>
            </w:tcBorders>
            <w:vAlign w:val="center"/>
          </w:tcPr>
          <w:p w14:paraId="1F39414A" w14:textId="36A4E3FB" w:rsidR="00A4224E" w:rsidRPr="00DE5669" w:rsidRDefault="00EE0FC9" w:rsidP="007433C3">
            <w:pPr>
              <w:spacing w:after="0"/>
              <w:ind w:left="3"/>
              <w:jc w:val="center"/>
              <w:rPr>
                <w:rFonts w:cs="Arial"/>
                <w:sz w:val="20"/>
                <w:szCs w:val="20"/>
              </w:rPr>
            </w:pPr>
            <w:r w:rsidRPr="00DE5669">
              <w:rPr>
                <w:rFonts w:cs="Arial"/>
                <w:sz w:val="20"/>
                <w:szCs w:val="20"/>
              </w:rPr>
              <w:t>≤ 24h</w:t>
            </w:r>
          </w:p>
        </w:tc>
        <w:tc>
          <w:tcPr>
            <w:tcW w:w="2017" w:type="dxa"/>
            <w:tcBorders>
              <w:top w:val="single" w:sz="2" w:space="0" w:color="999999"/>
              <w:left w:val="single" w:sz="2" w:space="0" w:color="999999"/>
              <w:bottom w:val="single" w:sz="2" w:space="0" w:color="999999"/>
              <w:right w:val="single" w:sz="2" w:space="0" w:color="999999"/>
            </w:tcBorders>
            <w:vAlign w:val="center"/>
          </w:tcPr>
          <w:p w14:paraId="728A63C2" w14:textId="62E3BF76" w:rsidR="00A4224E" w:rsidRPr="00DE5669" w:rsidRDefault="00A87D5D" w:rsidP="188B0E26">
            <w:pPr>
              <w:spacing w:after="0"/>
              <w:ind w:left="3"/>
              <w:jc w:val="center"/>
              <w:rPr>
                <w:rFonts w:cs="Arial"/>
                <w:b/>
                <w:bCs/>
                <w:sz w:val="20"/>
                <w:szCs w:val="20"/>
              </w:rPr>
            </w:pPr>
            <w:r>
              <w:rPr>
                <w:rFonts w:cs="Arial"/>
                <w:b/>
                <w:bCs/>
                <w:sz w:val="20"/>
                <w:szCs w:val="20"/>
              </w:rPr>
              <w:t>10,80</w:t>
            </w:r>
          </w:p>
        </w:tc>
      </w:tr>
      <w:tr w:rsidR="00263901" w:rsidRPr="00DE5669" w14:paraId="1B594A13" w14:textId="77777777" w:rsidTr="1A6EC8B6">
        <w:trPr>
          <w:trHeight w:val="227"/>
        </w:trPr>
        <w:tc>
          <w:tcPr>
            <w:tcW w:w="5544" w:type="dxa"/>
            <w:tcBorders>
              <w:top w:val="single" w:sz="2" w:space="0" w:color="999999"/>
              <w:left w:val="single" w:sz="2" w:space="0" w:color="999999"/>
              <w:bottom w:val="single" w:sz="2" w:space="0" w:color="999999"/>
              <w:right w:val="single" w:sz="2" w:space="0" w:color="999999"/>
            </w:tcBorders>
            <w:vAlign w:val="center"/>
          </w:tcPr>
          <w:p w14:paraId="2F3EC582" w14:textId="77777777" w:rsidR="00A4224E" w:rsidRPr="00DE5669" w:rsidRDefault="00EE0FC9" w:rsidP="007433C3">
            <w:pPr>
              <w:spacing w:after="0"/>
              <w:rPr>
                <w:rFonts w:cs="Arial"/>
                <w:sz w:val="20"/>
                <w:szCs w:val="20"/>
              </w:rPr>
            </w:pPr>
            <w:r w:rsidRPr="00DE5669">
              <w:rPr>
                <w:rFonts w:cs="Arial"/>
                <w:sz w:val="20"/>
                <w:szCs w:val="20"/>
              </w:rPr>
              <w:t xml:space="preserve">4. Taxa de Readmissão Hospitalar (até 29 dias) </w:t>
            </w:r>
          </w:p>
        </w:tc>
        <w:tc>
          <w:tcPr>
            <w:tcW w:w="1511" w:type="dxa"/>
            <w:tcBorders>
              <w:top w:val="single" w:sz="2" w:space="0" w:color="999999"/>
              <w:left w:val="single" w:sz="2" w:space="0" w:color="999999"/>
              <w:bottom w:val="single" w:sz="2" w:space="0" w:color="999999"/>
              <w:right w:val="single" w:sz="2" w:space="0" w:color="999999"/>
            </w:tcBorders>
            <w:vAlign w:val="center"/>
          </w:tcPr>
          <w:p w14:paraId="162BD669" w14:textId="6ECADA77" w:rsidR="00A4224E" w:rsidRPr="00DE5669" w:rsidRDefault="00EE0FC9" w:rsidP="007433C3">
            <w:pPr>
              <w:spacing w:after="0"/>
              <w:ind w:left="3"/>
              <w:jc w:val="center"/>
              <w:rPr>
                <w:rFonts w:cs="Arial"/>
                <w:sz w:val="20"/>
                <w:szCs w:val="20"/>
              </w:rPr>
            </w:pPr>
            <w:r w:rsidRPr="00DE5669">
              <w:rPr>
                <w:rFonts w:cs="Arial"/>
                <w:sz w:val="20"/>
                <w:szCs w:val="20"/>
              </w:rPr>
              <w:t>&lt; 8%</w:t>
            </w:r>
          </w:p>
        </w:tc>
        <w:tc>
          <w:tcPr>
            <w:tcW w:w="2017" w:type="dxa"/>
            <w:tcBorders>
              <w:top w:val="single" w:sz="2" w:space="0" w:color="999999"/>
              <w:left w:val="single" w:sz="2" w:space="0" w:color="999999"/>
              <w:bottom w:val="single" w:sz="2" w:space="0" w:color="999999"/>
              <w:right w:val="single" w:sz="2" w:space="0" w:color="999999"/>
            </w:tcBorders>
            <w:vAlign w:val="center"/>
          </w:tcPr>
          <w:p w14:paraId="2ACD26E1" w14:textId="0110A305" w:rsidR="00A4224E" w:rsidRPr="00DE5669" w:rsidRDefault="00565FCF" w:rsidP="188B0E26">
            <w:pPr>
              <w:spacing w:after="0"/>
              <w:ind w:left="3"/>
              <w:jc w:val="center"/>
              <w:rPr>
                <w:rFonts w:cs="Arial"/>
                <w:b/>
                <w:bCs/>
                <w:sz w:val="20"/>
                <w:szCs w:val="20"/>
              </w:rPr>
            </w:pPr>
            <w:r>
              <w:rPr>
                <w:rFonts w:cs="Arial"/>
                <w:b/>
                <w:bCs/>
                <w:sz w:val="20"/>
                <w:szCs w:val="20"/>
              </w:rPr>
              <w:t>7,04%</w:t>
            </w:r>
          </w:p>
        </w:tc>
      </w:tr>
      <w:tr w:rsidR="00263901" w:rsidRPr="00DE5669" w14:paraId="17EE6FA1" w14:textId="77777777" w:rsidTr="1A6EC8B6">
        <w:trPr>
          <w:trHeight w:val="227"/>
        </w:trPr>
        <w:tc>
          <w:tcPr>
            <w:tcW w:w="5544" w:type="dxa"/>
            <w:tcBorders>
              <w:top w:val="single" w:sz="2" w:space="0" w:color="999999"/>
              <w:left w:val="single" w:sz="2" w:space="0" w:color="999999"/>
              <w:bottom w:val="single" w:sz="2" w:space="0" w:color="999999"/>
              <w:right w:val="single" w:sz="2" w:space="0" w:color="999999"/>
            </w:tcBorders>
            <w:vAlign w:val="center"/>
          </w:tcPr>
          <w:p w14:paraId="4B7B878E" w14:textId="77777777" w:rsidR="00A4224E" w:rsidRPr="00DE5669" w:rsidRDefault="00EE0FC9" w:rsidP="007433C3">
            <w:pPr>
              <w:spacing w:after="0"/>
              <w:rPr>
                <w:rFonts w:cs="Arial"/>
                <w:sz w:val="20"/>
                <w:szCs w:val="20"/>
              </w:rPr>
            </w:pPr>
            <w:r w:rsidRPr="00DE5669">
              <w:rPr>
                <w:rFonts w:cs="Arial"/>
                <w:sz w:val="20"/>
                <w:szCs w:val="20"/>
              </w:rPr>
              <w:t xml:space="preserve">5. Taxa de Readmissão em UTI (até 48 horas) </w:t>
            </w:r>
          </w:p>
        </w:tc>
        <w:tc>
          <w:tcPr>
            <w:tcW w:w="1511" w:type="dxa"/>
            <w:tcBorders>
              <w:top w:val="single" w:sz="2" w:space="0" w:color="999999"/>
              <w:left w:val="single" w:sz="2" w:space="0" w:color="999999"/>
              <w:bottom w:val="single" w:sz="2" w:space="0" w:color="999999"/>
              <w:right w:val="single" w:sz="2" w:space="0" w:color="999999"/>
            </w:tcBorders>
            <w:vAlign w:val="center"/>
          </w:tcPr>
          <w:p w14:paraId="5D0C2575" w14:textId="772BEF9A" w:rsidR="00A4224E" w:rsidRPr="00DE5669" w:rsidRDefault="00EE0FC9" w:rsidP="007433C3">
            <w:pPr>
              <w:spacing w:after="0"/>
              <w:ind w:left="3"/>
              <w:jc w:val="center"/>
              <w:rPr>
                <w:rFonts w:cs="Arial"/>
                <w:sz w:val="20"/>
                <w:szCs w:val="20"/>
              </w:rPr>
            </w:pPr>
            <w:r w:rsidRPr="00DE5669">
              <w:rPr>
                <w:rFonts w:cs="Arial"/>
                <w:sz w:val="20"/>
                <w:szCs w:val="20"/>
              </w:rPr>
              <w:t>&lt; 5%</w:t>
            </w:r>
          </w:p>
        </w:tc>
        <w:tc>
          <w:tcPr>
            <w:tcW w:w="2017" w:type="dxa"/>
            <w:tcBorders>
              <w:top w:val="single" w:sz="2" w:space="0" w:color="999999"/>
              <w:left w:val="single" w:sz="2" w:space="0" w:color="999999"/>
              <w:bottom w:val="single" w:sz="2" w:space="0" w:color="999999"/>
              <w:right w:val="single" w:sz="2" w:space="0" w:color="999999"/>
            </w:tcBorders>
            <w:vAlign w:val="center"/>
          </w:tcPr>
          <w:p w14:paraId="3605CF4C" w14:textId="1A847972" w:rsidR="00A4224E" w:rsidRPr="00DE5669" w:rsidRDefault="003B3E25" w:rsidP="188B0E26">
            <w:pPr>
              <w:spacing w:after="0"/>
              <w:ind w:left="3"/>
              <w:jc w:val="center"/>
              <w:rPr>
                <w:rFonts w:cs="Arial"/>
                <w:b/>
                <w:bCs/>
                <w:sz w:val="20"/>
                <w:szCs w:val="20"/>
              </w:rPr>
            </w:pPr>
            <w:r>
              <w:rPr>
                <w:rFonts w:cs="Arial"/>
                <w:b/>
                <w:bCs/>
                <w:sz w:val="20"/>
                <w:szCs w:val="20"/>
              </w:rPr>
              <w:t>1,08%</w:t>
            </w:r>
          </w:p>
        </w:tc>
      </w:tr>
      <w:tr w:rsidR="00263901" w:rsidRPr="00DE5669" w14:paraId="60332086" w14:textId="77777777" w:rsidTr="1A6EC8B6">
        <w:trPr>
          <w:trHeight w:val="227"/>
        </w:trPr>
        <w:tc>
          <w:tcPr>
            <w:tcW w:w="5544" w:type="dxa"/>
            <w:tcBorders>
              <w:top w:val="single" w:sz="2" w:space="0" w:color="999999"/>
              <w:left w:val="single" w:sz="2" w:space="0" w:color="999999"/>
              <w:bottom w:val="single" w:sz="2" w:space="0" w:color="999999"/>
              <w:right w:val="single" w:sz="2" w:space="0" w:color="999999"/>
            </w:tcBorders>
            <w:vAlign w:val="center"/>
          </w:tcPr>
          <w:p w14:paraId="313D1EDF" w14:textId="77777777" w:rsidR="00A4224E" w:rsidRPr="00DE5669" w:rsidRDefault="00EE0FC9" w:rsidP="007433C3">
            <w:pPr>
              <w:spacing w:after="0"/>
              <w:rPr>
                <w:rFonts w:cs="Arial"/>
                <w:sz w:val="20"/>
                <w:szCs w:val="20"/>
              </w:rPr>
            </w:pPr>
            <w:r w:rsidRPr="00DE5669">
              <w:rPr>
                <w:rFonts w:cs="Arial"/>
                <w:sz w:val="20"/>
                <w:szCs w:val="20"/>
              </w:rPr>
              <w:t xml:space="preserve">6. Percentual de Ocorrência de Glosas no SIH </w:t>
            </w:r>
          </w:p>
        </w:tc>
        <w:tc>
          <w:tcPr>
            <w:tcW w:w="1511" w:type="dxa"/>
            <w:tcBorders>
              <w:top w:val="single" w:sz="2" w:space="0" w:color="999999"/>
              <w:left w:val="single" w:sz="2" w:space="0" w:color="999999"/>
              <w:bottom w:val="single" w:sz="2" w:space="0" w:color="999999"/>
              <w:right w:val="single" w:sz="2" w:space="0" w:color="999999"/>
            </w:tcBorders>
            <w:vAlign w:val="center"/>
          </w:tcPr>
          <w:p w14:paraId="10D6315F" w14:textId="6B93E832" w:rsidR="00A4224E" w:rsidRPr="00DE5669" w:rsidRDefault="00EE0FC9" w:rsidP="007433C3">
            <w:pPr>
              <w:spacing w:after="0"/>
              <w:ind w:left="3"/>
              <w:jc w:val="center"/>
              <w:rPr>
                <w:rFonts w:cs="Arial"/>
                <w:sz w:val="20"/>
                <w:szCs w:val="20"/>
              </w:rPr>
            </w:pPr>
            <w:r w:rsidRPr="00DE5669">
              <w:rPr>
                <w:rFonts w:cs="Arial"/>
                <w:sz w:val="20"/>
                <w:szCs w:val="20"/>
              </w:rPr>
              <w:t>≤ 7%</w:t>
            </w:r>
          </w:p>
        </w:tc>
        <w:tc>
          <w:tcPr>
            <w:tcW w:w="2017" w:type="dxa"/>
            <w:tcBorders>
              <w:top w:val="single" w:sz="2" w:space="0" w:color="999999"/>
              <w:left w:val="single" w:sz="2" w:space="0" w:color="999999"/>
              <w:bottom w:val="single" w:sz="2" w:space="0" w:color="999999"/>
              <w:right w:val="single" w:sz="2" w:space="0" w:color="999999"/>
            </w:tcBorders>
            <w:vAlign w:val="center"/>
          </w:tcPr>
          <w:p w14:paraId="0430D39F" w14:textId="14B3CA7A" w:rsidR="00A4224E" w:rsidRPr="00DE5669" w:rsidRDefault="00AA4D58" w:rsidP="188B0E26">
            <w:pPr>
              <w:spacing w:after="0"/>
              <w:ind w:left="3"/>
              <w:jc w:val="center"/>
              <w:rPr>
                <w:rFonts w:cs="Arial"/>
                <w:b/>
                <w:bCs/>
                <w:sz w:val="20"/>
                <w:szCs w:val="20"/>
              </w:rPr>
            </w:pPr>
            <w:r>
              <w:rPr>
                <w:rFonts w:cs="Arial"/>
                <w:b/>
                <w:bCs/>
                <w:sz w:val="20"/>
                <w:szCs w:val="20"/>
              </w:rPr>
              <w:t>0,68%</w:t>
            </w:r>
          </w:p>
        </w:tc>
      </w:tr>
      <w:tr w:rsidR="00263901" w:rsidRPr="00DE5669" w14:paraId="22DDA4FA" w14:textId="77777777" w:rsidTr="1A6EC8B6">
        <w:trPr>
          <w:trHeight w:val="227"/>
        </w:trPr>
        <w:tc>
          <w:tcPr>
            <w:tcW w:w="5544" w:type="dxa"/>
            <w:tcBorders>
              <w:top w:val="single" w:sz="2" w:space="0" w:color="999999"/>
              <w:left w:val="single" w:sz="2" w:space="0" w:color="999999"/>
              <w:bottom w:val="single" w:sz="2" w:space="0" w:color="999999"/>
              <w:right w:val="single" w:sz="2" w:space="0" w:color="999999"/>
            </w:tcBorders>
            <w:vAlign w:val="center"/>
          </w:tcPr>
          <w:p w14:paraId="2473A380" w14:textId="77777777" w:rsidR="00A4224E" w:rsidRPr="00DE5669" w:rsidRDefault="00EE0FC9" w:rsidP="007433C3">
            <w:pPr>
              <w:spacing w:after="0"/>
              <w:rPr>
                <w:rFonts w:cs="Arial"/>
                <w:sz w:val="20"/>
                <w:szCs w:val="20"/>
              </w:rPr>
            </w:pPr>
            <w:r w:rsidRPr="00DE5669">
              <w:rPr>
                <w:rFonts w:cs="Arial"/>
                <w:sz w:val="20"/>
                <w:szCs w:val="20"/>
              </w:rPr>
              <w:t xml:space="preserve">7. Percentual de Suspensão de Cirurgias Eletivas </w:t>
            </w:r>
          </w:p>
        </w:tc>
        <w:tc>
          <w:tcPr>
            <w:tcW w:w="1511" w:type="dxa"/>
            <w:tcBorders>
              <w:top w:val="single" w:sz="2" w:space="0" w:color="999999"/>
              <w:left w:val="single" w:sz="2" w:space="0" w:color="999999"/>
              <w:bottom w:val="single" w:sz="2" w:space="0" w:color="999999"/>
              <w:right w:val="single" w:sz="2" w:space="0" w:color="999999"/>
            </w:tcBorders>
            <w:vAlign w:val="center"/>
          </w:tcPr>
          <w:p w14:paraId="035431C8" w14:textId="5ABB6E99" w:rsidR="00A4224E" w:rsidRPr="00DE5669" w:rsidRDefault="00EE0FC9" w:rsidP="007433C3">
            <w:pPr>
              <w:spacing w:after="0"/>
              <w:ind w:left="3"/>
              <w:jc w:val="center"/>
              <w:rPr>
                <w:rFonts w:cs="Arial"/>
                <w:sz w:val="20"/>
                <w:szCs w:val="20"/>
              </w:rPr>
            </w:pPr>
            <w:r w:rsidRPr="00DE5669">
              <w:rPr>
                <w:rFonts w:cs="Arial"/>
                <w:sz w:val="20"/>
                <w:szCs w:val="20"/>
              </w:rPr>
              <w:t>≤ 5%</w:t>
            </w:r>
          </w:p>
        </w:tc>
        <w:tc>
          <w:tcPr>
            <w:tcW w:w="2017" w:type="dxa"/>
            <w:tcBorders>
              <w:top w:val="single" w:sz="2" w:space="0" w:color="999999"/>
              <w:left w:val="single" w:sz="2" w:space="0" w:color="999999"/>
              <w:bottom w:val="single" w:sz="2" w:space="0" w:color="999999"/>
              <w:right w:val="single" w:sz="2" w:space="0" w:color="999999"/>
            </w:tcBorders>
            <w:vAlign w:val="center"/>
          </w:tcPr>
          <w:p w14:paraId="500675AF" w14:textId="288B284C" w:rsidR="00A4224E" w:rsidRPr="00DE5669" w:rsidRDefault="00C04AC0" w:rsidP="188B0E26">
            <w:pPr>
              <w:spacing w:after="0"/>
              <w:ind w:left="3"/>
              <w:jc w:val="center"/>
              <w:rPr>
                <w:rFonts w:cs="Arial"/>
                <w:b/>
                <w:bCs/>
                <w:sz w:val="20"/>
                <w:szCs w:val="20"/>
              </w:rPr>
            </w:pPr>
            <w:r>
              <w:rPr>
                <w:rFonts w:cs="Arial"/>
                <w:b/>
                <w:bCs/>
                <w:sz w:val="20"/>
                <w:szCs w:val="20"/>
              </w:rPr>
              <w:t>0,36%</w:t>
            </w:r>
          </w:p>
        </w:tc>
      </w:tr>
      <w:tr w:rsidR="00263901" w:rsidRPr="00DE5669" w14:paraId="1D8F3A09" w14:textId="77777777" w:rsidTr="1A6EC8B6">
        <w:trPr>
          <w:trHeight w:val="227"/>
        </w:trPr>
        <w:tc>
          <w:tcPr>
            <w:tcW w:w="5544" w:type="dxa"/>
            <w:tcBorders>
              <w:top w:val="single" w:sz="2" w:space="0" w:color="999999"/>
              <w:left w:val="single" w:sz="2" w:space="0" w:color="999999"/>
              <w:bottom w:val="single" w:sz="2" w:space="0" w:color="999999"/>
              <w:right w:val="single" w:sz="2" w:space="0" w:color="999999"/>
            </w:tcBorders>
          </w:tcPr>
          <w:p w14:paraId="2C0ED29A" w14:textId="7821D4AB" w:rsidR="00A4224E" w:rsidRPr="00DE5669" w:rsidRDefault="00EE0FC9" w:rsidP="007433C3">
            <w:pPr>
              <w:spacing w:after="0"/>
              <w:rPr>
                <w:rFonts w:cs="Arial"/>
                <w:sz w:val="20"/>
                <w:szCs w:val="20"/>
              </w:rPr>
            </w:pPr>
            <w:r w:rsidRPr="00DE5669">
              <w:rPr>
                <w:rFonts w:cs="Arial"/>
                <w:sz w:val="20"/>
                <w:szCs w:val="20"/>
              </w:rPr>
              <w:t xml:space="preserve">8. Percentual de cirurgias eletivas com TMAT expirado </w:t>
            </w:r>
            <w:r w:rsidR="00AD0664" w:rsidRPr="00DE5669">
              <w:rPr>
                <w:rFonts w:cs="Arial"/>
                <w:sz w:val="20"/>
                <w:szCs w:val="20"/>
              </w:rPr>
              <w:t>para o segundo ano</w:t>
            </w:r>
          </w:p>
        </w:tc>
        <w:tc>
          <w:tcPr>
            <w:tcW w:w="1511" w:type="dxa"/>
            <w:tcBorders>
              <w:top w:val="single" w:sz="2" w:space="0" w:color="999999"/>
              <w:left w:val="single" w:sz="2" w:space="0" w:color="999999"/>
              <w:bottom w:val="single" w:sz="2" w:space="0" w:color="999999"/>
              <w:right w:val="single" w:sz="2" w:space="0" w:color="999999"/>
            </w:tcBorders>
            <w:vAlign w:val="center"/>
          </w:tcPr>
          <w:p w14:paraId="4FB2383C" w14:textId="638EC211" w:rsidR="00A4224E" w:rsidRPr="00DE5669" w:rsidRDefault="00EE0FC9" w:rsidP="007433C3">
            <w:pPr>
              <w:spacing w:after="0"/>
              <w:ind w:left="3"/>
              <w:jc w:val="center"/>
              <w:rPr>
                <w:rFonts w:cs="Arial"/>
                <w:sz w:val="20"/>
                <w:szCs w:val="20"/>
              </w:rPr>
            </w:pPr>
            <w:r w:rsidRPr="00DE5669">
              <w:rPr>
                <w:rFonts w:cs="Arial"/>
                <w:sz w:val="20"/>
                <w:szCs w:val="20"/>
              </w:rPr>
              <w:t xml:space="preserve">&lt; </w:t>
            </w:r>
            <w:r w:rsidR="00E05499" w:rsidRPr="00DE5669">
              <w:rPr>
                <w:rFonts w:cs="Arial"/>
                <w:sz w:val="20"/>
                <w:szCs w:val="20"/>
              </w:rPr>
              <w:t>25</w:t>
            </w:r>
            <w:r w:rsidRPr="00DE5669">
              <w:rPr>
                <w:rFonts w:cs="Arial"/>
                <w:sz w:val="20"/>
                <w:szCs w:val="20"/>
              </w:rPr>
              <w:t>%</w:t>
            </w:r>
          </w:p>
        </w:tc>
        <w:tc>
          <w:tcPr>
            <w:tcW w:w="2017" w:type="dxa"/>
            <w:tcBorders>
              <w:top w:val="single" w:sz="2" w:space="0" w:color="999999"/>
              <w:left w:val="single" w:sz="2" w:space="0" w:color="999999"/>
              <w:bottom w:val="single" w:sz="2" w:space="0" w:color="999999"/>
              <w:right w:val="single" w:sz="2" w:space="0" w:color="999999"/>
            </w:tcBorders>
            <w:vAlign w:val="center"/>
          </w:tcPr>
          <w:p w14:paraId="03242AEB" w14:textId="7B1F4072" w:rsidR="00A4224E" w:rsidRPr="00DE5669" w:rsidRDefault="00CE4F3B" w:rsidP="188B0E26">
            <w:pPr>
              <w:spacing w:after="0"/>
              <w:ind w:left="3"/>
              <w:jc w:val="center"/>
              <w:rPr>
                <w:rFonts w:cs="Arial"/>
                <w:b/>
                <w:bCs/>
                <w:sz w:val="20"/>
                <w:szCs w:val="20"/>
              </w:rPr>
            </w:pPr>
            <w:r>
              <w:rPr>
                <w:rFonts w:cs="Arial"/>
                <w:b/>
                <w:bCs/>
                <w:sz w:val="20"/>
                <w:szCs w:val="20"/>
              </w:rPr>
              <w:t>3,35%</w:t>
            </w:r>
          </w:p>
        </w:tc>
      </w:tr>
      <w:tr w:rsidR="00263901" w:rsidRPr="00DE5669" w14:paraId="09E8483D" w14:textId="77777777" w:rsidTr="1A6EC8B6">
        <w:trPr>
          <w:trHeight w:val="227"/>
        </w:trPr>
        <w:tc>
          <w:tcPr>
            <w:tcW w:w="5544" w:type="dxa"/>
            <w:tcBorders>
              <w:top w:val="single" w:sz="2" w:space="0" w:color="999999"/>
              <w:left w:val="single" w:sz="2" w:space="0" w:color="999999"/>
              <w:bottom w:val="single" w:sz="2" w:space="0" w:color="999999"/>
              <w:right w:val="single" w:sz="2" w:space="0" w:color="999999"/>
            </w:tcBorders>
            <w:vAlign w:val="center"/>
          </w:tcPr>
          <w:p w14:paraId="1AB23BBF" w14:textId="77777777" w:rsidR="00A4224E" w:rsidRPr="00DE5669" w:rsidRDefault="00EE0FC9" w:rsidP="007433C3">
            <w:pPr>
              <w:spacing w:after="0"/>
              <w:rPr>
                <w:rFonts w:cs="Arial"/>
                <w:sz w:val="20"/>
                <w:szCs w:val="20"/>
              </w:rPr>
            </w:pPr>
            <w:r w:rsidRPr="00DE5669">
              <w:rPr>
                <w:rFonts w:cs="Arial"/>
                <w:sz w:val="20"/>
                <w:szCs w:val="20"/>
              </w:rPr>
              <w:t xml:space="preserve">9. Razão do Quantitativo de Consultas Ofertadas </w:t>
            </w:r>
          </w:p>
        </w:tc>
        <w:tc>
          <w:tcPr>
            <w:tcW w:w="1511" w:type="dxa"/>
            <w:tcBorders>
              <w:top w:val="single" w:sz="2" w:space="0" w:color="999999"/>
              <w:left w:val="single" w:sz="2" w:space="0" w:color="999999"/>
              <w:bottom w:val="single" w:sz="2" w:space="0" w:color="999999"/>
              <w:right w:val="single" w:sz="2" w:space="0" w:color="999999"/>
            </w:tcBorders>
            <w:vAlign w:val="center"/>
          </w:tcPr>
          <w:p w14:paraId="42AADC03" w14:textId="76B7E1E3" w:rsidR="00A4224E" w:rsidRPr="00DE5669" w:rsidRDefault="00EE0FC9" w:rsidP="007433C3">
            <w:pPr>
              <w:spacing w:after="0"/>
              <w:ind w:left="3"/>
              <w:jc w:val="center"/>
              <w:rPr>
                <w:rFonts w:cs="Arial"/>
                <w:sz w:val="20"/>
                <w:szCs w:val="20"/>
              </w:rPr>
            </w:pPr>
            <w:r w:rsidRPr="00DE5669">
              <w:rPr>
                <w:rFonts w:cs="Arial"/>
                <w:sz w:val="20"/>
                <w:szCs w:val="20"/>
              </w:rPr>
              <w:t>1</w:t>
            </w:r>
          </w:p>
        </w:tc>
        <w:tc>
          <w:tcPr>
            <w:tcW w:w="2017" w:type="dxa"/>
            <w:tcBorders>
              <w:top w:val="single" w:sz="2" w:space="0" w:color="999999"/>
              <w:left w:val="single" w:sz="2" w:space="0" w:color="999999"/>
              <w:bottom w:val="single" w:sz="2" w:space="0" w:color="999999"/>
              <w:right w:val="single" w:sz="2" w:space="0" w:color="999999"/>
            </w:tcBorders>
            <w:vAlign w:val="center"/>
          </w:tcPr>
          <w:p w14:paraId="2FC73FD3" w14:textId="78ACC540" w:rsidR="00A4224E" w:rsidRPr="00DE5669" w:rsidRDefault="00CE4F3B" w:rsidP="188B0E26">
            <w:pPr>
              <w:spacing w:after="0"/>
              <w:ind w:left="3"/>
              <w:jc w:val="center"/>
              <w:rPr>
                <w:rFonts w:cs="Arial"/>
                <w:b/>
                <w:bCs/>
                <w:sz w:val="20"/>
                <w:szCs w:val="20"/>
              </w:rPr>
            </w:pPr>
            <w:r>
              <w:rPr>
                <w:rFonts w:cs="Arial"/>
                <w:b/>
                <w:bCs/>
                <w:sz w:val="20"/>
                <w:szCs w:val="20"/>
              </w:rPr>
              <w:t>1,27</w:t>
            </w:r>
          </w:p>
        </w:tc>
      </w:tr>
      <w:tr w:rsidR="00263901" w:rsidRPr="00DE5669" w14:paraId="0B1E7CBD" w14:textId="77777777" w:rsidTr="1A6EC8B6">
        <w:trPr>
          <w:trHeight w:val="283"/>
        </w:trPr>
        <w:tc>
          <w:tcPr>
            <w:tcW w:w="5544" w:type="dxa"/>
            <w:tcBorders>
              <w:top w:val="single" w:sz="2" w:space="0" w:color="999999"/>
              <w:left w:val="single" w:sz="2" w:space="0" w:color="999999"/>
              <w:bottom w:val="single" w:sz="2" w:space="0" w:color="999999"/>
              <w:right w:val="single" w:sz="2" w:space="0" w:color="999999"/>
            </w:tcBorders>
            <w:vAlign w:val="center"/>
          </w:tcPr>
          <w:p w14:paraId="2F2803AF" w14:textId="77777777" w:rsidR="00A4224E" w:rsidRPr="00DE5669" w:rsidRDefault="00EE0FC9" w:rsidP="007433C3">
            <w:pPr>
              <w:spacing w:after="0"/>
              <w:rPr>
                <w:rFonts w:cs="Arial"/>
                <w:sz w:val="20"/>
                <w:szCs w:val="20"/>
              </w:rPr>
            </w:pPr>
            <w:r w:rsidRPr="00DE5669">
              <w:rPr>
                <w:rFonts w:cs="Arial"/>
                <w:sz w:val="20"/>
                <w:szCs w:val="20"/>
              </w:rPr>
              <w:t xml:space="preserve">10. Exames de imagem com resultado em até 10 dias </w:t>
            </w:r>
          </w:p>
        </w:tc>
        <w:tc>
          <w:tcPr>
            <w:tcW w:w="1511" w:type="dxa"/>
            <w:tcBorders>
              <w:top w:val="single" w:sz="2" w:space="0" w:color="999999"/>
              <w:left w:val="single" w:sz="2" w:space="0" w:color="999999"/>
              <w:bottom w:val="single" w:sz="2" w:space="0" w:color="999999"/>
              <w:right w:val="single" w:sz="2" w:space="0" w:color="999999"/>
            </w:tcBorders>
            <w:vAlign w:val="center"/>
          </w:tcPr>
          <w:p w14:paraId="2D221AE8" w14:textId="0761A7E5" w:rsidR="00A4224E" w:rsidRPr="00DE5669" w:rsidRDefault="00EE0FC9" w:rsidP="007433C3">
            <w:pPr>
              <w:spacing w:after="0"/>
              <w:ind w:left="3"/>
              <w:jc w:val="center"/>
              <w:rPr>
                <w:rFonts w:cs="Arial"/>
                <w:sz w:val="20"/>
                <w:szCs w:val="20"/>
              </w:rPr>
            </w:pPr>
            <w:r w:rsidRPr="00DE5669">
              <w:rPr>
                <w:rFonts w:cs="Arial"/>
                <w:sz w:val="20"/>
                <w:szCs w:val="20"/>
              </w:rPr>
              <w:t>≥ 70%</w:t>
            </w:r>
          </w:p>
        </w:tc>
        <w:tc>
          <w:tcPr>
            <w:tcW w:w="2017" w:type="dxa"/>
            <w:tcBorders>
              <w:top w:val="single" w:sz="2" w:space="0" w:color="999999"/>
              <w:left w:val="single" w:sz="2" w:space="0" w:color="999999"/>
              <w:bottom w:val="single" w:sz="2" w:space="0" w:color="999999"/>
              <w:right w:val="single" w:sz="2" w:space="0" w:color="999999"/>
            </w:tcBorders>
            <w:vAlign w:val="center"/>
          </w:tcPr>
          <w:p w14:paraId="106EF0F4" w14:textId="5C8DA8FB" w:rsidR="00A4224E" w:rsidRPr="00DE5669" w:rsidRDefault="00F51FB5" w:rsidP="188B0E26">
            <w:pPr>
              <w:spacing w:after="0"/>
              <w:ind w:left="3"/>
              <w:jc w:val="center"/>
              <w:rPr>
                <w:rFonts w:cs="Arial"/>
                <w:b/>
                <w:bCs/>
                <w:sz w:val="20"/>
                <w:szCs w:val="20"/>
              </w:rPr>
            </w:pPr>
            <w:r>
              <w:rPr>
                <w:rFonts w:cs="Arial"/>
                <w:b/>
                <w:bCs/>
                <w:sz w:val="20"/>
                <w:szCs w:val="20"/>
              </w:rPr>
              <w:t>100%</w:t>
            </w:r>
          </w:p>
        </w:tc>
      </w:tr>
      <w:tr w:rsidR="00263901" w:rsidRPr="00DE5669" w14:paraId="51E9ECA0" w14:textId="77777777" w:rsidTr="1A6EC8B6">
        <w:trPr>
          <w:trHeight w:val="283"/>
        </w:trPr>
        <w:tc>
          <w:tcPr>
            <w:tcW w:w="5544" w:type="dxa"/>
            <w:tcBorders>
              <w:top w:val="single" w:sz="2" w:space="0" w:color="999999"/>
              <w:left w:val="single" w:sz="2" w:space="0" w:color="999999"/>
              <w:bottom w:val="single" w:sz="2" w:space="0" w:color="999999"/>
              <w:right w:val="single" w:sz="2" w:space="0" w:color="999999"/>
            </w:tcBorders>
            <w:vAlign w:val="center"/>
          </w:tcPr>
          <w:p w14:paraId="2BA405B3" w14:textId="77777777" w:rsidR="00A4224E" w:rsidRPr="00DE5669" w:rsidRDefault="00EE0FC9" w:rsidP="007433C3">
            <w:pPr>
              <w:spacing w:after="0"/>
              <w:rPr>
                <w:rFonts w:cs="Arial"/>
                <w:sz w:val="20"/>
                <w:szCs w:val="20"/>
              </w:rPr>
            </w:pPr>
            <w:r w:rsidRPr="00DE5669">
              <w:rPr>
                <w:rFonts w:cs="Arial"/>
                <w:sz w:val="20"/>
                <w:szCs w:val="20"/>
              </w:rPr>
              <w:t xml:space="preserve">11. DAEI digitados oportunamente </w:t>
            </w:r>
          </w:p>
        </w:tc>
        <w:tc>
          <w:tcPr>
            <w:tcW w:w="1511" w:type="dxa"/>
            <w:tcBorders>
              <w:top w:val="single" w:sz="2" w:space="0" w:color="999999"/>
              <w:left w:val="single" w:sz="2" w:space="0" w:color="999999"/>
              <w:bottom w:val="single" w:sz="2" w:space="0" w:color="999999"/>
              <w:right w:val="single" w:sz="2" w:space="0" w:color="999999"/>
            </w:tcBorders>
            <w:vAlign w:val="center"/>
          </w:tcPr>
          <w:p w14:paraId="4E7B6FDB" w14:textId="4789A3D0" w:rsidR="00A4224E" w:rsidRPr="00DE5669" w:rsidRDefault="00EE0FC9" w:rsidP="007433C3">
            <w:pPr>
              <w:spacing w:after="0"/>
              <w:ind w:left="3"/>
              <w:jc w:val="center"/>
              <w:rPr>
                <w:rFonts w:cs="Arial"/>
                <w:sz w:val="20"/>
                <w:szCs w:val="20"/>
              </w:rPr>
            </w:pPr>
            <w:r w:rsidRPr="00DE5669">
              <w:rPr>
                <w:rFonts w:cs="Arial"/>
                <w:sz w:val="20"/>
                <w:szCs w:val="20"/>
              </w:rPr>
              <w:t>≥ 80%</w:t>
            </w:r>
          </w:p>
        </w:tc>
        <w:tc>
          <w:tcPr>
            <w:tcW w:w="2017" w:type="dxa"/>
            <w:tcBorders>
              <w:top w:val="single" w:sz="2" w:space="0" w:color="999999"/>
              <w:left w:val="single" w:sz="2" w:space="0" w:color="999999"/>
              <w:bottom w:val="single" w:sz="2" w:space="0" w:color="999999"/>
              <w:right w:val="single" w:sz="2" w:space="0" w:color="999999"/>
            </w:tcBorders>
            <w:vAlign w:val="center"/>
          </w:tcPr>
          <w:p w14:paraId="2A530757" w14:textId="4055717B" w:rsidR="3D15A949" w:rsidRPr="00DE5669" w:rsidRDefault="00191201" w:rsidP="188B0E26">
            <w:pPr>
              <w:spacing w:after="0"/>
              <w:ind w:left="3"/>
              <w:jc w:val="center"/>
              <w:rPr>
                <w:rFonts w:cs="Arial"/>
                <w:b/>
                <w:bCs/>
                <w:sz w:val="20"/>
                <w:szCs w:val="20"/>
              </w:rPr>
            </w:pPr>
            <w:r>
              <w:rPr>
                <w:rFonts w:cs="Arial"/>
                <w:b/>
                <w:bCs/>
                <w:sz w:val="20"/>
                <w:szCs w:val="20"/>
              </w:rPr>
              <w:t>98%</w:t>
            </w:r>
          </w:p>
        </w:tc>
      </w:tr>
      <w:tr w:rsidR="00263901" w:rsidRPr="00DE5669" w14:paraId="16ECF673" w14:textId="77777777" w:rsidTr="1A6EC8B6">
        <w:trPr>
          <w:trHeight w:val="283"/>
        </w:trPr>
        <w:tc>
          <w:tcPr>
            <w:tcW w:w="5544" w:type="dxa"/>
            <w:tcBorders>
              <w:top w:val="single" w:sz="2" w:space="0" w:color="999999"/>
              <w:left w:val="single" w:sz="2" w:space="0" w:color="999999"/>
              <w:bottom w:val="single" w:sz="2" w:space="0" w:color="999999"/>
              <w:right w:val="single" w:sz="2" w:space="0" w:color="999999"/>
            </w:tcBorders>
            <w:vAlign w:val="center"/>
          </w:tcPr>
          <w:p w14:paraId="16278B2C" w14:textId="77777777" w:rsidR="00A4224E" w:rsidRPr="00DE5669" w:rsidRDefault="00EE0FC9" w:rsidP="007433C3">
            <w:pPr>
              <w:spacing w:after="0"/>
              <w:rPr>
                <w:rFonts w:cs="Arial"/>
                <w:sz w:val="20"/>
                <w:szCs w:val="20"/>
              </w:rPr>
            </w:pPr>
            <w:r w:rsidRPr="00DE5669">
              <w:rPr>
                <w:rFonts w:cs="Arial"/>
                <w:sz w:val="20"/>
                <w:szCs w:val="20"/>
              </w:rPr>
              <w:t xml:space="preserve">12. DAEI investigados oportunamente </w:t>
            </w:r>
          </w:p>
        </w:tc>
        <w:tc>
          <w:tcPr>
            <w:tcW w:w="1511" w:type="dxa"/>
            <w:tcBorders>
              <w:top w:val="single" w:sz="2" w:space="0" w:color="999999"/>
              <w:left w:val="single" w:sz="2" w:space="0" w:color="999999"/>
              <w:bottom w:val="single" w:sz="2" w:space="0" w:color="999999"/>
              <w:right w:val="single" w:sz="2" w:space="0" w:color="999999"/>
            </w:tcBorders>
            <w:vAlign w:val="center"/>
          </w:tcPr>
          <w:p w14:paraId="0612D0AF" w14:textId="065E397C" w:rsidR="00A4224E" w:rsidRPr="00DE5669" w:rsidRDefault="00EE0FC9" w:rsidP="007433C3">
            <w:pPr>
              <w:spacing w:after="0"/>
              <w:ind w:left="3"/>
              <w:jc w:val="center"/>
              <w:rPr>
                <w:rFonts w:cs="Arial"/>
                <w:sz w:val="20"/>
                <w:szCs w:val="20"/>
              </w:rPr>
            </w:pPr>
            <w:r w:rsidRPr="00DE5669">
              <w:rPr>
                <w:rFonts w:cs="Arial"/>
                <w:sz w:val="20"/>
                <w:szCs w:val="20"/>
              </w:rPr>
              <w:t>≥ 80%</w:t>
            </w:r>
          </w:p>
        </w:tc>
        <w:tc>
          <w:tcPr>
            <w:tcW w:w="2017" w:type="dxa"/>
            <w:tcBorders>
              <w:top w:val="single" w:sz="2" w:space="0" w:color="999999"/>
              <w:left w:val="single" w:sz="2" w:space="0" w:color="999999"/>
              <w:bottom w:val="single" w:sz="2" w:space="0" w:color="999999"/>
              <w:right w:val="single" w:sz="2" w:space="0" w:color="999999"/>
            </w:tcBorders>
            <w:vAlign w:val="center"/>
          </w:tcPr>
          <w:p w14:paraId="6C5AA95C" w14:textId="5A831C05" w:rsidR="3D15A949" w:rsidRPr="00DE5669" w:rsidRDefault="00556FDC" w:rsidP="188B0E26">
            <w:pPr>
              <w:spacing w:after="0"/>
              <w:ind w:left="3"/>
              <w:jc w:val="center"/>
              <w:rPr>
                <w:rFonts w:cs="Arial"/>
                <w:b/>
                <w:bCs/>
                <w:sz w:val="20"/>
                <w:szCs w:val="20"/>
              </w:rPr>
            </w:pPr>
            <w:r>
              <w:rPr>
                <w:rFonts w:cs="Arial"/>
                <w:b/>
                <w:bCs/>
                <w:sz w:val="20"/>
                <w:szCs w:val="20"/>
              </w:rPr>
              <w:t>100%</w:t>
            </w:r>
          </w:p>
        </w:tc>
      </w:tr>
      <w:tr w:rsidR="00263901" w:rsidRPr="00DE5669" w14:paraId="21C10742" w14:textId="77777777" w:rsidTr="1A6EC8B6">
        <w:trPr>
          <w:trHeight w:val="283"/>
        </w:trPr>
        <w:tc>
          <w:tcPr>
            <w:tcW w:w="5544" w:type="dxa"/>
            <w:tcBorders>
              <w:top w:val="single" w:sz="2" w:space="0" w:color="999999"/>
              <w:left w:val="single" w:sz="2" w:space="0" w:color="999999"/>
              <w:bottom w:val="single" w:sz="2" w:space="0" w:color="999999"/>
              <w:right w:val="single" w:sz="2" w:space="0" w:color="999999"/>
            </w:tcBorders>
            <w:vAlign w:val="center"/>
          </w:tcPr>
          <w:p w14:paraId="0D410941" w14:textId="140BD184" w:rsidR="703E9BF2" w:rsidRPr="00DE5669" w:rsidRDefault="703E9BF2" w:rsidP="007433C3">
            <w:pPr>
              <w:spacing w:after="0"/>
              <w:rPr>
                <w:rFonts w:cs="Arial"/>
                <w:sz w:val="20"/>
                <w:szCs w:val="20"/>
              </w:rPr>
            </w:pPr>
            <w:r w:rsidRPr="00DE5669">
              <w:rPr>
                <w:rFonts w:cs="Arial"/>
                <w:sz w:val="20"/>
                <w:szCs w:val="20"/>
              </w:rPr>
              <w:t>13. Percentual de perda financeira por vencimento de medicamentos</w:t>
            </w:r>
          </w:p>
        </w:tc>
        <w:tc>
          <w:tcPr>
            <w:tcW w:w="1511" w:type="dxa"/>
            <w:tcBorders>
              <w:top w:val="single" w:sz="2" w:space="0" w:color="999999"/>
              <w:left w:val="single" w:sz="2" w:space="0" w:color="999999"/>
              <w:bottom w:val="single" w:sz="2" w:space="0" w:color="999999"/>
              <w:right w:val="single" w:sz="2" w:space="0" w:color="999999"/>
            </w:tcBorders>
            <w:vAlign w:val="center"/>
          </w:tcPr>
          <w:p w14:paraId="348F2A2E" w14:textId="30109EB9" w:rsidR="703E9BF2" w:rsidRPr="00DE5669" w:rsidRDefault="703E9BF2" w:rsidP="007433C3">
            <w:pPr>
              <w:spacing w:after="0"/>
              <w:ind w:left="3"/>
              <w:jc w:val="center"/>
              <w:rPr>
                <w:rFonts w:cs="Arial"/>
                <w:sz w:val="20"/>
                <w:szCs w:val="20"/>
              </w:rPr>
            </w:pPr>
            <w:r w:rsidRPr="00DE5669">
              <w:rPr>
                <w:rFonts w:cs="Arial"/>
                <w:sz w:val="20"/>
                <w:szCs w:val="20"/>
              </w:rPr>
              <w:t>≤ 1%</w:t>
            </w:r>
          </w:p>
        </w:tc>
        <w:tc>
          <w:tcPr>
            <w:tcW w:w="2017" w:type="dxa"/>
            <w:tcBorders>
              <w:top w:val="single" w:sz="2" w:space="0" w:color="999999"/>
              <w:left w:val="single" w:sz="2" w:space="0" w:color="999999"/>
              <w:bottom w:val="single" w:sz="2" w:space="0" w:color="999999"/>
              <w:right w:val="single" w:sz="2" w:space="0" w:color="999999"/>
            </w:tcBorders>
            <w:vAlign w:val="center"/>
          </w:tcPr>
          <w:p w14:paraId="0D0D0350" w14:textId="3A0B4219" w:rsidR="703E9BF2" w:rsidRPr="00DE5669" w:rsidRDefault="00556FDC" w:rsidP="188B0E26">
            <w:pPr>
              <w:spacing w:after="0"/>
              <w:jc w:val="center"/>
              <w:rPr>
                <w:rFonts w:cs="Arial"/>
                <w:b/>
                <w:bCs/>
                <w:sz w:val="20"/>
                <w:szCs w:val="20"/>
              </w:rPr>
            </w:pPr>
            <w:r>
              <w:rPr>
                <w:rFonts w:cs="Arial"/>
                <w:b/>
                <w:bCs/>
                <w:sz w:val="20"/>
                <w:szCs w:val="20"/>
              </w:rPr>
              <w:t>0,22%</w:t>
            </w:r>
          </w:p>
        </w:tc>
      </w:tr>
      <w:tr w:rsidR="00263901" w:rsidRPr="00DE5669" w14:paraId="30BA8153" w14:textId="77777777" w:rsidTr="1A6EC8B6">
        <w:trPr>
          <w:trHeight w:val="283"/>
        </w:trPr>
        <w:tc>
          <w:tcPr>
            <w:tcW w:w="5544" w:type="dxa"/>
            <w:tcBorders>
              <w:top w:val="single" w:sz="2" w:space="0" w:color="999999"/>
              <w:left w:val="single" w:sz="2" w:space="0" w:color="999999"/>
              <w:bottom w:val="single" w:sz="2" w:space="0" w:color="999999"/>
              <w:right w:val="single" w:sz="2" w:space="0" w:color="999999"/>
            </w:tcBorders>
            <w:vAlign w:val="center"/>
          </w:tcPr>
          <w:p w14:paraId="3FFEBB9B" w14:textId="06D964EC" w:rsidR="703E9BF2" w:rsidRPr="00DE5669" w:rsidRDefault="703E9BF2" w:rsidP="007433C3">
            <w:pPr>
              <w:spacing w:after="0"/>
              <w:rPr>
                <w:rFonts w:cs="Arial"/>
                <w:sz w:val="20"/>
                <w:szCs w:val="20"/>
              </w:rPr>
            </w:pPr>
            <w:r w:rsidRPr="00DE5669">
              <w:rPr>
                <w:rFonts w:cs="Arial"/>
                <w:sz w:val="20"/>
                <w:szCs w:val="20"/>
              </w:rPr>
              <w:t>14. Taxa de acurácia do estoque</w:t>
            </w:r>
          </w:p>
        </w:tc>
        <w:tc>
          <w:tcPr>
            <w:tcW w:w="1511" w:type="dxa"/>
            <w:tcBorders>
              <w:top w:val="single" w:sz="2" w:space="0" w:color="999999"/>
              <w:left w:val="single" w:sz="2" w:space="0" w:color="999999"/>
              <w:bottom w:val="single" w:sz="2" w:space="0" w:color="999999"/>
              <w:right w:val="single" w:sz="2" w:space="0" w:color="999999"/>
            </w:tcBorders>
            <w:vAlign w:val="center"/>
          </w:tcPr>
          <w:p w14:paraId="66C0B533" w14:textId="3AAD9585" w:rsidR="703E9BF2" w:rsidRPr="00DE5669" w:rsidRDefault="703E9BF2" w:rsidP="007433C3">
            <w:pPr>
              <w:spacing w:after="0"/>
              <w:ind w:left="3"/>
              <w:jc w:val="center"/>
              <w:rPr>
                <w:rFonts w:cs="Arial"/>
                <w:sz w:val="20"/>
                <w:szCs w:val="20"/>
              </w:rPr>
            </w:pPr>
            <w:r w:rsidRPr="00DE5669">
              <w:rPr>
                <w:rFonts w:cs="Arial"/>
                <w:sz w:val="20"/>
                <w:szCs w:val="20"/>
              </w:rPr>
              <w:t>≥ 95%</w:t>
            </w:r>
          </w:p>
        </w:tc>
        <w:tc>
          <w:tcPr>
            <w:tcW w:w="2017" w:type="dxa"/>
            <w:tcBorders>
              <w:top w:val="single" w:sz="2" w:space="0" w:color="999999"/>
              <w:left w:val="single" w:sz="2" w:space="0" w:color="999999"/>
              <w:bottom w:val="single" w:sz="2" w:space="0" w:color="999999"/>
              <w:right w:val="single" w:sz="2" w:space="0" w:color="999999"/>
            </w:tcBorders>
            <w:vAlign w:val="center"/>
          </w:tcPr>
          <w:p w14:paraId="00AAEF33" w14:textId="13B9958C" w:rsidR="703E9BF2" w:rsidRPr="00DE5669" w:rsidRDefault="00234A1F" w:rsidP="188B0E26">
            <w:pPr>
              <w:spacing w:after="0"/>
              <w:jc w:val="center"/>
              <w:rPr>
                <w:rFonts w:cs="Arial"/>
                <w:b/>
                <w:bCs/>
                <w:sz w:val="20"/>
                <w:szCs w:val="20"/>
              </w:rPr>
            </w:pPr>
            <w:r>
              <w:rPr>
                <w:rFonts w:cs="Arial"/>
                <w:b/>
                <w:bCs/>
                <w:sz w:val="20"/>
                <w:szCs w:val="20"/>
              </w:rPr>
              <w:t>94</w:t>
            </w:r>
            <w:r w:rsidR="00F63806">
              <w:rPr>
                <w:rFonts w:cs="Arial"/>
                <w:b/>
                <w:bCs/>
                <w:sz w:val="20"/>
                <w:szCs w:val="20"/>
              </w:rPr>
              <w:t>,97%</w:t>
            </w:r>
          </w:p>
        </w:tc>
      </w:tr>
      <w:tr w:rsidR="00263901" w:rsidRPr="00DE5669" w14:paraId="5C8BDE39" w14:textId="77777777" w:rsidTr="1A6EC8B6">
        <w:trPr>
          <w:trHeight w:val="283"/>
        </w:trPr>
        <w:tc>
          <w:tcPr>
            <w:tcW w:w="5544" w:type="dxa"/>
            <w:tcBorders>
              <w:top w:val="single" w:sz="2" w:space="0" w:color="999999"/>
              <w:left w:val="single" w:sz="2" w:space="0" w:color="999999"/>
              <w:bottom w:val="single" w:sz="2" w:space="0" w:color="999999"/>
              <w:right w:val="single" w:sz="2" w:space="0" w:color="999999"/>
            </w:tcBorders>
            <w:vAlign w:val="center"/>
          </w:tcPr>
          <w:p w14:paraId="2444E3F7" w14:textId="46749713" w:rsidR="703E9BF2" w:rsidRPr="00DE5669" w:rsidRDefault="703E9BF2" w:rsidP="007433C3">
            <w:pPr>
              <w:spacing w:after="0"/>
              <w:rPr>
                <w:rFonts w:cs="Arial"/>
                <w:sz w:val="20"/>
                <w:szCs w:val="20"/>
              </w:rPr>
            </w:pPr>
            <w:r w:rsidRPr="00DE5669">
              <w:rPr>
                <w:rFonts w:cs="Arial"/>
                <w:sz w:val="20"/>
                <w:szCs w:val="20"/>
              </w:rPr>
              <w:t>15. Taxa de aceitabilidade das intervenções farmacêuticas</w:t>
            </w:r>
          </w:p>
        </w:tc>
        <w:tc>
          <w:tcPr>
            <w:tcW w:w="1511" w:type="dxa"/>
            <w:tcBorders>
              <w:top w:val="single" w:sz="2" w:space="0" w:color="999999"/>
              <w:left w:val="single" w:sz="2" w:space="0" w:color="999999"/>
              <w:bottom w:val="single" w:sz="2" w:space="0" w:color="999999"/>
              <w:right w:val="single" w:sz="2" w:space="0" w:color="999999"/>
            </w:tcBorders>
            <w:vAlign w:val="center"/>
          </w:tcPr>
          <w:p w14:paraId="72458ECD" w14:textId="62F3033F" w:rsidR="703E9BF2" w:rsidRPr="00DE5669" w:rsidRDefault="703E9BF2" w:rsidP="007433C3">
            <w:pPr>
              <w:spacing w:after="0"/>
              <w:jc w:val="center"/>
              <w:rPr>
                <w:rFonts w:cs="Arial"/>
                <w:sz w:val="20"/>
                <w:szCs w:val="20"/>
              </w:rPr>
            </w:pPr>
            <w:r w:rsidRPr="00DE5669">
              <w:rPr>
                <w:rFonts w:cs="Arial"/>
                <w:sz w:val="20"/>
                <w:szCs w:val="20"/>
              </w:rPr>
              <w:t>≥ 85%</w:t>
            </w:r>
          </w:p>
        </w:tc>
        <w:tc>
          <w:tcPr>
            <w:tcW w:w="2017" w:type="dxa"/>
            <w:tcBorders>
              <w:top w:val="single" w:sz="2" w:space="0" w:color="999999"/>
              <w:left w:val="single" w:sz="2" w:space="0" w:color="999999"/>
              <w:bottom w:val="single" w:sz="2" w:space="0" w:color="999999"/>
              <w:right w:val="single" w:sz="2" w:space="0" w:color="999999"/>
            </w:tcBorders>
            <w:vAlign w:val="center"/>
          </w:tcPr>
          <w:p w14:paraId="6CBB5A22" w14:textId="302930DA" w:rsidR="703E9BF2" w:rsidRPr="00DE5669" w:rsidRDefault="00115DE4" w:rsidP="188B0E26">
            <w:pPr>
              <w:spacing w:after="0"/>
              <w:jc w:val="center"/>
              <w:rPr>
                <w:rFonts w:cs="Arial"/>
                <w:b/>
                <w:bCs/>
                <w:sz w:val="20"/>
                <w:szCs w:val="20"/>
              </w:rPr>
            </w:pPr>
            <w:r>
              <w:rPr>
                <w:rFonts w:cs="Arial"/>
                <w:b/>
                <w:bCs/>
                <w:sz w:val="20"/>
                <w:szCs w:val="20"/>
              </w:rPr>
              <w:t>94,01%</w:t>
            </w:r>
          </w:p>
        </w:tc>
      </w:tr>
    </w:tbl>
    <w:p w14:paraId="1BB760BD" w14:textId="77777777" w:rsidR="00A4224E" w:rsidRPr="00DE5669" w:rsidRDefault="00EE0FC9">
      <w:pPr>
        <w:spacing w:after="318"/>
        <w:rPr>
          <w:rFonts w:cs="Arial"/>
        </w:rPr>
      </w:pPr>
      <w:r w:rsidRPr="00DE5669">
        <w:rPr>
          <w:rFonts w:cs="Arial"/>
        </w:rPr>
        <w:t xml:space="preserve"> </w:t>
      </w:r>
    </w:p>
    <w:p w14:paraId="62EAA945" w14:textId="7C83CDDC" w:rsidR="477C1C79" w:rsidRPr="00DE5669" w:rsidRDefault="45BFB3F1" w:rsidP="003C07F0">
      <w:pPr>
        <w:pStyle w:val="Ttulo2"/>
        <w:spacing w:after="218"/>
        <w:ind w:left="0" w:firstLine="0"/>
      </w:pPr>
      <w:bookmarkStart w:id="26" w:name="_Toc224057606"/>
      <w:bookmarkStart w:id="27" w:name="_Toc229241759"/>
      <w:bookmarkStart w:id="28" w:name="_Toc231974385"/>
      <w:bookmarkStart w:id="29" w:name="_Toc234260330"/>
      <w:r>
        <w:lastRenderedPageBreak/>
        <w:t>4.1. Análise Crítica</w:t>
      </w:r>
      <w:bookmarkEnd w:id="26"/>
      <w:bookmarkEnd w:id="27"/>
      <w:bookmarkEnd w:id="28"/>
      <w:bookmarkEnd w:id="29"/>
      <w:r>
        <w:t xml:space="preserve"> </w:t>
      </w:r>
    </w:p>
    <w:p w14:paraId="39D6F47E" w14:textId="3C714A45" w:rsidR="005F7585" w:rsidRPr="009B221E" w:rsidRDefault="005F7585" w:rsidP="007F0CD7">
      <w:pPr>
        <w:pStyle w:val="Ttulo1"/>
        <w:spacing w:after="218"/>
        <w:jc w:val="both"/>
        <w:rPr>
          <w:rFonts w:cstheme="minorBidi"/>
          <w:b w:val="0"/>
          <w:color w:val="auto"/>
          <w:sz w:val="24"/>
          <w:szCs w:val="24"/>
        </w:rPr>
      </w:pPr>
      <w:bookmarkStart w:id="30" w:name="_Toc234254698"/>
      <w:bookmarkStart w:id="31" w:name="_Toc234260331"/>
      <w:r w:rsidRPr="009B221E">
        <w:rPr>
          <w:rFonts w:cstheme="minorBidi"/>
          <w:b w:val="0"/>
          <w:color w:val="auto"/>
          <w:sz w:val="24"/>
          <w:szCs w:val="24"/>
        </w:rPr>
        <w:t>Em junho de 2026, dos 15 indicadores de desempenho monitorados, a quase totalidade situou-se dentro dos parâmetros contratualizados, reafirmando o nível de qualidade assistencial e operacional sustentado pela unidade.</w:t>
      </w:r>
      <w:bookmarkEnd w:id="30"/>
      <w:bookmarkEnd w:id="31"/>
    </w:p>
    <w:p w14:paraId="51AA8EFA" w14:textId="3C74773C" w:rsidR="005F7585" w:rsidRPr="009B221E" w:rsidRDefault="005F7585" w:rsidP="007F0CD7">
      <w:pPr>
        <w:pStyle w:val="Ttulo1"/>
        <w:spacing w:after="218"/>
        <w:jc w:val="both"/>
        <w:rPr>
          <w:rFonts w:cstheme="minorBidi"/>
          <w:b w:val="0"/>
          <w:color w:val="auto"/>
          <w:sz w:val="24"/>
          <w:szCs w:val="24"/>
        </w:rPr>
      </w:pPr>
      <w:bookmarkStart w:id="32" w:name="_Toc234254699"/>
      <w:bookmarkStart w:id="33" w:name="_Toc234260332"/>
      <w:r w:rsidRPr="009B221E">
        <w:rPr>
          <w:rFonts w:cstheme="minorBidi"/>
          <w:b w:val="0"/>
          <w:color w:val="auto"/>
          <w:sz w:val="24"/>
          <w:szCs w:val="24"/>
        </w:rPr>
        <w:t>A Taxa de Ocupação Hospitalar fechou o mês em 117,87%, superando a meta mínima de 90% e refletindo a operação acima da capacidade instalada. O Índice de Intervalo de Substituição apresentou elevação para 10,80 horas (frente a 8,44h em maio), mantendo-se, no entanto, adequadamente dentro da meta estipulada de ≤ 24h.</w:t>
      </w:r>
      <w:bookmarkEnd w:id="32"/>
      <w:bookmarkEnd w:id="33"/>
    </w:p>
    <w:p w14:paraId="70041374" w14:textId="02E7259F" w:rsidR="005F7585" w:rsidRPr="009B221E" w:rsidRDefault="005F7585" w:rsidP="007F0CD7">
      <w:pPr>
        <w:pStyle w:val="Ttulo1"/>
        <w:spacing w:after="218"/>
        <w:jc w:val="both"/>
        <w:rPr>
          <w:rFonts w:cstheme="minorBidi"/>
          <w:b w:val="0"/>
          <w:color w:val="auto"/>
          <w:sz w:val="24"/>
          <w:szCs w:val="24"/>
        </w:rPr>
      </w:pPr>
      <w:bookmarkStart w:id="34" w:name="_Toc234254700"/>
      <w:bookmarkStart w:id="35" w:name="_Toc234260333"/>
      <w:r w:rsidRPr="009B221E">
        <w:rPr>
          <w:rFonts w:cstheme="minorBidi"/>
          <w:b w:val="0"/>
          <w:color w:val="auto"/>
          <w:sz w:val="24"/>
          <w:szCs w:val="24"/>
        </w:rPr>
        <w:t>O Tempo Médio de Permanência situou-se em 8,13 dias, com leve melhora em relação ao mês anterior (8,20 dias). O perfil de alta complexidade dos pacientes internados e as permanências prolongadas em Unidades de Terapia Intensiva permanecem como principais determinantes do indicador, permanecendo em curso as ações de gestão de leitos e os fóruns multidisciplinares de discussão de altas.</w:t>
      </w:r>
      <w:bookmarkEnd w:id="34"/>
      <w:bookmarkEnd w:id="35"/>
    </w:p>
    <w:p w14:paraId="15F2D472" w14:textId="610A4361" w:rsidR="005F7585" w:rsidRPr="009B221E" w:rsidRDefault="005F7585" w:rsidP="007F0CD7">
      <w:pPr>
        <w:pStyle w:val="Ttulo1"/>
        <w:spacing w:after="218"/>
        <w:jc w:val="both"/>
        <w:rPr>
          <w:rFonts w:cstheme="minorBidi"/>
          <w:b w:val="0"/>
          <w:color w:val="auto"/>
          <w:sz w:val="24"/>
          <w:szCs w:val="24"/>
        </w:rPr>
      </w:pPr>
      <w:bookmarkStart w:id="36" w:name="_Toc234254701"/>
      <w:bookmarkStart w:id="37" w:name="_Toc234260334"/>
      <w:r w:rsidRPr="009B221E">
        <w:rPr>
          <w:rFonts w:cstheme="minorBidi"/>
          <w:b w:val="0"/>
          <w:color w:val="auto"/>
          <w:sz w:val="24"/>
          <w:szCs w:val="24"/>
        </w:rPr>
        <w:t>A Taxa de Readmissão Hospitalar (7,04%) e a Taxa de Readmissão em UTI (1,08%) seguem dentro das respectivas metas contratualizadas (&lt;8% e &lt;5%).</w:t>
      </w:r>
      <w:bookmarkEnd w:id="36"/>
      <w:bookmarkEnd w:id="37"/>
    </w:p>
    <w:p w14:paraId="106CA687" w14:textId="13A68B25" w:rsidR="005F7585" w:rsidRPr="009B221E" w:rsidRDefault="005F7585" w:rsidP="007F0CD7">
      <w:pPr>
        <w:pStyle w:val="Ttulo1"/>
        <w:spacing w:after="218"/>
        <w:jc w:val="both"/>
        <w:rPr>
          <w:rFonts w:cstheme="minorBidi"/>
          <w:b w:val="0"/>
          <w:color w:val="auto"/>
          <w:sz w:val="24"/>
          <w:szCs w:val="24"/>
        </w:rPr>
      </w:pPr>
      <w:bookmarkStart w:id="38" w:name="_Toc234254702"/>
      <w:bookmarkStart w:id="39" w:name="_Toc234260335"/>
      <w:r w:rsidRPr="009B221E">
        <w:rPr>
          <w:rFonts w:cstheme="minorBidi"/>
          <w:b w:val="0"/>
          <w:color w:val="auto"/>
          <w:sz w:val="24"/>
          <w:szCs w:val="24"/>
        </w:rPr>
        <w:t>No bloco cirúrgico, o Percentual de Suspensão de Cirurgias Eletivas atingiu 0,36%, e o Percentual de cirurgias eletivas com TMAT expirado para o segundo ano alcançou 3,35%, bem abaixo do limite contratual de 25%, evidenciando o adequado manejo das filas de espera.</w:t>
      </w:r>
      <w:bookmarkEnd w:id="38"/>
      <w:bookmarkEnd w:id="39"/>
    </w:p>
    <w:p w14:paraId="4F9AE83D" w14:textId="58ABAF3B" w:rsidR="005F7585" w:rsidRPr="009B221E" w:rsidRDefault="005F7585" w:rsidP="007F0CD7">
      <w:pPr>
        <w:pStyle w:val="Ttulo1"/>
        <w:spacing w:after="218"/>
        <w:jc w:val="both"/>
        <w:rPr>
          <w:rFonts w:cstheme="minorBidi"/>
          <w:b w:val="0"/>
          <w:color w:val="auto"/>
          <w:sz w:val="24"/>
          <w:szCs w:val="24"/>
        </w:rPr>
      </w:pPr>
      <w:bookmarkStart w:id="40" w:name="_Toc234254703"/>
      <w:bookmarkStart w:id="41" w:name="_Toc234260336"/>
      <w:r w:rsidRPr="009B221E">
        <w:rPr>
          <w:rFonts w:cstheme="minorBidi"/>
          <w:b w:val="0"/>
          <w:color w:val="auto"/>
          <w:sz w:val="24"/>
          <w:szCs w:val="24"/>
        </w:rPr>
        <w:t>O Percentual de Ocorrência de Glosas no SIH manteve-se em patamar de excelência, fechando o mês em 0,68% (abaixo do limite contratual de ≤ 7%).</w:t>
      </w:r>
      <w:bookmarkEnd w:id="40"/>
      <w:bookmarkEnd w:id="41"/>
    </w:p>
    <w:p w14:paraId="2AEB6814" w14:textId="3990E5A1" w:rsidR="005F7585" w:rsidRPr="009B221E" w:rsidRDefault="005F7585" w:rsidP="007F0CD7">
      <w:pPr>
        <w:pStyle w:val="Ttulo1"/>
        <w:spacing w:after="218"/>
        <w:jc w:val="both"/>
        <w:rPr>
          <w:rFonts w:cstheme="minorBidi"/>
          <w:b w:val="0"/>
          <w:color w:val="auto"/>
          <w:sz w:val="24"/>
          <w:szCs w:val="24"/>
        </w:rPr>
      </w:pPr>
      <w:bookmarkStart w:id="42" w:name="_Toc234254704"/>
      <w:bookmarkStart w:id="43" w:name="_Toc234260337"/>
      <w:r w:rsidRPr="009B221E">
        <w:rPr>
          <w:rFonts w:cstheme="minorBidi"/>
          <w:b w:val="0"/>
          <w:color w:val="auto"/>
          <w:sz w:val="24"/>
          <w:szCs w:val="24"/>
        </w:rPr>
        <w:t>No campo da vigilância epidemiológica, os indicadores de DAEI digitados oportunamente (98%) e investigados oportunamente (100%) seguem em patamar de destaque, acima da meta de 80%, demonstrando a consistência dos fluxos de notificação compulsória.</w:t>
      </w:r>
      <w:bookmarkEnd w:id="42"/>
      <w:bookmarkEnd w:id="43"/>
    </w:p>
    <w:p w14:paraId="607A3C6B" w14:textId="1BA1334B" w:rsidR="005F7585" w:rsidRPr="009B221E" w:rsidRDefault="005F7585" w:rsidP="007F0CD7">
      <w:pPr>
        <w:pStyle w:val="Ttulo1"/>
        <w:spacing w:after="218"/>
        <w:jc w:val="both"/>
        <w:rPr>
          <w:rFonts w:cstheme="minorBidi"/>
          <w:b w:val="0"/>
          <w:color w:val="auto"/>
          <w:sz w:val="24"/>
          <w:szCs w:val="24"/>
        </w:rPr>
      </w:pPr>
      <w:bookmarkStart w:id="44" w:name="_Toc234254705"/>
      <w:bookmarkStart w:id="45" w:name="_Toc234260338"/>
      <w:r w:rsidRPr="009B221E">
        <w:rPr>
          <w:rFonts w:cstheme="minorBidi"/>
          <w:b w:val="0"/>
          <w:color w:val="auto"/>
          <w:sz w:val="24"/>
          <w:szCs w:val="24"/>
        </w:rPr>
        <w:t>Na esfera da assistência farmacêutica, a perda financeira por vencimento de medicamentos manteve-se dentro da meta de ≤1%, fechando em 0,22%. A taxa de aceitabilidade das intervenções farmacêuticas (94,01%) superou a meta de ≥85%, evidenciando boa interlocução entre a farmácia clínica e as equipes assistenciais. A taxa de acurácia do estoque (94,97%) aproximou-se significativamente da meta (≥ 95%), seguindo em monitoramento contínuo com ações em andamento para sua plena adequação ao parâmetro contratual.</w:t>
      </w:r>
      <w:bookmarkEnd w:id="44"/>
      <w:bookmarkEnd w:id="45"/>
    </w:p>
    <w:p w14:paraId="3D086400" w14:textId="4C6CC5B6" w:rsidR="003C07F0" w:rsidRPr="009B221E" w:rsidRDefault="005F7585" w:rsidP="009B221E">
      <w:pPr>
        <w:pStyle w:val="Ttulo1"/>
        <w:spacing w:after="218"/>
        <w:ind w:left="0" w:firstLine="0"/>
        <w:rPr>
          <w:color w:val="auto"/>
        </w:rPr>
      </w:pPr>
      <w:bookmarkStart w:id="46" w:name="_Toc234254706"/>
      <w:bookmarkStart w:id="47" w:name="_Toc234260339"/>
      <w:r w:rsidRPr="009B221E">
        <w:rPr>
          <w:rFonts w:cstheme="minorBidi"/>
          <w:b w:val="0"/>
          <w:color w:val="auto"/>
          <w:sz w:val="24"/>
          <w:szCs w:val="24"/>
        </w:rPr>
        <w:lastRenderedPageBreak/>
        <w:t>Por fim, o indicador de exames de imagem com resultado em até 10 dias alcançou 100%, ultrapassando expressivamente a meta de ≥70% e refletindo a agilidade do serviço de diagnóstico por imagem no suporte às equipes assistenciais.</w:t>
      </w:r>
      <w:bookmarkEnd w:id="46"/>
      <w:bookmarkEnd w:id="47"/>
    </w:p>
    <w:p w14:paraId="2730FA97" w14:textId="77777777" w:rsidR="00A4224E" w:rsidRPr="00DE5669" w:rsidRDefault="00EE0FC9">
      <w:pPr>
        <w:pStyle w:val="Ttulo1"/>
        <w:spacing w:after="218"/>
        <w:ind w:left="-5"/>
      </w:pPr>
      <w:bookmarkStart w:id="48" w:name="_Toc234260340"/>
      <w:r w:rsidRPr="00DE5669">
        <w:t>5. Indicadores Financeiros</w:t>
      </w:r>
      <w:bookmarkEnd w:id="48"/>
      <w:r w:rsidRPr="00DE5669">
        <w:t xml:space="preserve"> </w:t>
      </w:r>
    </w:p>
    <w:p w14:paraId="1D0A43B5" w14:textId="77777777" w:rsidR="00A4224E" w:rsidRPr="00DE5669" w:rsidRDefault="00EE0FC9">
      <w:pPr>
        <w:spacing w:after="135"/>
        <w:ind w:hanging="10"/>
        <w:rPr>
          <w:rFonts w:cs="Arial"/>
        </w:rPr>
      </w:pPr>
      <w:r w:rsidRPr="00DE5669">
        <w:rPr>
          <w:rFonts w:cs="Arial"/>
          <w:b/>
          <w:color w:val="2E75B6"/>
          <w:sz w:val="28"/>
        </w:rPr>
        <w:t xml:space="preserve">5.1. Análise Contábil – SIPEF </w:t>
      </w:r>
    </w:p>
    <w:p w14:paraId="4428597C" w14:textId="77777777" w:rsidR="00542DD5" w:rsidRDefault="00542DD5" w:rsidP="006354D6">
      <w:pPr>
        <w:spacing w:after="135"/>
        <w:ind w:left="0"/>
        <w:rPr>
          <w:rFonts w:cs="Arial"/>
          <w:color w:val="auto"/>
        </w:rPr>
      </w:pPr>
      <w:r w:rsidRPr="00542DD5">
        <w:rPr>
          <w:rFonts w:cs="Arial"/>
          <w:color w:val="auto"/>
        </w:rPr>
        <w:t xml:space="preserve">O procedimento de envio mensal do Kit contábil foi realizado conforme os prazos estabelecidos de prestação de contas, e os documentos disponibilizados foram: </w:t>
      </w:r>
    </w:p>
    <w:p w14:paraId="546D6BD8" w14:textId="3E81B2FD" w:rsidR="00542DD5" w:rsidRPr="00EA2F7A" w:rsidRDefault="00542DD5" w:rsidP="00783326">
      <w:pPr>
        <w:pStyle w:val="PargrafodaLista"/>
        <w:numPr>
          <w:ilvl w:val="0"/>
          <w:numId w:val="21"/>
        </w:numPr>
        <w:spacing w:after="135"/>
        <w:rPr>
          <w:rFonts w:cs="Arial"/>
          <w:color w:val="auto"/>
        </w:rPr>
      </w:pPr>
      <w:r w:rsidRPr="00EA2F7A">
        <w:rPr>
          <w:rFonts w:cs="Arial"/>
          <w:color w:val="auto"/>
        </w:rPr>
        <w:t xml:space="preserve">Balancete; </w:t>
      </w:r>
    </w:p>
    <w:p w14:paraId="173F8910" w14:textId="7A69AA00" w:rsidR="00542DD5" w:rsidRPr="00EA2F7A" w:rsidRDefault="00542DD5" w:rsidP="00783326">
      <w:pPr>
        <w:pStyle w:val="PargrafodaLista"/>
        <w:numPr>
          <w:ilvl w:val="0"/>
          <w:numId w:val="21"/>
        </w:numPr>
        <w:spacing w:after="135"/>
        <w:rPr>
          <w:rFonts w:cs="Arial"/>
          <w:color w:val="auto"/>
        </w:rPr>
      </w:pPr>
      <w:r w:rsidRPr="00EA2F7A">
        <w:rPr>
          <w:rFonts w:cs="Arial"/>
          <w:color w:val="auto"/>
        </w:rPr>
        <w:t xml:space="preserve">DRE; </w:t>
      </w:r>
    </w:p>
    <w:p w14:paraId="1BC4B518" w14:textId="5CD7D6EA" w:rsidR="2D4DE0FB" w:rsidRPr="00EA2F7A" w:rsidRDefault="562ED5F8" w:rsidP="00783326">
      <w:pPr>
        <w:pStyle w:val="PargrafodaLista"/>
        <w:numPr>
          <w:ilvl w:val="0"/>
          <w:numId w:val="21"/>
        </w:numPr>
        <w:spacing w:after="135"/>
        <w:jc w:val="left"/>
        <w:rPr>
          <w:rFonts w:cs="Arial"/>
          <w:color w:val="auto"/>
        </w:rPr>
      </w:pPr>
      <w:r w:rsidRPr="188B0E26">
        <w:rPr>
          <w:rFonts w:cs="Arial"/>
          <w:color w:val="auto"/>
        </w:rPr>
        <w:t>Balanço;</w:t>
      </w:r>
    </w:p>
    <w:p w14:paraId="2AA7BE67" w14:textId="2E093E1B" w:rsidR="2D4DE0FB" w:rsidRPr="00DE5669" w:rsidRDefault="2D4DE0FB" w:rsidP="188B0E26">
      <w:pPr>
        <w:spacing w:after="135"/>
        <w:jc w:val="left"/>
        <w:rPr>
          <w:rFonts w:cs="Arial"/>
          <w:color w:val="auto"/>
        </w:rPr>
      </w:pPr>
    </w:p>
    <w:p w14:paraId="737808FB" w14:textId="5F74F4BD" w:rsidR="2D4DE0FB" w:rsidRPr="00DE5669" w:rsidRDefault="6F613656" w:rsidP="188B0E26">
      <w:pPr>
        <w:spacing w:after="135"/>
        <w:jc w:val="left"/>
      </w:pPr>
      <w:r>
        <w:rPr>
          <w:noProof/>
        </w:rPr>
        <w:drawing>
          <wp:inline distT="0" distB="0" distL="0" distR="0" wp14:anchorId="226AE718" wp14:editId="0DE8E700">
            <wp:extent cx="5743575" cy="3095625"/>
            <wp:effectExtent l="0" t="0" r="0" b="0"/>
            <wp:docPr id="1214604553" name="Imagem 1214604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604553" name="Picture 1214604553"/>
                    <pic:cNvPicPr/>
                  </pic:nvPicPr>
                  <pic:blipFill>
                    <a:blip r:embed="rId18">
                      <a:extLst>
                        <a:ext uri="{28A0092B-C50C-407E-A947-70E740481C1C}">
                          <a14:useLocalDpi xmlns:a14="http://schemas.microsoft.com/office/drawing/2010/main"/>
                        </a:ext>
                      </a:extLst>
                    </a:blip>
                    <a:stretch>
                      <a:fillRect/>
                    </a:stretch>
                  </pic:blipFill>
                  <pic:spPr>
                    <a:xfrm>
                      <a:off x="0" y="0"/>
                      <a:ext cx="5743575" cy="3095625"/>
                    </a:xfrm>
                    <a:prstGeom prst="rect">
                      <a:avLst/>
                    </a:prstGeom>
                  </pic:spPr>
                </pic:pic>
              </a:graphicData>
            </a:graphic>
          </wp:inline>
        </w:drawing>
      </w:r>
    </w:p>
    <w:p w14:paraId="059D276A" w14:textId="77777777" w:rsidR="188B0E26" w:rsidRDefault="188B0E26" w:rsidP="003C07F0">
      <w:pPr>
        <w:spacing w:after="135"/>
        <w:ind w:left="0"/>
        <w:rPr>
          <w:rFonts w:cs="Arial"/>
          <w:b/>
          <w:color w:val="2E75B6"/>
          <w:sz w:val="28"/>
          <w:szCs w:val="28"/>
        </w:rPr>
      </w:pPr>
    </w:p>
    <w:p w14:paraId="54D13373" w14:textId="77777777" w:rsidR="007F0CD7" w:rsidRDefault="007F0CD7" w:rsidP="003C07F0">
      <w:pPr>
        <w:spacing w:after="135"/>
        <w:ind w:left="0"/>
        <w:rPr>
          <w:rFonts w:cs="Arial"/>
          <w:b/>
          <w:color w:val="2E75B6"/>
          <w:sz w:val="28"/>
          <w:szCs w:val="28"/>
        </w:rPr>
      </w:pPr>
    </w:p>
    <w:p w14:paraId="1798D5B6" w14:textId="77777777" w:rsidR="007F0CD7" w:rsidRDefault="007F0CD7" w:rsidP="003C07F0">
      <w:pPr>
        <w:spacing w:after="135"/>
        <w:ind w:left="0"/>
        <w:rPr>
          <w:rFonts w:cs="Arial"/>
          <w:b/>
          <w:color w:val="2E75B6"/>
          <w:sz w:val="28"/>
          <w:szCs w:val="28"/>
        </w:rPr>
      </w:pPr>
    </w:p>
    <w:p w14:paraId="319CAB56" w14:textId="77777777" w:rsidR="007F0CD7" w:rsidRDefault="007F0CD7" w:rsidP="003C07F0">
      <w:pPr>
        <w:spacing w:after="135"/>
        <w:ind w:left="0"/>
        <w:rPr>
          <w:rFonts w:cs="Arial"/>
          <w:b/>
          <w:color w:val="2E75B6"/>
          <w:sz w:val="28"/>
          <w:szCs w:val="28"/>
        </w:rPr>
      </w:pPr>
    </w:p>
    <w:p w14:paraId="7771320A" w14:textId="77777777" w:rsidR="007F0CD7" w:rsidRDefault="007F0CD7" w:rsidP="003C07F0">
      <w:pPr>
        <w:spacing w:after="135"/>
        <w:ind w:left="0"/>
        <w:rPr>
          <w:rFonts w:cs="Arial"/>
          <w:b/>
          <w:color w:val="2E75B6"/>
          <w:sz w:val="28"/>
          <w:szCs w:val="28"/>
        </w:rPr>
      </w:pPr>
    </w:p>
    <w:p w14:paraId="3F568BC1" w14:textId="77777777" w:rsidR="007C2730" w:rsidRPr="0046132F" w:rsidRDefault="4ECE7152" w:rsidP="003C07F0">
      <w:pPr>
        <w:spacing w:after="135"/>
        <w:ind w:left="0"/>
        <w:rPr>
          <w:rFonts w:cs="Arial"/>
          <w:b/>
          <w:color w:val="2E75B6"/>
          <w:sz w:val="28"/>
          <w:szCs w:val="28"/>
        </w:rPr>
      </w:pPr>
      <w:r w:rsidRPr="188B0E26">
        <w:rPr>
          <w:rFonts w:cs="Arial"/>
          <w:b/>
          <w:bCs/>
          <w:color w:val="2E75B6"/>
          <w:sz w:val="28"/>
          <w:szCs w:val="28"/>
        </w:rPr>
        <w:lastRenderedPageBreak/>
        <w:t xml:space="preserve">5.2. Relatório Econômico – DRE </w:t>
      </w:r>
    </w:p>
    <w:p w14:paraId="503B4725" w14:textId="177F4BE0" w:rsidR="188B0E26" w:rsidRDefault="0396C764" w:rsidP="188B0E26">
      <w:pPr>
        <w:spacing w:after="135"/>
        <w:ind w:hanging="10"/>
      </w:pPr>
      <w:r>
        <w:rPr>
          <w:noProof/>
        </w:rPr>
        <w:drawing>
          <wp:inline distT="0" distB="0" distL="0" distR="0" wp14:anchorId="217E5AD3" wp14:editId="4B087D49">
            <wp:extent cx="3629531" cy="5239481"/>
            <wp:effectExtent l="0" t="0" r="0" b="0"/>
            <wp:docPr id="407398229" name="Imagem 407398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398229" name="Picture 407398229"/>
                    <pic:cNvPicPr/>
                  </pic:nvPicPr>
                  <pic:blipFill>
                    <a:blip r:embed="rId19">
                      <a:extLst>
                        <a:ext uri="{28A0092B-C50C-407E-A947-70E740481C1C}">
                          <a14:useLocalDpi xmlns:a14="http://schemas.microsoft.com/office/drawing/2010/main"/>
                        </a:ext>
                      </a:extLst>
                    </a:blip>
                    <a:stretch>
                      <a:fillRect/>
                    </a:stretch>
                  </pic:blipFill>
                  <pic:spPr>
                    <a:xfrm>
                      <a:off x="0" y="0"/>
                      <a:ext cx="3629531" cy="5239481"/>
                    </a:xfrm>
                    <a:prstGeom prst="rect">
                      <a:avLst/>
                    </a:prstGeom>
                  </pic:spPr>
                </pic:pic>
              </a:graphicData>
            </a:graphic>
          </wp:inline>
        </w:drawing>
      </w:r>
    </w:p>
    <w:p w14:paraId="6D00BB7F" w14:textId="4ADD0351" w:rsidR="00E96D50" w:rsidRDefault="00154128" w:rsidP="006354D6">
      <w:pPr>
        <w:spacing w:after="135"/>
        <w:ind w:hanging="10"/>
        <w:rPr>
          <w:rFonts w:cs="Arial"/>
        </w:rPr>
      </w:pPr>
      <w:r w:rsidRPr="00154128">
        <w:rPr>
          <w:rFonts w:cs="Arial"/>
        </w:rPr>
        <w:t xml:space="preserve">No mês de </w:t>
      </w:r>
      <w:r w:rsidR="0064136E">
        <w:rPr>
          <w:rFonts w:cs="Arial"/>
        </w:rPr>
        <w:t>junho</w:t>
      </w:r>
      <w:r w:rsidRPr="00154128">
        <w:rPr>
          <w:rFonts w:cs="Arial"/>
        </w:rPr>
        <w:t>/26, podemos destacar os seguintes resultados:</w:t>
      </w:r>
    </w:p>
    <w:p w14:paraId="577E052B" w14:textId="784D479B" w:rsidR="00E96D50" w:rsidRPr="00EA2F7A" w:rsidRDefault="513011FC" w:rsidP="00783326">
      <w:pPr>
        <w:pStyle w:val="PargrafodaLista"/>
        <w:numPr>
          <w:ilvl w:val="0"/>
          <w:numId w:val="20"/>
        </w:numPr>
        <w:spacing w:after="135"/>
        <w:rPr>
          <w:rFonts w:cs="Arial"/>
        </w:rPr>
      </w:pPr>
      <w:r w:rsidRPr="188B0E26">
        <w:rPr>
          <w:rFonts w:cs="Arial"/>
        </w:rPr>
        <w:t>Repasse Operacional totalizou R$ 2</w:t>
      </w:r>
      <w:r w:rsidR="72C5D21A" w:rsidRPr="188B0E26">
        <w:rPr>
          <w:rFonts w:cs="Arial"/>
        </w:rPr>
        <w:t>3</w:t>
      </w:r>
      <w:r w:rsidRPr="188B0E26">
        <w:rPr>
          <w:rFonts w:cs="Arial"/>
        </w:rPr>
        <w:t>,</w:t>
      </w:r>
      <w:r w:rsidR="18AE4049" w:rsidRPr="188B0E26">
        <w:rPr>
          <w:rFonts w:cs="Arial"/>
        </w:rPr>
        <w:t>4</w:t>
      </w:r>
      <w:r w:rsidRPr="188B0E26">
        <w:rPr>
          <w:rFonts w:cs="Arial"/>
        </w:rPr>
        <w:t>MM;</w:t>
      </w:r>
    </w:p>
    <w:p w14:paraId="400E83DB" w14:textId="4633EDBA" w:rsidR="00984538" w:rsidRPr="00EA2F7A" w:rsidRDefault="513011FC" w:rsidP="00783326">
      <w:pPr>
        <w:pStyle w:val="PargrafodaLista"/>
        <w:numPr>
          <w:ilvl w:val="0"/>
          <w:numId w:val="20"/>
        </w:numPr>
        <w:spacing w:after="135"/>
        <w:rPr>
          <w:rFonts w:cs="Arial"/>
        </w:rPr>
      </w:pPr>
      <w:r w:rsidRPr="188B0E26">
        <w:rPr>
          <w:rFonts w:cs="Arial"/>
        </w:rPr>
        <w:t xml:space="preserve">As Despesas Operacionais totalizaram R$ </w:t>
      </w:r>
      <w:r w:rsidR="4D3B7DB9" w:rsidRPr="188B0E26">
        <w:rPr>
          <w:rFonts w:cs="Arial"/>
        </w:rPr>
        <w:t>29,3</w:t>
      </w:r>
      <w:r w:rsidRPr="188B0E26">
        <w:rPr>
          <w:rFonts w:cs="Arial"/>
        </w:rPr>
        <w:t>MM, tendo como principais custos mão de obra (R$1</w:t>
      </w:r>
      <w:r w:rsidR="766A34B7" w:rsidRPr="188B0E26">
        <w:rPr>
          <w:rFonts w:cs="Arial"/>
        </w:rPr>
        <w:t>6,9</w:t>
      </w:r>
      <w:r w:rsidRPr="188B0E26">
        <w:rPr>
          <w:rFonts w:cs="Arial"/>
        </w:rPr>
        <w:t xml:space="preserve">MM), serviços fixos (R$ </w:t>
      </w:r>
      <w:r w:rsidR="7AB80A9D" w:rsidRPr="188B0E26">
        <w:rPr>
          <w:rFonts w:cs="Arial"/>
        </w:rPr>
        <w:t>3,2</w:t>
      </w:r>
      <w:r w:rsidRPr="188B0E26">
        <w:rPr>
          <w:rFonts w:cs="Arial"/>
        </w:rPr>
        <w:t xml:space="preserve">MM) e materiais e medicamentos (R$ </w:t>
      </w:r>
      <w:r w:rsidR="5C4D886F" w:rsidRPr="188B0E26">
        <w:rPr>
          <w:rFonts w:cs="Arial"/>
        </w:rPr>
        <w:t>5,0</w:t>
      </w:r>
      <w:r w:rsidRPr="188B0E26">
        <w:rPr>
          <w:rFonts w:cs="Arial"/>
        </w:rPr>
        <w:t xml:space="preserve">MM); </w:t>
      </w:r>
    </w:p>
    <w:p w14:paraId="013F7416" w14:textId="69AC2C38" w:rsidR="00984538" w:rsidRPr="00EA2F7A" w:rsidRDefault="00154128" w:rsidP="00783326">
      <w:pPr>
        <w:pStyle w:val="PargrafodaLista"/>
        <w:numPr>
          <w:ilvl w:val="0"/>
          <w:numId w:val="20"/>
        </w:numPr>
        <w:spacing w:after="135"/>
        <w:rPr>
          <w:rFonts w:cs="Arial"/>
        </w:rPr>
      </w:pPr>
      <w:r w:rsidRPr="00EA2F7A">
        <w:rPr>
          <w:rFonts w:cs="Arial"/>
        </w:rPr>
        <w:t xml:space="preserve">O Déficit Operacional totalizou - R$ 5,7MM; </w:t>
      </w:r>
    </w:p>
    <w:p w14:paraId="2C16C89C" w14:textId="14773FFE" w:rsidR="00984538" w:rsidRPr="00172AB2" w:rsidRDefault="513011FC" w:rsidP="00783326">
      <w:pPr>
        <w:pStyle w:val="PargrafodaLista"/>
        <w:numPr>
          <w:ilvl w:val="0"/>
          <w:numId w:val="20"/>
        </w:numPr>
        <w:spacing w:after="135"/>
        <w:rPr>
          <w:rFonts w:cs="Arial"/>
          <w:color w:val="auto"/>
        </w:rPr>
      </w:pPr>
      <w:r w:rsidRPr="188B0E26">
        <w:rPr>
          <w:rFonts w:cs="Arial"/>
        </w:rPr>
        <w:t>O Resultado Financeiro totalizou R$ 0,</w:t>
      </w:r>
      <w:r w:rsidR="7CED8836" w:rsidRPr="188B0E26">
        <w:rPr>
          <w:rFonts w:cs="Arial"/>
        </w:rPr>
        <w:t>6</w:t>
      </w:r>
      <w:r w:rsidRPr="188B0E26">
        <w:rPr>
          <w:rFonts w:cs="Arial"/>
        </w:rPr>
        <w:t xml:space="preserve">MM, relativo ao rendimento das </w:t>
      </w:r>
      <w:r w:rsidRPr="00172AB2">
        <w:rPr>
          <w:rFonts w:cs="Arial"/>
          <w:color w:val="auto"/>
        </w:rPr>
        <w:t xml:space="preserve">aplicações financeiras;   </w:t>
      </w:r>
    </w:p>
    <w:p w14:paraId="0DA1EFC5" w14:textId="4D727AFA" w:rsidR="00AB129C" w:rsidRPr="00172AB2" w:rsidRDefault="00154128" w:rsidP="00783326">
      <w:pPr>
        <w:pStyle w:val="PargrafodaLista"/>
        <w:numPr>
          <w:ilvl w:val="0"/>
          <w:numId w:val="20"/>
        </w:numPr>
        <w:spacing w:after="135"/>
        <w:rPr>
          <w:rFonts w:cs="Arial"/>
          <w:b/>
          <w:color w:val="auto"/>
          <w:sz w:val="28"/>
          <w:szCs w:val="28"/>
        </w:rPr>
      </w:pPr>
      <w:r w:rsidRPr="00172AB2">
        <w:rPr>
          <w:rFonts w:cs="Arial"/>
          <w:color w:val="auto"/>
        </w:rPr>
        <w:t>O Déficit do Exercício totalizou -R$ 5,3MM;</w:t>
      </w:r>
    </w:p>
    <w:p w14:paraId="668C07EA" w14:textId="62FF974D" w:rsidR="0046132F" w:rsidRPr="007F0CD7" w:rsidRDefault="0046132F" w:rsidP="0046132F">
      <w:pPr>
        <w:spacing w:after="135"/>
        <w:ind w:left="0"/>
        <w:rPr>
          <w:rFonts w:cs="Arial"/>
          <w:bCs/>
          <w:color w:val="auto"/>
        </w:rPr>
      </w:pPr>
      <w:r w:rsidRPr="007F0CD7">
        <w:rPr>
          <w:rFonts w:cs="Arial"/>
          <w:bCs/>
          <w:color w:val="auto"/>
        </w:rPr>
        <w:lastRenderedPageBreak/>
        <w:t>Observação: dados de junho/26 ainda não disponíveis, por conta do processo de fechamento contábil, com previsão de finalização no quinto dia útil de cada mês.</w:t>
      </w:r>
    </w:p>
    <w:p w14:paraId="4CBE0CF6" w14:textId="77777777" w:rsidR="0046132F" w:rsidRPr="0046132F" w:rsidRDefault="0046132F" w:rsidP="0046132F">
      <w:pPr>
        <w:spacing w:after="135"/>
        <w:ind w:left="0"/>
        <w:rPr>
          <w:rFonts w:cs="Arial"/>
          <w:b/>
          <w:color w:val="auto"/>
          <w:sz w:val="28"/>
          <w:szCs w:val="28"/>
        </w:rPr>
      </w:pPr>
    </w:p>
    <w:p w14:paraId="5EE7F30A" w14:textId="25E930F4" w:rsidR="00A4224E" w:rsidRPr="00DE5669" w:rsidRDefault="6E5C5754" w:rsidP="188B0E26">
      <w:pPr>
        <w:spacing w:after="135"/>
        <w:ind w:left="-15"/>
        <w:rPr>
          <w:rFonts w:cs="Arial"/>
        </w:rPr>
      </w:pPr>
      <w:r w:rsidRPr="188B0E26">
        <w:rPr>
          <w:rFonts w:cs="Arial"/>
          <w:b/>
          <w:bCs/>
          <w:color w:val="2E75B6"/>
          <w:sz w:val="28"/>
          <w:szCs w:val="28"/>
        </w:rPr>
        <w:t xml:space="preserve">5.3. Relatório Financeiro – Fluxo de Caixa </w:t>
      </w:r>
    </w:p>
    <w:p w14:paraId="2FF5C609" w14:textId="0D8D5191" w:rsidR="659F5108" w:rsidRDefault="659F5108" w:rsidP="3527D8AF">
      <w:pPr>
        <w:spacing w:after="0"/>
        <w:rPr>
          <w:rFonts w:cs="Arial"/>
          <w:b/>
          <w:bCs/>
        </w:rPr>
      </w:pPr>
      <w:r w:rsidRPr="00DE5669">
        <w:rPr>
          <w:rFonts w:cs="Arial"/>
          <w:b/>
          <w:bCs/>
        </w:rPr>
        <w:t>Posição de Caixa:</w:t>
      </w:r>
    </w:p>
    <w:p w14:paraId="7BD1A86E" w14:textId="77777777" w:rsidR="00CB3CA3" w:rsidRDefault="00CB3CA3" w:rsidP="3527D8AF">
      <w:pPr>
        <w:spacing w:after="0"/>
        <w:rPr>
          <w:rFonts w:cs="Arial"/>
          <w:b/>
          <w:bCs/>
        </w:rPr>
      </w:pPr>
    </w:p>
    <w:p w14:paraId="26F6C51C" w14:textId="7B243315" w:rsidR="00080BA1" w:rsidRPr="00DE5669" w:rsidRDefault="00080BA1" w:rsidP="3527D8AF">
      <w:pPr>
        <w:spacing w:after="0"/>
        <w:rPr>
          <w:rFonts w:cs="Arial"/>
        </w:rPr>
      </w:pPr>
    </w:p>
    <w:p w14:paraId="5F09311E" w14:textId="05CA4DBF" w:rsidR="002A3235" w:rsidRDefault="00FA1391" w:rsidP="2D4DE0FB">
      <w:pPr>
        <w:spacing w:after="0" w:line="247" w:lineRule="auto"/>
        <w:ind w:hanging="10"/>
      </w:pPr>
      <w:r w:rsidRPr="00FA1391">
        <w:rPr>
          <w:noProof/>
        </w:rPr>
        <w:drawing>
          <wp:inline distT="0" distB="0" distL="0" distR="0" wp14:anchorId="240EFD0A" wp14:editId="10C05456">
            <wp:extent cx="5741670" cy="2693670"/>
            <wp:effectExtent l="0" t="0" r="0" b="0"/>
            <wp:docPr id="103807980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41670" cy="2693670"/>
                    </a:xfrm>
                    <a:prstGeom prst="rect">
                      <a:avLst/>
                    </a:prstGeom>
                    <a:noFill/>
                    <a:ln>
                      <a:noFill/>
                    </a:ln>
                  </pic:spPr>
                </pic:pic>
              </a:graphicData>
            </a:graphic>
          </wp:inline>
        </w:drawing>
      </w:r>
    </w:p>
    <w:p w14:paraId="7332FF0E" w14:textId="77777777" w:rsidR="007B34B3" w:rsidRPr="00DE5669" w:rsidRDefault="007B34B3" w:rsidP="2D4DE0FB">
      <w:pPr>
        <w:spacing w:after="0" w:line="247" w:lineRule="auto"/>
        <w:ind w:hanging="10"/>
        <w:rPr>
          <w:rFonts w:cs="Arial"/>
          <w:b/>
          <w:bCs/>
        </w:rPr>
      </w:pPr>
    </w:p>
    <w:p w14:paraId="5988B2BB" w14:textId="1A76F9A5" w:rsidR="4128D1E0" w:rsidRDefault="4128D1E0" w:rsidP="4128D1E0">
      <w:pPr>
        <w:spacing w:after="0" w:line="247" w:lineRule="auto"/>
        <w:ind w:hanging="10"/>
        <w:rPr>
          <w:rFonts w:cs="Arial"/>
          <w:b/>
          <w:bCs/>
        </w:rPr>
      </w:pPr>
    </w:p>
    <w:p w14:paraId="4D10A9D0" w14:textId="7CFF5DDF" w:rsidR="001D6744" w:rsidRDefault="15AC607F" w:rsidP="001D6744">
      <w:pPr>
        <w:spacing w:after="0" w:line="247" w:lineRule="auto"/>
        <w:ind w:hanging="10"/>
      </w:pPr>
      <w:r>
        <w:t xml:space="preserve">No mês de </w:t>
      </w:r>
      <w:r w:rsidR="78C674ED">
        <w:t>junh</w:t>
      </w:r>
      <w:r>
        <w:t xml:space="preserve">o, as aplicações financeiras obtiveram um rendimento de R$ </w:t>
      </w:r>
      <w:r w:rsidR="0028721A" w:rsidRPr="0028721A">
        <w:t>472</w:t>
      </w:r>
      <w:r w:rsidR="0028721A">
        <w:t>.</w:t>
      </w:r>
      <w:r w:rsidR="0028721A" w:rsidRPr="0028721A">
        <w:t xml:space="preserve">619,01 </w:t>
      </w:r>
      <w:r>
        <w:t>(</w:t>
      </w:r>
      <w:r w:rsidR="009544F6" w:rsidRPr="009544F6">
        <w:t>quatrocentos</w:t>
      </w:r>
      <w:r>
        <w:t xml:space="preserve"> e </w:t>
      </w:r>
      <w:r w:rsidR="009544F6" w:rsidRPr="009544F6">
        <w:t>setenta</w:t>
      </w:r>
      <w:r>
        <w:t xml:space="preserve"> e </w:t>
      </w:r>
      <w:r w:rsidR="009544F6" w:rsidRPr="009544F6">
        <w:t xml:space="preserve">dois </w:t>
      </w:r>
      <w:r>
        <w:t xml:space="preserve">mil </w:t>
      </w:r>
      <w:r w:rsidR="009544F6" w:rsidRPr="009544F6">
        <w:t>seiscentos</w:t>
      </w:r>
      <w:r>
        <w:t xml:space="preserve"> e </w:t>
      </w:r>
      <w:r w:rsidR="009544F6" w:rsidRPr="009544F6">
        <w:t>dezenove</w:t>
      </w:r>
      <w:r>
        <w:t xml:space="preserve"> reais e </w:t>
      </w:r>
      <w:r w:rsidR="009544F6" w:rsidRPr="009544F6">
        <w:t>um centavo</w:t>
      </w:r>
      <w:r>
        <w:t>).</w:t>
      </w:r>
    </w:p>
    <w:p w14:paraId="0482401C" w14:textId="77777777" w:rsidR="001D6744" w:rsidRDefault="001D6744" w:rsidP="001D6744">
      <w:pPr>
        <w:spacing w:after="0" w:line="247" w:lineRule="auto"/>
        <w:ind w:hanging="10"/>
      </w:pPr>
    </w:p>
    <w:p w14:paraId="68A58A18" w14:textId="777ABB5A" w:rsidR="2D4DE0FB" w:rsidRPr="00DE5669" w:rsidRDefault="001D6744" w:rsidP="001D6744">
      <w:pPr>
        <w:spacing w:after="0" w:line="247" w:lineRule="auto"/>
        <w:ind w:hanging="10"/>
        <w:rPr>
          <w:rFonts w:cs="Arial"/>
          <w:b/>
          <w:bCs/>
        </w:rPr>
      </w:pPr>
      <w:r>
        <w:t xml:space="preserve">No acumulado, as aplicações financeiras obtiveram um rendimento total de R$ </w:t>
      </w:r>
      <w:r w:rsidR="009C7633" w:rsidRPr="009C7633">
        <w:t>12</w:t>
      </w:r>
      <w:r w:rsidR="009C7633">
        <w:t>.</w:t>
      </w:r>
      <w:r w:rsidR="009C7633" w:rsidRPr="009C7633">
        <w:t>300</w:t>
      </w:r>
      <w:r w:rsidR="009C7633">
        <w:t>.</w:t>
      </w:r>
      <w:r w:rsidR="009C7633" w:rsidRPr="009C7633">
        <w:t xml:space="preserve">117,97 </w:t>
      </w:r>
      <w:r>
        <w:t>(</w:t>
      </w:r>
      <w:r w:rsidR="00CB3CA3" w:rsidRPr="00CB3CA3">
        <w:t>doze</w:t>
      </w:r>
      <w:r>
        <w:t xml:space="preserve"> milhões </w:t>
      </w:r>
      <w:r w:rsidR="00CB3CA3" w:rsidRPr="00CB3CA3">
        <w:t xml:space="preserve">trezentos </w:t>
      </w:r>
      <w:r>
        <w:t xml:space="preserve">mil </w:t>
      </w:r>
      <w:r w:rsidR="00CB3CA3" w:rsidRPr="00CB3CA3">
        <w:t>cento e dezessete</w:t>
      </w:r>
      <w:r>
        <w:t xml:space="preserve"> reais e noventa e </w:t>
      </w:r>
      <w:r w:rsidR="00CB3CA3" w:rsidRPr="00CB3CA3">
        <w:t xml:space="preserve">sete </w:t>
      </w:r>
      <w:r>
        <w:t>centavos).</w:t>
      </w:r>
    </w:p>
    <w:p w14:paraId="572D4CF9" w14:textId="5DCA7A06" w:rsidR="2D4DE0FB" w:rsidRPr="00DE5669" w:rsidRDefault="2D4DE0FB" w:rsidP="2D4DE0FB">
      <w:pPr>
        <w:spacing w:after="0" w:line="247" w:lineRule="auto"/>
        <w:ind w:hanging="10"/>
        <w:rPr>
          <w:rFonts w:cs="Arial"/>
          <w:b/>
          <w:bCs/>
        </w:rPr>
      </w:pPr>
    </w:p>
    <w:p w14:paraId="521BE804" w14:textId="19595430" w:rsidR="2D4DE0FB" w:rsidRPr="00DE5669" w:rsidRDefault="2D4DE0FB" w:rsidP="2D4DE0FB">
      <w:pPr>
        <w:spacing w:after="0" w:line="247" w:lineRule="auto"/>
        <w:ind w:hanging="10"/>
        <w:rPr>
          <w:rFonts w:cs="Arial"/>
          <w:b/>
          <w:bCs/>
        </w:rPr>
      </w:pPr>
    </w:p>
    <w:p w14:paraId="3ACC424C" w14:textId="2B0D0076" w:rsidR="2D4DE0FB" w:rsidRPr="00DE5669" w:rsidRDefault="2D4DE0FB" w:rsidP="2D4DE0FB">
      <w:pPr>
        <w:spacing w:after="0" w:line="247" w:lineRule="auto"/>
        <w:ind w:hanging="10"/>
        <w:rPr>
          <w:rFonts w:cs="Arial"/>
          <w:b/>
          <w:bCs/>
        </w:rPr>
      </w:pPr>
    </w:p>
    <w:p w14:paraId="44DA95A7" w14:textId="3133949A" w:rsidR="659F5108" w:rsidRDefault="14DFA5D0" w:rsidP="1A6EC8B6">
      <w:pPr>
        <w:spacing w:after="0" w:line="247" w:lineRule="auto"/>
        <w:ind w:hanging="10"/>
      </w:pPr>
      <w:r w:rsidRPr="1A6EC8B6">
        <w:rPr>
          <w:rFonts w:cs="Arial"/>
          <w:b/>
          <w:bCs/>
        </w:rPr>
        <w:t xml:space="preserve">Fluxo de Caixa: </w:t>
      </w:r>
      <w:proofErr w:type="gramStart"/>
      <w:r w:rsidR="2E6C26B1" w:rsidRPr="1A6EC8B6">
        <w:rPr>
          <w:rFonts w:cs="Arial"/>
          <w:b/>
          <w:bCs/>
        </w:rPr>
        <w:t>Junho</w:t>
      </w:r>
      <w:proofErr w:type="gramEnd"/>
      <w:r w:rsidRPr="1A6EC8B6">
        <w:rPr>
          <w:rFonts w:cs="Arial"/>
          <w:b/>
          <w:bCs/>
        </w:rPr>
        <w:t>/2026</w:t>
      </w:r>
    </w:p>
    <w:p w14:paraId="50BA1FC8" w14:textId="37074998" w:rsidR="005333BD" w:rsidRPr="00DE5669" w:rsidRDefault="009D1B8A" w:rsidP="3527D8AF">
      <w:pPr>
        <w:rPr>
          <w:rFonts w:cs="Arial"/>
        </w:rPr>
      </w:pPr>
      <w:r>
        <w:rPr>
          <w:noProof/>
        </w:rPr>
        <w:lastRenderedPageBreak/>
        <w:drawing>
          <wp:inline distT="0" distB="0" distL="0" distR="0" wp14:anchorId="2D9F10DB" wp14:editId="7036664B">
            <wp:extent cx="7173922" cy="5523230"/>
            <wp:effectExtent l="6033" t="0" r="0" b="0"/>
            <wp:docPr id="95827040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270401" name=""/>
                    <pic:cNvPicPr/>
                  </pic:nvPicPr>
                  <pic:blipFill>
                    <a:blip r:embed="rId21"/>
                    <a:stretch>
                      <a:fillRect/>
                    </a:stretch>
                  </pic:blipFill>
                  <pic:spPr>
                    <a:xfrm rot="16200000">
                      <a:off x="0" y="0"/>
                      <a:ext cx="7210048" cy="5551043"/>
                    </a:xfrm>
                    <a:prstGeom prst="rect">
                      <a:avLst/>
                    </a:prstGeom>
                  </pic:spPr>
                </pic:pic>
              </a:graphicData>
            </a:graphic>
          </wp:inline>
        </w:drawing>
      </w:r>
    </w:p>
    <w:p w14:paraId="09B0B503" w14:textId="3F03980B" w:rsidR="00670228" w:rsidRPr="00DE5669" w:rsidRDefault="00670228" w:rsidP="3527D8AF">
      <w:pPr>
        <w:rPr>
          <w:rFonts w:cs="Arial"/>
        </w:rPr>
      </w:pPr>
      <w:r>
        <w:rPr>
          <w:noProof/>
        </w:rPr>
        <w:lastRenderedPageBreak/>
        <w:drawing>
          <wp:inline distT="0" distB="0" distL="0" distR="0" wp14:anchorId="07ECBCEF" wp14:editId="1FC16B3B">
            <wp:extent cx="7689854" cy="5519736"/>
            <wp:effectExtent l="0" t="635" r="5715" b="5715"/>
            <wp:docPr id="125881891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818914" name=""/>
                    <pic:cNvPicPr/>
                  </pic:nvPicPr>
                  <pic:blipFill>
                    <a:blip r:embed="rId22"/>
                    <a:stretch>
                      <a:fillRect/>
                    </a:stretch>
                  </pic:blipFill>
                  <pic:spPr>
                    <a:xfrm rot="16200000">
                      <a:off x="0" y="0"/>
                      <a:ext cx="7716844" cy="5539109"/>
                    </a:xfrm>
                    <a:prstGeom prst="rect">
                      <a:avLst/>
                    </a:prstGeom>
                  </pic:spPr>
                </pic:pic>
              </a:graphicData>
            </a:graphic>
          </wp:inline>
        </w:drawing>
      </w:r>
    </w:p>
    <w:p w14:paraId="202432BA" w14:textId="77777777" w:rsidR="00A4224E" w:rsidRPr="00DE5669" w:rsidRDefault="417E8947">
      <w:pPr>
        <w:pStyle w:val="Ttulo1"/>
        <w:ind w:left="-5"/>
      </w:pPr>
      <w:bookmarkStart w:id="49" w:name="_Toc234260341"/>
      <w:r w:rsidRPr="00DE5669">
        <w:lastRenderedPageBreak/>
        <w:t>6. Impacto do Benefício Social</w:t>
      </w:r>
      <w:bookmarkEnd w:id="49"/>
      <w:r w:rsidRPr="00DE5669">
        <w:t xml:space="preserve"> </w:t>
      </w:r>
    </w:p>
    <w:p w14:paraId="434F1762" w14:textId="61914CC1" w:rsidR="00A4224E" w:rsidRPr="00DE5669" w:rsidRDefault="0C2D78B5" w:rsidP="000476DF">
      <w:pPr>
        <w:pStyle w:val="Ttulo2"/>
        <w:spacing w:before="299" w:after="299" w:line="249" w:lineRule="auto"/>
        <w:ind w:left="0" w:firstLine="0"/>
      </w:pPr>
      <w:bookmarkStart w:id="50" w:name="_Toc229241762"/>
      <w:bookmarkStart w:id="51" w:name="_Toc231974388"/>
      <w:bookmarkStart w:id="52" w:name="_Toc234260342"/>
      <w:r>
        <w:t>6.1. Certificações e Acreditações</w:t>
      </w:r>
      <w:bookmarkEnd w:id="50"/>
      <w:bookmarkEnd w:id="51"/>
      <w:bookmarkEnd w:id="52"/>
      <w:r>
        <w:t xml:space="preserve"> </w:t>
      </w:r>
    </w:p>
    <w:p w14:paraId="7CDA1330" w14:textId="7C0E8745" w:rsidR="48FDFCB9" w:rsidRDefault="7683E609" w:rsidP="65530DFB">
      <w:pPr>
        <w:spacing w:before="240" w:after="240"/>
      </w:pPr>
      <w:r w:rsidRPr="65530DFB">
        <w:rPr>
          <w:rFonts w:cs="Arial"/>
        </w:rPr>
        <w:t>A projeção para certificação da ONA no HUGO em 2027 representa uma oportunidade estratégica para consolidar a governança clínica, fortalecer a cultura de segurança do paciente e demonstrar maturidade institucional na gestão de processos assistenciais e administrativos. Considerando o perfil do hospital como referência estadual em trauma, AVC e atendimento de alta complexidade, a preparação para a acreditação deve ser conduzida de forma estruturada, progressiva e sustentável.</w:t>
      </w:r>
    </w:p>
    <w:p w14:paraId="68641D27" w14:textId="724B2DC3" w:rsidR="48FDFCB9" w:rsidRDefault="7683E609" w:rsidP="65530DFB">
      <w:pPr>
        <w:spacing w:before="240" w:after="240"/>
      </w:pPr>
      <w:r w:rsidRPr="65530DFB">
        <w:rPr>
          <w:rFonts w:cs="Arial"/>
        </w:rPr>
        <w:t xml:space="preserve">O HUGO apresenta avanços importantes desde o início da gestão, especialmente na implantação de protocolos clínicos, trilhas assistenciais, comitês de segurança, </w:t>
      </w:r>
      <w:proofErr w:type="spellStart"/>
      <w:r w:rsidRPr="65530DFB">
        <w:rPr>
          <w:rFonts w:cs="Arial"/>
        </w:rPr>
        <w:t>safety</w:t>
      </w:r>
      <w:proofErr w:type="spellEnd"/>
      <w:r w:rsidRPr="65530DFB">
        <w:rPr>
          <w:rFonts w:cs="Arial"/>
        </w:rPr>
        <w:t xml:space="preserve"> </w:t>
      </w:r>
      <w:proofErr w:type="spellStart"/>
      <w:r w:rsidRPr="65530DFB">
        <w:rPr>
          <w:rFonts w:cs="Arial"/>
        </w:rPr>
        <w:t>huddle</w:t>
      </w:r>
      <w:proofErr w:type="spellEnd"/>
      <w:r w:rsidRPr="65530DFB">
        <w:rPr>
          <w:rFonts w:cs="Arial"/>
        </w:rPr>
        <w:t>, gestão de eventos adversos, análise de causa raiz, visitas de segurança e padronização de processos críticos. Esses elementos demonstram evolução da governança assistencial e constituem base favorável para a busca da certificação.</w:t>
      </w:r>
    </w:p>
    <w:p w14:paraId="604EA631" w14:textId="0B81383A" w:rsidR="48FDFCB9" w:rsidRDefault="7683E609" w:rsidP="65530DFB">
      <w:pPr>
        <w:spacing w:before="240" w:after="240"/>
      </w:pPr>
      <w:r w:rsidRPr="65530DFB">
        <w:rPr>
          <w:rFonts w:cs="Arial"/>
        </w:rPr>
        <w:t>Entretanto, para atingir um nível adequado de maturidade até 2027, é necessário transformar iniciativas pontuais em processos institucionalizados, mensuráveis, auditáveis e sustentáveis. A certificação ONA exige não apenas a existência de protocolos e documentos, mas principalmente evidências de adesão, monitoramento sistemático, melhoria contínua e resultados assistenciais consistentes.</w:t>
      </w:r>
    </w:p>
    <w:p w14:paraId="1AA3386F" w14:textId="678C5A6C" w:rsidR="48FDFCB9" w:rsidRDefault="3D25D8A3" w:rsidP="65530DFB">
      <w:pPr>
        <w:spacing w:before="240" w:after="240"/>
      </w:pPr>
      <w:r w:rsidRPr="65530DFB">
        <w:rPr>
          <w:rFonts w:cs="Arial"/>
        </w:rPr>
        <w:t>É necessário consolidar uma estrutura de governança capaz de integrar liderança, corpo clínico, enfermagem, áreas multiprofissionais, apoio diagnóstico, administrativo e gestão de riscos. A acreditação exige clareza de papéis, responsabilidades, fluxos decisórios e acompanhamento dos resultados institucionais.</w:t>
      </w:r>
    </w:p>
    <w:p w14:paraId="3653E5AE" w14:textId="1A55A39F" w:rsidR="48FDFCB9" w:rsidRDefault="3D25D8A3" w:rsidP="65530DFB">
      <w:pPr>
        <w:spacing w:before="240" w:after="240"/>
      </w:pPr>
      <w:r w:rsidRPr="65530DFB">
        <w:rPr>
          <w:rFonts w:cs="Arial"/>
        </w:rPr>
        <w:t>Os principais pontos de atenção são:</w:t>
      </w:r>
    </w:p>
    <w:p w14:paraId="3F2F5792" w14:textId="4F813631" w:rsidR="48FDFCB9" w:rsidRDefault="3D25D8A3" w:rsidP="65530DFB">
      <w:pPr>
        <w:pStyle w:val="PargrafodaLista"/>
        <w:numPr>
          <w:ilvl w:val="0"/>
          <w:numId w:val="10"/>
        </w:numPr>
        <w:spacing w:after="0"/>
        <w:rPr>
          <w:rFonts w:cs="Arial"/>
        </w:rPr>
      </w:pPr>
      <w:r w:rsidRPr="65530DFB">
        <w:rPr>
          <w:rFonts w:cs="Arial"/>
        </w:rPr>
        <w:t>Fortalecimento dos comitês institucionais, especialmente Segurança do Paciente, Óbitos, Prontuário, Farmácia e Terapêutica, SCIH, Protocolos Clínicos e Qualidade.</w:t>
      </w:r>
    </w:p>
    <w:p w14:paraId="6599C543" w14:textId="0B5E538B" w:rsidR="48FDFCB9" w:rsidRDefault="3D25D8A3" w:rsidP="65530DFB">
      <w:pPr>
        <w:pStyle w:val="PargrafodaLista"/>
        <w:numPr>
          <w:ilvl w:val="0"/>
          <w:numId w:val="10"/>
        </w:numPr>
        <w:spacing w:after="0"/>
        <w:rPr>
          <w:rFonts w:cs="Arial"/>
        </w:rPr>
      </w:pPr>
      <w:r w:rsidRPr="65530DFB">
        <w:rPr>
          <w:rFonts w:cs="Arial"/>
        </w:rPr>
        <w:t>Padronização das reuniões de governança com atas, planos de ação, responsáveis e prazos.</w:t>
      </w:r>
    </w:p>
    <w:p w14:paraId="005A4C9F" w14:textId="573A1FEC" w:rsidR="48FDFCB9" w:rsidRDefault="3D25D8A3" w:rsidP="65530DFB">
      <w:pPr>
        <w:pStyle w:val="PargrafodaLista"/>
        <w:numPr>
          <w:ilvl w:val="0"/>
          <w:numId w:val="10"/>
        </w:numPr>
        <w:spacing w:after="0"/>
        <w:rPr>
          <w:rFonts w:cs="Arial"/>
        </w:rPr>
      </w:pPr>
      <w:r w:rsidRPr="65530DFB">
        <w:rPr>
          <w:rFonts w:cs="Arial"/>
        </w:rPr>
        <w:t>Integração dos indicadores estratégicos, assistenciais e operacionais.</w:t>
      </w:r>
    </w:p>
    <w:p w14:paraId="2D72FE70" w14:textId="34BD59A1" w:rsidR="48FDFCB9" w:rsidRDefault="3D25D8A3" w:rsidP="65530DFB">
      <w:pPr>
        <w:pStyle w:val="PargrafodaLista"/>
        <w:numPr>
          <w:ilvl w:val="0"/>
          <w:numId w:val="10"/>
        </w:numPr>
        <w:spacing w:after="0"/>
        <w:rPr>
          <w:rFonts w:cs="Arial"/>
        </w:rPr>
      </w:pPr>
      <w:r w:rsidRPr="65530DFB">
        <w:rPr>
          <w:rFonts w:cs="Arial"/>
        </w:rPr>
        <w:t>Acompanhamento sistemático dos riscos institucionais pela alta liderança.</w:t>
      </w:r>
    </w:p>
    <w:p w14:paraId="5D8CB665" w14:textId="46EE586A" w:rsidR="48FDFCB9" w:rsidRDefault="3D25D8A3" w:rsidP="65530DFB">
      <w:pPr>
        <w:pStyle w:val="PargrafodaLista"/>
        <w:numPr>
          <w:ilvl w:val="0"/>
          <w:numId w:val="10"/>
        </w:numPr>
        <w:spacing w:after="0"/>
        <w:rPr>
          <w:rFonts w:cs="Arial"/>
        </w:rPr>
      </w:pPr>
      <w:r w:rsidRPr="65530DFB">
        <w:rPr>
          <w:rFonts w:cs="Arial"/>
        </w:rPr>
        <w:t>Ampliação do envolvimento médico nos protocolos e nas discussões de segurança.</w:t>
      </w:r>
    </w:p>
    <w:p w14:paraId="0694A1B9" w14:textId="56A01D8D" w:rsidR="48FDFCB9" w:rsidRDefault="3D25D8A3" w:rsidP="65530DFB">
      <w:pPr>
        <w:spacing w:before="240" w:after="240"/>
      </w:pPr>
      <w:r w:rsidRPr="65530DFB">
        <w:rPr>
          <w:rFonts w:cs="Arial"/>
        </w:rPr>
        <w:lastRenderedPageBreak/>
        <w:t xml:space="preserve">A gestão de riscos deve ser um dos pilares centrais da preparação para a ONA. O hospital já apresenta avanços relevantes, como </w:t>
      </w:r>
      <w:proofErr w:type="spellStart"/>
      <w:r w:rsidRPr="65530DFB">
        <w:rPr>
          <w:rFonts w:cs="Arial"/>
        </w:rPr>
        <w:t>safety</w:t>
      </w:r>
      <w:proofErr w:type="spellEnd"/>
      <w:r w:rsidRPr="65530DFB">
        <w:rPr>
          <w:rFonts w:cs="Arial"/>
        </w:rPr>
        <w:t xml:space="preserve"> </w:t>
      </w:r>
      <w:proofErr w:type="spellStart"/>
      <w:r w:rsidRPr="65530DFB">
        <w:rPr>
          <w:rFonts w:cs="Arial"/>
        </w:rPr>
        <w:t>huddle</w:t>
      </w:r>
      <w:proofErr w:type="spellEnd"/>
      <w:r w:rsidRPr="65530DFB">
        <w:rPr>
          <w:rFonts w:cs="Arial"/>
        </w:rPr>
        <w:t>, visitas de segurança, análise de eventos e uso de ferramentas como RCA², Ishikawa e WHAT IF. O próximo passo é garantir maior robustez, rastreabilidade e fechamento dos planos de ação.</w:t>
      </w:r>
    </w:p>
    <w:p w14:paraId="5F256891" w14:textId="728A12BC" w:rsidR="48FDFCB9" w:rsidRDefault="3D25D8A3" w:rsidP="65530DFB">
      <w:pPr>
        <w:spacing w:before="240" w:after="240"/>
      </w:pPr>
      <w:r w:rsidRPr="65530DFB">
        <w:rPr>
          <w:rFonts w:cs="Arial"/>
        </w:rPr>
        <w:t>Pontos prioritários:</w:t>
      </w:r>
    </w:p>
    <w:p w14:paraId="19BA8FBF" w14:textId="6C3BD8E1" w:rsidR="48FDFCB9" w:rsidRDefault="3D25D8A3" w:rsidP="65530DFB">
      <w:pPr>
        <w:pStyle w:val="PargrafodaLista"/>
        <w:numPr>
          <w:ilvl w:val="0"/>
          <w:numId w:val="9"/>
        </w:numPr>
        <w:spacing w:after="0"/>
        <w:rPr>
          <w:rFonts w:cs="Arial"/>
        </w:rPr>
      </w:pPr>
      <w:r w:rsidRPr="65530DFB">
        <w:rPr>
          <w:rFonts w:cs="Arial"/>
        </w:rPr>
        <w:t>Reforçar a cultura de notificação de incidentes e quase falhas.</w:t>
      </w:r>
    </w:p>
    <w:p w14:paraId="13B19687" w14:textId="317CF355" w:rsidR="48FDFCB9" w:rsidRDefault="3D25D8A3" w:rsidP="65530DFB">
      <w:pPr>
        <w:pStyle w:val="PargrafodaLista"/>
        <w:numPr>
          <w:ilvl w:val="0"/>
          <w:numId w:val="9"/>
        </w:numPr>
        <w:spacing w:after="0"/>
        <w:rPr>
          <w:rFonts w:cs="Arial"/>
        </w:rPr>
      </w:pPr>
      <w:r w:rsidRPr="65530DFB">
        <w:rPr>
          <w:rFonts w:cs="Arial"/>
        </w:rPr>
        <w:t>Reduzir subnotificação e qualificar a análise dos eventos adversos.</w:t>
      </w:r>
    </w:p>
    <w:p w14:paraId="7EEEA407" w14:textId="248340B5" w:rsidR="48FDFCB9" w:rsidRDefault="3D25D8A3" w:rsidP="65530DFB">
      <w:pPr>
        <w:pStyle w:val="PargrafodaLista"/>
        <w:numPr>
          <w:ilvl w:val="0"/>
          <w:numId w:val="9"/>
        </w:numPr>
        <w:spacing w:after="0"/>
        <w:rPr>
          <w:rFonts w:cs="Arial"/>
        </w:rPr>
      </w:pPr>
      <w:r w:rsidRPr="65530DFB">
        <w:rPr>
          <w:rFonts w:cs="Arial"/>
        </w:rPr>
        <w:t xml:space="preserve">Garantir investigação estruturada dos eventos graves, catastróficos e </w:t>
      </w:r>
      <w:proofErr w:type="spellStart"/>
      <w:r w:rsidRPr="65530DFB">
        <w:rPr>
          <w:rFonts w:cs="Arial"/>
        </w:rPr>
        <w:t>never</w:t>
      </w:r>
      <w:proofErr w:type="spellEnd"/>
      <w:r w:rsidRPr="65530DFB">
        <w:rPr>
          <w:rFonts w:cs="Arial"/>
        </w:rPr>
        <w:t xml:space="preserve"> </w:t>
      </w:r>
      <w:proofErr w:type="spellStart"/>
      <w:r w:rsidRPr="65530DFB">
        <w:rPr>
          <w:rFonts w:cs="Arial"/>
        </w:rPr>
        <w:t>events</w:t>
      </w:r>
      <w:proofErr w:type="spellEnd"/>
      <w:r w:rsidRPr="65530DFB">
        <w:rPr>
          <w:rFonts w:cs="Arial"/>
        </w:rPr>
        <w:t>.</w:t>
      </w:r>
    </w:p>
    <w:p w14:paraId="3A5E2889" w14:textId="36365B54" w:rsidR="48FDFCB9" w:rsidRDefault="3D25D8A3" w:rsidP="65530DFB">
      <w:pPr>
        <w:pStyle w:val="PargrafodaLista"/>
        <w:numPr>
          <w:ilvl w:val="0"/>
          <w:numId w:val="9"/>
        </w:numPr>
        <w:spacing w:after="0"/>
        <w:rPr>
          <w:rFonts w:cs="Arial"/>
        </w:rPr>
      </w:pPr>
      <w:r w:rsidRPr="65530DFB">
        <w:rPr>
          <w:rFonts w:cs="Arial"/>
        </w:rPr>
        <w:t>Monitorar a efetividade dos planos de ação após análise de causa raiz.</w:t>
      </w:r>
    </w:p>
    <w:p w14:paraId="4478FEC6" w14:textId="022D78A1" w:rsidR="48FDFCB9" w:rsidRDefault="3D25D8A3" w:rsidP="65530DFB">
      <w:pPr>
        <w:pStyle w:val="PargrafodaLista"/>
        <w:numPr>
          <w:ilvl w:val="0"/>
          <w:numId w:val="9"/>
        </w:numPr>
        <w:spacing w:after="0"/>
        <w:rPr>
          <w:rFonts w:cs="Arial"/>
        </w:rPr>
      </w:pPr>
      <w:r w:rsidRPr="65530DFB">
        <w:rPr>
          <w:rFonts w:cs="Arial"/>
        </w:rPr>
        <w:t>Ampliar o uso de barreiras preventivas para eventos recorrentes.</w:t>
      </w:r>
    </w:p>
    <w:p w14:paraId="41FA8664" w14:textId="240D8F2A" w:rsidR="48FDFCB9" w:rsidRDefault="3D25D8A3" w:rsidP="65530DFB">
      <w:pPr>
        <w:pStyle w:val="PargrafodaLista"/>
        <w:numPr>
          <w:ilvl w:val="0"/>
          <w:numId w:val="9"/>
        </w:numPr>
        <w:spacing w:after="0"/>
        <w:rPr>
          <w:rFonts w:cs="Arial"/>
        </w:rPr>
      </w:pPr>
      <w:r w:rsidRPr="65530DFB">
        <w:rPr>
          <w:rFonts w:cs="Arial"/>
        </w:rPr>
        <w:t xml:space="preserve">Fortalecer </w:t>
      </w:r>
      <w:proofErr w:type="spellStart"/>
      <w:r w:rsidRPr="65530DFB">
        <w:rPr>
          <w:rFonts w:cs="Arial"/>
        </w:rPr>
        <w:t>disclosure</w:t>
      </w:r>
      <w:proofErr w:type="spellEnd"/>
      <w:r w:rsidRPr="65530DFB">
        <w:rPr>
          <w:rFonts w:cs="Arial"/>
        </w:rPr>
        <w:t>, aprendizado organizacional e comunicação transparente.</w:t>
      </w:r>
    </w:p>
    <w:p w14:paraId="45EE3140" w14:textId="6FB3B750" w:rsidR="48FDFCB9" w:rsidRDefault="3D25D8A3" w:rsidP="65530DFB">
      <w:pPr>
        <w:pStyle w:val="PargrafodaLista"/>
        <w:numPr>
          <w:ilvl w:val="0"/>
          <w:numId w:val="9"/>
        </w:numPr>
        <w:spacing w:after="0"/>
        <w:rPr>
          <w:rFonts w:cs="Arial"/>
        </w:rPr>
      </w:pPr>
      <w:r w:rsidRPr="65530DFB">
        <w:rPr>
          <w:rFonts w:cs="Arial"/>
        </w:rPr>
        <w:t>Implantar matriz de risco institucional por área, processo e linha de cuidado.</w:t>
      </w:r>
    </w:p>
    <w:p w14:paraId="57F1175D" w14:textId="32150169" w:rsidR="48FDFCB9" w:rsidRDefault="3D25D8A3" w:rsidP="65530DFB">
      <w:pPr>
        <w:spacing w:before="240" w:after="240"/>
      </w:pPr>
      <w:r w:rsidRPr="65530DFB">
        <w:rPr>
          <w:rFonts w:cs="Arial"/>
        </w:rPr>
        <w:t>As metas de segurança precisam estar incorporadas à rotina assistencial, com evidências de adesão, auditorias e plano de melhoria. Para a acreditação, não basta ter campanhas ou treinamentos; é necessário demonstrar prática consistente na beira-leito.</w:t>
      </w:r>
    </w:p>
    <w:p w14:paraId="28681611" w14:textId="1EADE272" w:rsidR="48FDFCB9" w:rsidRDefault="3D25D8A3" w:rsidP="65530DFB">
      <w:pPr>
        <w:spacing w:before="240" w:after="240"/>
      </w:pPr>
      <w:r w:rsidRPr="65530DFB">
        <w:rPr>
          <w:rFonts w:cs="Arial"/>
        </w:rPr>
        <w:t>Pontos críticos:</w:t>
      </w:r>
    </w:p>
    <w:p w14:paraId="287DD457" w14:textId="4BBE6294" w:rsidR="48FDFCB9" w:rsidRDefault="3D25D8A3" w:rsidP="65530DFB">
      <w:pPr>
        <w:pStyle w:val="PargrafodaLista"/>
        <w:numPr>
          <w:ilvl w:val="0"/>
          <w:numId w:val="8"/>
        </w:numPr>
        <w:spacing w:after="0"/>
        <w:rPr>
          <w:rFonts w:cs="Arial"/>
        </w:rPr>
      </w:pPr>
      <w:r w:rsidRPr="65530DFB">
        <w:rPr>
          <w:rFonts w:cs="Arial"/>
        </w:rPr>
        <w:t>Identificação correta do paciente em todos os pontos de cuidado.</w:t>
      </w:r>
    </w:p>
    <w:p w14:paraId="18F78599" w14:textId="6D85461B" w:rsidR="48FDFCB9" w:rsidRDefault="3D25D8A3" w:rsidP="65530DFB">
      <w:pPr>
        <w:pStyle w:val="PargrafodaLista"/>
        <w:numPr>
          <w:ilvl w:val="0"/>
          <w:numId w:val="8"/>
        </w:numPr>
        <w:spacing w:after="0"/>
        <w:rPr>
          <w:rFonts w:cs="Arial"/>
        </w:rPr>
      </w:pPr>
      <w:r w:rsidRPr="65530DFB">
        <w:rPr>
          <w:rFonts w:cs="Arial"/>
        </w:rPr>
        <w:t>Comunicação efetiva entre equipes, com uso de ferramentas como SBAR e IPASS.</w:t>
      </w:r>
    </w:p>
    <w:p w14:paraId="03AE8E98" w14:textId="11DB62C7" w:rsidR="48FDFCB9" w:rsidRDefault="3D25D8A3" w:rsidP="65530DFB">
      <w:pPr>
        <w:pStyle w:val="PargrafodaLista"/>
        <w:numPr>
          <w:ilvl w:val="0"/>
          <w:numId w:val="8"/>
        </w:numPr>
        <w:spacing w:after="0"/>
        <w:rPr>
          <w:rFonts w:cs="Arial"/>
        </w:rPr>
      </w:pPr>
      <w:r w:rsidRPr="65530DFB">
        <w:rPr>
          <w:rFonts w:cs="Arial"/>
        </w:rPr>
        <w:t>Segurança na prescrição, preparo e administração de medicamentos.</w:t>
      </w:r>
    </w:p>
    <w:p w14:paraId="635C70C1" w14:textId="68EEEF15" w:rsidR="48FDFCB9" w:rsidRDefault="3D25D8A3" w:rsidP="65530DFB">
      <w:pPr>
        <w:pStyle w:val="PargrafodaLista"/>
        <w:numPr>
          <w:ilvl w:val="0"/>
          <w:numId w:val="8"/>
        </w:numPr>
        <w:spacing w:after="0"/>
        <w:rPr>
          <w:rFonts w:cs="Arial"/>
        </w:rPr>
      </w:pPr>
      <w:r w:rsidRPr="65530DFB">
        <w:rPr>
          <w:rFonts w:cs="Arial"/>
        </w:rPr>
        <w:t>Segurança cirúrgica, com checklist completo e efetivo.</w:t>
      </w:r>
    </w:p>
    <w:p w14:paraId="682332F0" w14:textId="248C080D" w:rsidR="48FDFCB9" w:rsidRDefault="3D25D8A3" w:rsidP="65530DFB">
      <w:pPr>
        <w:pStyle w:val="PargrafodaLista"/>
        <w:numPr>
          <w:ilvl w:val="0"/>
          <w:numId w:val="8"/>
        </w:numPr>
        <w:spacing w:after="0"/>
        <w:rPr>
          <w:rFonts w:cs="Arial"/>
        </w:rPr>
      </w:pPr>
      <w:r w:rsidRPr="65530DFB">
        <w:rPr>
          <w:rFonts w:cs="Arial"/>
        </w:rPr>
        <w:t>Prevenção de infecções relacionadas à assistência à saúde.</w:t>
      </w:r>
    </w:p>
    <w:p w14:paraId="07D571CD" w14:textId="59AD06A5" w:rsidR="48FDFCB9" w:rsidRDefault="3D25D8A3" w:rsidP="65530DFB">
      <w:pPr>
        <w:pStyle w:val="PargrafodaLista"/>
        <w:numPr>
          <w:ilvl w:val="0"/>
          <w:numId w:val="8"/>
        </w:numPr>
        <w:spacing w:after="0"/>
        <w:rPr>
          <w:rFonts w:cs="Arial"/>
        </w:rPr>
      </w:pPr>
      <w:r w:rsidRPr="65530DFB">
        <w:rPr>
          <w:rFonts w:cs="Arial"/>
        </w:rPr>
        <w:t>Prevenção de quedas, lesão por pressão e eventos evitáveis.</w:t>
      </w:r>
    </w:p>
    <w:p w14:paraId="38FBFF54" w14:textId="3907E5CA" w:rsidR="48FDFCB9" w:rsidRDefault="3D25D8A3" w:rsidP="65530DFB">
      <w:pPr>
        <w:pStyle w:val="PargrafodaLista"/>
        <w:numPr>
          <w:ilvl w:val="0"/>
          <w:numId w:val="8"/>
        </w:numPr>
        <w:spacing w:after="0"/>
        <w:rPr>
          <w:rFonts w:cs="Arial"/>
        </w:rPr>
      </w:pPr>
      <w:r w:rsidRPr="65530DFB">
        <w:rPr>
          <w:rFonts w:cs="Arial"/>
        </w:rPr>
        <w:t>Monitoramento de adesão com devolutiva sistemática às lideranças.</w:t>
      </w:r>
    </w:p>
    <w:p w14:paraId="7FD5C79E" w14:textId="4497365F" w:rsidR="48FDFCB9" w:rsidRDefault="3D25D8A3" w:rsidP="65530DFB">
      <w:pPr>
        <w:spacing w:before="240" w:after="240"/>
      </w:pPr>
      <w:r w:rsidRPr="65530DFB">
        <w:rPr>
          <w:rFonts w:cs="Arial"/>
        </w:rPr>
        <w:t xml:space="preserve">A ONA exige processos documentados, atualizados, conhecidos e aplicados. Portanto, será necessário revisar e organizar a gestão documental institucional, garantindo que protocolos, políticas, </w:t>
      </w:r>
      <w:proofErr w:type="spellStart"/>
      <w:proofErr w:type="gramStart"/>
      <w:r w:rsidRPr="65530DFB">
        <w:rPr>
          <w:rFonts w:cs="Arial"/>
        </w:rPr>
        <w:t>POPs</w:t>
      </w:r>
      <w:proofErr w:type="spellEnd"/>
      <w:proofErr w:type="gramEnd"/>
      <w:r w:rsidRPr="65530DFB">
        <w:rPr>
          <w:rFonts w:cs="Arial"/>
        </w:rPr>
        <w:t>, fluxos e formulários estejam padronizados e disponíveis.</w:t>
      </w:r>
    </w:p>
    <w:p w14:paraId="73A59DDF" w14:textId="50D7638B" w:rsidR="48FDFCB9" w:rsidRDefault="3D25D8A3" w:rsidP="65530DFB">
      <w:pPr>
        <w:spacing w:before="240" w:after="240"/>
      </w:pPr>
      <w:r w:rsidRPr="65530DFB">
        <w:rPr>
          <w:rFonts w:cs="Arial"/>
        </w:rPr>
        <w:t>Pontos a serem trabalhados:</w:t>
      </w:r>
    </w:p>
    <w:p w14:paraId="41AA5A98" w14:textId="40C8A86B" w:rsidR="48FDFCB9" w:rsidRDefault="3D25D8A3" w:rsidP="65530DFB">
      <w:pPr>
        <w:pStyle w:val="PargrafodaLista"/>
        <w:numPr>
          <w:ilvl w:val="0"/>
          <w:numId w:val="7"/>
        </w:numPr>
        <w:spacing w:after="0"/>
        <w:rPr>
          <w:rFonts w:cs="Arial"/>
        </w:rPr>
      </w:pPr>
      <w:r w:rsidRPr="65530DFB">
        <w:rPr>
          <w:rFonts w:cs="Arial"/>
        </w:rPr>
        <w:lastRenderedPageBreak/>
        <w:t>Revisão de políticas institucionais prioritárias.</w:t>
      </w:r>
    </w:p>
    <w:p w14:paraId="0DBCAE3C" w14:textId="7299A620" w:rsidR="48FDFCB9" w:rsidRDefault="3D25D8A3" w:rsidP="65530DFB">
      <w:pPr>
        <w:pStyle w:val="PargrafodaLista"/>
        <w:numPr>
          <w:ilvl w:val="0"/>
          <w:numId w:val="7"/>
        </w:numPr>
        <w:spacing w:after="0"/>
        <w:rPr>
          <w:rFonts w:cs="Arial"/>
        </w:rPr>
      </w:pPr>
      <w:r w:rsidRPr="65530DFB">
        <w:rPr>
          <w:rFonts w:cs="Arial"/>
        </w:rPr>
        <w:t>Atualização de protocolos assistenciais críticos.</w:t>
      </w:r>
    </w:p>
    <w:p w14:paraId="081E037F" w14:textId="5366ECEC" w:rsidR="48FDFCB9" w:rsidRDefault="3D25D8A3" w:rsidP="65530DFB">
      <w:pPr>
        <w:pStyle w:val="PargrafodaLista"/>
        <w:numPr>
          <w:ilvl w:val="0"/>
          <w:numId w:val="7"/>
        </w:numPr>
        <w:spacing w:after="0"/>
        <w:rPr>
          <w:rFonts w:cs="Arial"/>
        </w:rPr>
      </w:pPr>
      <w:r w:rsidRPr="65530DFB">
        <w:rPr>
          <w:rFonts w:cs="Arial"/>
        </w:rPr>
        <w:t>Padronização dos fluxos operacionais por área.</w:t>
      </w:r>
    </w:p>
    <w:p w14:paraId="745BD999" w14:textId="0C96B3BF" w:rsidR="48FDFCB9" w:rsidRDefault="3D25D8A3" w:rsidP="65530DFB">
      <w:pPr>
        <w:pStyle w:val="PargrafodaLista"/>
        <w:numPr>
          <w:ilvl w:val="0"/>
          <w:numId w:val="7"/>
        </w:numPr>
        <w:spacing w:after="0"/>
        <w:rPr>
          <w:rFonts w:cs="Arial"/>
        </w:rPr>
      </w:pPr>
      <w:r w:rsidRPr="65530DFB">
        <w:rPr>
          <w:rFonts w:cs="Arial"/>
        </w:rPr>
        <w:t>Controle de versões e validade dos documentos.</w:t>
      </w:r>
    </w:p>
    <w:p w14:paraId="4D50A7C6" w14:textId="2C336AA6" w:rsidR="48FDFCB9" w:rsidRDefault="3D25D8A3" w:rsidP="65530DFB">
      <w:pPr>
        <w:pStyle w:val="PargrafodaLista"/>
        <w:numPr>
          <w:ilvl w:val="0"/>
          <w:numId w:val="7"/>
        </w:numPr>
        <w:spacing w:after="0"/>
        <w:rPr>
          <w:rFonts w:cs="Arial"/>
        </w:rPr>
      </w:pPr>
      <w:r w:rsidRPr="65530DFB">
        <w:rPr>
          <w:rFonts w:cs="Arial"/>
        </w:rPr>
        <w:t>Divulgação dos documentos para as equipes.</w:t>
      </w:r>
    </w:p>
    <w:p w14:paraId="23603351" w14:textId="785C1EB6" w:rsidR="48FDFCB9" w:rsidRDefault="3D25D8A3" w:rsidP="65530DFB">
      <w:pPr>
        <w:pStyle w:val="PargrafodaLista"/>
        <w:numPr>
          <w:ilvl w:val="0"/>
          <w:numId w:val="7"/>
        </w:numPr>
        <w:spacing w:after="0"/>
        <w:rPr>
          <w:rFonts w:cs="Arial"/>
        </w:rPr>
      </w:pPr>
      <w:r w:rsidRPr="65530DFB">
        <w:rPr>
          <w:rFonts w:cs="Arial"/>
        </w:rPr>
        <w:t>Auditoria de conhecimento e aplicação prática dos protocolos.</w:t>
      </w:r>
    </w:p>
    <w:p w14:paraId="3BE2B832" w14:textId="4B6E705A" w:rsidR="48FDFCB9" w:rsidRDefault="3D25D8A3" w:rsidP="65530DFB">
      <w:pPr>
        <w:pStyle w:val="PargrafodaLista"/>
        <w:numPr>
          <w:ilvl w:val="0"/>
          <w:numId w:val="7"/>
        </w:numPr>
        <w:spacing w:after="0"/>
        <w:rPr>
          <w:rFonts w:cs="Arial"/>
        </w:rPr>
      </w:pPr>
      <w:r w:rsidRPr="65530DFB">
        <w:rPr>
          <w:rFonts w:cs="Arial"/>
        </w:rPr>
        <w:t>Alinhamento entre o que está documentado e o que é executado na prática.</w:t>
      </w:r>
    </w:p>
    <w:p w14:paraId="724ACEA6" w14:textId="6926D0C7" w:rsidR="48FDFCB9" w:rsidRDefault="3D25D8A3" w:rsidP="65530DFB">
      <w:pPr>
        <w:spacing w:before="240" w:after="240"/>
      </w:pPr>
      <w:r w:rsidRPr="65530DFB">
        <w:rPr>
          <w:rFonts w:cs="Arial"/>
        </w:rPr>
        <w:t>Considerando o perfil assistencial do HUGO, algumas linhas de cuidado devem ser priorizadas como evidência de maturidade clínica e institucional. Trauma, AVC, sepse, dor torácica, deterioração clínica e cirurgia segura devem ser tratados como eixos estruturantes da acreditação.</w:t>
      </w:r>
    </w:p>
    <w:p w14:paraId="0F338FB2" w14:textId="669CAE6D" w:rsidR="48FDFCB9" w:rsidRDefault="3D25D8A3" w:rsidP="65530DFB">
      <w:pPr>
        <w:spacing w:before="240" w:after="240"/>
      </w:pPr>
      <w:r w:rsidRPr="65530DFB">
        <w:rPr>
          <w:rFonts w:cs="Arial"/>
        </w:rPr>
        <w:t>Pontos prioritários:</w:t>
      </w:r>
    </w:p>
    <w:p w14:paraId="58076A04" w14:textId="2C06F6E5" w:rsidR="48FDFCB9" w:rsidRDefault="3D25D8A3" w:rsidP="65530DFB">
      <w:pPr>
        <w:pStyle w:val="PargrafodaLista"/>
        <w:numPr>
          <w:ilvl w:val="0"/>
          <w:numId w:val="6"/>
        </w:numPr>
        <w:spacing w:after="0"/>
        <w:rPr>
          <w:rFonts w:cs="Arial"/>
        </w:rPr>
      </w:pPr>
      <w:r w:rsidRPr="65530DFB">
        <w:rPr>
          <w:rFonts w:cs="Arial"/>
        </w:rPr>
        <w:t>Consolidar a trilha do AVC com monitoramento do tempo porta-tomografia, porta-agulha, elegibilidade para trombólise e comunicação entre equipes.</w:t>
      </w:r>
    </w:p>
    <w:p w14:paraId="194FCA51" w14:textId="48FCA6D3" w:rsidR="48FDFCB9" w:rsidRDefault="3D25D8A3" w:rsidP="65530DFB">
      <w:pPr>
        <w:pStyle w:val="PargrafodaLista"/>
        <w:numPr>
          <w:ilvl w:val="0"/>
          <w:numId w:val="6"/>
        </w:numPr>
        <w:spacing w:after="0"/>
        <w:rPr>
          <w:rFonts w:cs="Arial"/>
        </w:rPr>
      </w:pPr>
      <w:r w:rsidRPr="65530DFB">
        <w:rPr>
          <w:rFonts w:cs="Arial"/>
        </w:rPr>
        <w:t>Fortalecer a trilha do trauma, com gatilhos claros, classificação de risco, sala de emergência, fluxo cirúrgico e articulação com imagem, UTI e centro cirúrgico.</w:t>
      </w:r>
    </w:p>
    <w:p w14:paraId="7CB1BFC1" w14:textId="0EAD427E" w:rsidR="48FDFCB9" w:rsidRDefault="3D25D8A3" w:rsidP="65530DFB">
      <w:pPr>
        <w:pStyle w:val="PargrafodaLista"/>
        <w:numPr>
          <w:ilvl w:val="0"/>
          <w:numId w:val="6"/>
        </w:numPr>
        <w:spacing w:after="0"/>
        <w:rPr>
          <w:rFonts w:cs="Arial"/>
        </w:rPr>
      </w:pPr>
      <w:r w:rsidRPr="65530DFB">
        <w:rPr>
          <w:rFonts w:cs="Arial"/>
        </w:rPr>
        <w:t>Ampliar a adesão ao protocolo de sepse, incluindo abertura precoce, coleta de lactato, antibioticoterapia oportuna e reavaliação clínica.</w:t>
      </w:r>
    </w:p>
    <w:p w14:paraId="06A89E63" w14:textId="4F95726E" w:rsidR="48FDFCB9" w:rsidRDefault="3D25D8A3" w:rsidP="65530DFB">
      <w:pPr>
        <w:pStyle w:val="PargrafodaLista"/>
        <w:numPr>
          <w:ilvl w:val="0"/>
          <w:numId w:val="6"/>
        </w:numPr>
        <w:spacing w:after="0"/>
        <w:rPr>
          <w:rFonts w:cs="Arial"/>
        </w:rPr>
      </w:pPr>
      <w:r w:rsidRPr="65530DFB">
        <w:rPr>
          <w:rFonts w:cs="Arial"/>
        </w:rPr>
        <w:t>Consolidar o protocolo de deterioração clínica com NEWS, códigos assistenciais e resposta rápida.</w:t>
      </w:r>
    </w:p>
    <w:p w14:paraId="4F8B303B" w14:textId="2AE152D9" w:rsidR="48FDFCB9" w:rsidRDefault="3D25D8A3" w:rsidP="65530DFB">
      <w:pPr>
        <w:pStyle w:val="PargrafodaLista"/>
        <w:numPr>
          <w:ilvl w:val="0"/>
          <w:numId w:val="6"/>
        </w:numPr>
        <w:spacing w:after="0"/>
        <w:rPr>
          <w:rFonts w:cs="Arial"/>
        </w:rPr>
      </w:pPr>
      <w:r w:rsidRPr="65530DFB">
        <w:rPr>
          <w:rFonts w:cs="Arial"/>
        </w:rPr>
        <w:t>Fortalecer o checklist de cirurgia segura, contagem cirúrgica, prevenção de corpo estranho retido e comunicação intraoperatória.</w:t>
      </w:r>
    </w:p>
    <w:p w14:paraId="38F2FE3C" w14:textId="236AF86F" w:rsidR="48FDFCB9" w:rsidRDefault="3D25D8A3" w:rsidP="65530DFB">
      <w:pPr>
        <w:pStyle w:val="PargrafodaLista"/>
        <w:numPr>
          <w:ilvl w:val="0"/>
          <w:numId w:val="6"/>
        </w:numPr>
        <w:spacing w:after="0"/>
        <w:rPr>
          <w:rFonts w:cs="Arial"/>
        </w:rPr>
      </w:pPr>
      <w:r w:rsidRPr="65530DFB">
        <w:rPr>
          <w:rFonts w:cs="Arial"/>
        </w:rPr>
        <w:t>Monitorar indicadores por linha de cuidado e apresentar ciclos de melhoria.</w:t>
      </w:r>
    </w:p>
    <w:p w14:paraId="34CE9558" w14:textId="17A7D52A" w:rsidR="48FDFCB9" w:rsidRDefault="3D25D8A3" w:rsidP="65530DFB">
      <w:pPr>
        <w:spacing w:before="240" w:after="240"/>
      </w:pPr>
      <w:r w:rsidRPr="65530DFB">
        <w:rPr>
          <w:rFonts w:cs="Arial"/>
        </w:rPr>
        <w:t>A certificação ONA exige consistência na execução dos processos essenciais. Portanto, devem ser priorizados os fundamentos da assistência segura, especialmente em unidades críticas e de maior risco.</w:t>
      </w:r>
    </w:p>
    <w:p w14:paraId="1E9FD620" w14:textId="4B65F06F" w:rsidR="48FDFCB9" w:rsidRDefault="3D25D8A3" w:rsidP="65530DFB">
      <w:pPr>
        <w:spacing w:before="240" w:after="240"/>
      </w:pPr>
      <w:r w:rsidRPr="65530DFB">
        <w:rPr>
          <w:rFonts w:cs="Arial"/>
        </w:rPr>
        <w:t>Pontos críticos:</w:t>
      </w:r>
    </w:p>
    <w:p w14:paraId="7DBDC818" w14:textId="3E1DFCDA" w:rsidR="48FDFCB9" w:rsidRDefault="3D25D8A3" w:rsidP="65530DFB">
      <w:pPr>
        <w:pStyle w:val="PargrafodaLista"/>
        <w:numPr>
          <w:ilvl w:val="0"/>
          <w:numId w:val="5"/>
        </w:numPr>
        <w:spacing w:after="0"/>
        <w:rPr>
          <w:rFonts w:cs="Arial"/>
        </w:rPr>
      </w:pPr>
      <w:r w:rsidRPr="65530DFB">
        <w:rPr>
          <w:rFonts w:cs="Arial"/>
        </w:rPr>
        <w:t>Registro adequado de sinais vitais.</w:t>
      </w:r>
    </w:p>
    <w:p w14:paraId="36A96310" w14:textId="4D0716D8" w:rsidR="48FDFCB9" w:rsidRDefault="3D25D8A3" w:rsidP="65530DFB">
      <w:pPr>
        <w:pStyle w:val="PargrafodaLista"/>
        <w:numPr>
          <w:ilvl w:val="0"/>
          <w:numId w:val="5"/>
        </w:numPr>
        <w:spacing w:after="0"/>
        <w:rPr>
          <w:rFonts w:cs="Arial"/>
        </w:rPr>
      </w:pPr>
      <w:r w:rsidRPr="65530DFB">
        <w:rPr>
          <w:rFonts w:cs="Arial"/>
        </w:rPr>
        <w:t>Aplicação e resposta ao NEWS.</w:t>
      </w:r>
    </w:p>
    <w:p w14:paraId="27C93144" w14:textId="2172CC88" w:rsidR="48FDFCB9" w:rsidRDefault="3D25D8A3" w:rsidP="65530DFB">
      <w:pPr>
        <w:pStyle w:val="PargrafodaLista"/>
        <w:numPr>
          <w:ilvl w:val="0"/>
          <w:numId w:val="5"/>
        </w:numPr>
        <w:spacing w:after="0"/>
        <w:rPr>
          <w:rFonts w:cs="Arial"/>
        </w:rPr>
      </w:pPr>
      <w:r w:rsidRPr="65530DFB">
        <w:rPr>
          <w:rFonts w:cs="Arial"/>
        </w:rPr>
        <w:t>Cumprimento dos protocolos de identificação.</w:t>
      </w:r>
    </w:p>
    <w:p w14:paraId="17E9FB0A" w14:textId="45065319" w:rsidR="48FDFCB9" w:rsidRDefault="3D25D8A3" w:rsidP="65530DFB">
      <w:pPr>
        <w:pStyle w:val="PargrafodaLista"/>
        <w:numPr>
          <w:ilvl w:val="0"/>
          <w:numId w:val="5"/>
        </w:numPr>
        <w:spacing w:after="0"/>
        <w:rPr>
          <w:rFonts w:cs="Arial"/>
        </w:rPr>
      </w:pPr>
      <w:r w:rsidRPr="65530DFB">
        <w:rPr>
          <w:rFonts w:cs="Arial"/>
        </w:rPr>
        <w:t>Administração segura de medicamentos.</w:t>
      </w:r>
    </w:p>
    <w:p w14:paraId="0B6C64BC" w14:textId="24A033C8" w:rsidR="48FDFCB9" w:rsidRDefault="3D25D8A3" w:rsidP="65530DFB">
      <w:pPr>
        <w:pStyle w:val="PargrafodaLista"/>
        <w:numPr>
          <w:ilvl w:val="0"/>
          <w:numId w:val="5"/>
        </w:numPr>
        <w:spacing w:after="0"/>
        <w:rPr>
          <w:rFonts w:cs="Arial"/>
        </w:rPr>
      </w:pPr>
      <w:r w:rsidRPr="65530DFB">
        <w:rPr>
          <w:rFonts w:cs="Arial"/>
        </w:rPr>
        <w:t>Prevenção de lesão por pressão.</w:t>
      </w:r>
    </w:p>
    <w:p w14:paraId="0A31CFD4" w14:textId="1F11F904" w:rsidR="48FDFCB9" w:rsidRDefault="3D25D8A3" w:rsidP="65530DFB">
      <w:pPr>
        <w:pStyle w:val="PargrafodaLista"/>
        <w:numPr>
          <w:ilvl w:val="0"/>
          <w:numId w:val="5"/>
        </w:numPr>
        <w:spacing w:after="0"/>
        <w:rPr>
          <w:rFonts w:cs="Arial"/>
        </w:rPr>
      </w:pPr>
      <w:r w:rsidRPr="65530DFB">
        <w:rPr>
          <w:rFonts w:cs="Arial"/>
        </w:rPr>
        <w:t>Prevenção de quedas.</w:t>
      </w:r>
    </w:p>
    <w:p w14:paraId="2E554AE8" w14:textId="277E2135" w:rsidR="48FDFCB9" w:rsidRDefault="3D25D8A3" w:rsidP="65530DFB">
      <w:pPr>
        <w:pStyle w:val="PargrafodaLista"/>
        <w:numPr>
          <w:ilvl w:val="0"/>
          <w:numId w:val="5"/>
        </w:numPr>
        <w:spacing w:after="0"/>
        <w:rPr>
          <w:rFonts w:cs="Arial"/>
        </w:rPr>
      </w:pPr>
      <w:r w:rsidRPr="65530DFB">
        <w:rPr>
          <w:rFonts w:cs="Arial"/>
        </w:rPr>
        <w:lastRenderedPageBreak/>
        <w:t>Precauções e isolamento.</w:t>
      </w:r>
    </w:p>
    <w:p w14:paraId="574D913E" w14:textId="7370329E" w:rsidR="48FDFCB9" w:rsidRDefault="3D25D8A3" w:rsidP="65530DFB">
      <w:pPr>
        <w:pStyle w:val="PargrafodaLista"/>
        <w:numPr>
          <w:ilvl w:val="0"/>
          <w:numId w:val="5"/>
        </w:numPr>
        <w:spacing w:after="0"/>
        <w:rPr>
          <w:rFonts w:cs="Arial"/>
        </w:rPr>
      </w:pPr>
      <w:r w:rsidRPr="65530DFB">
        <w:rPr>
          <w:rFonts w:cs="Arial"/>
        </w:rPr>
        <w:t>Higiene das mãos.</w:t>
      </w:r>
    </w:p>
    <w:p w14:paraId="0678BB85" w14:textId="1B028287" w:rsidR="48FDFCB9" w:rsidRDefault="3D25D8A3" w:rsidP="65530DFB">
      <w:pPr>
        <w:pStyle w:val="PargrafodaLista"/>
        <w:numPr>
          <w:ilvl w:val="0"/>
          <w:numId w:val="5"/>
        </w:numPr>
        <w:spacing w:after="0"/>
        <w:rPr>
          <w:rFonts w:cs="Arial"/>
        </w:rPr>
      </w:pPr>
      <w:r w:rsidRPr="65530DFB">
        <w:rPr>
          <w:rFonts w:cs="Arial"/>
        </w:rPr>
        <w:t>Plano terapêutico multiprofissional.</w:t>
      </w:r>
    </w:p>
    <w:p w14:paraId="199DF50A" w14:textId="4B7059B2" w:rsidR="48FDFCB9" w:rsidRDefault="3D25D8A3" w:rsidP="65530DFB">
      <w:pPr>
        <w:pStyle w:val="PargrafodaLista"/>
        <w:numPr>
          <w:ilvl w:val="0"/>
          <w:numId w:val="5"/>
        </w:numPr>
        <w:spacing w:after="0"/>
        <w:rPr>
          <w:rFonts w:cs="Arial"/>
        </w:rPr>
      </w:pPr>
      <w:r w:rsidRPr="65530DFB">
        <w:rPr>
          <w:rFonts w:cs="Arial"/>
        </w:rPr>
        <w:t>Evolução e registro assistencial qualificado.</w:t>
      </w:r>
    </w:p>
    <w:p w14:paraId="0030962C" w14:textId="0677D066" w:rsidR="48FDFCB9" w:rsidRDefault="3D25D8A3" w:rsidP="65530DFB">
      <w:pPr>
        <w:pStyle w:val="PargrafodaLista"/>
        <w:numPr>
          <w:ilvl w:val="0"/>
          <w:numId w:val="5"/>
        </w:numPr>
        <w:spacing w:after="0"/>
        <w:rPr>
          <w:rFonts w:cs="Arial"/>
        </w:rPr>
      </w:pPr>
      <w:r w:rsidRPr="65530DFB">
        <w:rPr>
          <w:rFonts w:cs="Arial"/>
        </w:rPr>
        <w:t>Comunicação entre turnos e transições de cuidado.</w:t>
      </w:r>
    </w:p>
    <w:p w14:paraId="68E85454" w14:textId="521A5C6E" w:rsidR="48FDFCB9" w:rsidRDefault="3D25D8A3" w:rsidP="65530DFB">
      <w:pPr>
        <w:spacing w:before="240" w:after="240"/>
      </w:pPr>
      <w:r w:rsidRPr="65530DFB">
        <w:rPr>
          <w:rFonts w:cs="Arial"/>
        </w:rPr>
        <w:t>A preparação para acreditação depende diretamente da qualificação das equipes. É necessário estruturar uma matriz de competências por função, com treinamentos obrigatórios, avaliação de aprendizagem e evidência de aplicação prática.</w:t>
      </w:r>
    </w:p>
    <w:p w14:paraId="32E86731" w14:textId="3C69C9CE" w:rsidR="48FDFCB9" w:rsidRDefault="3D25D8A3" w:rsidP="65530DFB">
      <w:pPr>
        <w:spacing w:before="240" w:after="240"/>
      </w:pPr>
      <w:r w:rsidRPr="65530DFB">
        <w:rPr>
          <w:rFonts w:cs="Arial"/>
        </w:rPr>
        <w:t>Pontos prioritários:</w:t>
      </w:r>
    </w:p>
    <w:p w14:paraId="371C00DD" w14:textId="6A1F6D9A" w:rsidR="48FDFCB9" w:rsidRDefault="3D25D8A3" w:rsidP="65530DFB">
      <w:pPr>
        <w:pStyle w:val="PargrafodaLista"/>
        <w:numPr>
          <w:ilvl w:val="0"/>
          <w:numId w:val="4"/>
        </w:numPr>
        <w:spacing w:after="0"/>
        <w:rPr>
          <w:rFonts w:cs="Arial"/>
        </w:rPr>
      </w:pPr>
      <w:r w:rsidRPr="65530DFB">
        <w:rPr>
          <w:rFonts w:cs="Arial"/>
        </w:rPr>
        <w:t>Elaborar matriz de capacitação por categoria profissional.</w:t>
      </w:r>
    </w:p>
    <w:p w14:paraId="12B85366" w14:textId="0A330D65" w:rsidR="48FDFCB9" w:rsidRDefault="3D25D8A3" w:rsidP="65530DFB">
      <w:pPr>
        <w:pStyle w:val="PargrafodaLista"/>
        <w:numPr>
          <w:ilvl w:val="0"/>
          <w:numId w:val="4"/>
        </w:numPr>
        <w:spacing w:after="0"/>
        <w:rPr>
          <w:rFonts w:cs="Arial"/>
        </w:rPr>
      </w:pPr>
      <w:r w:rsidRPr="65530DFB">
        <w:rPr>
          <w:rFonts w:cs="Arial"/>
        </w:rPr>
        <w:t>Priorizar treinamentos obrigatórios para áreas críticas.</w:t>
      </w:r>
    </w:p>
    <w:p w14:paraId="5C638897" w14:textId="44624FD1" w:rsidR="48FDFCB9" w:rsidRDefault="3D25D8A3" w:rsidP="65530DFB">
      <w:pPr>
        <w:pStyle w:val="PargrafodaLista"/>
        <w:numPr>
          <w:ilvl w:val="0"/>
          <w:numId w:val="4"/>
        </w:numPr>
        <w:spacing w:after="0"/>
        <w:rPr>
          <w:rFonts w:cs="Arial"/>
        </w:rPr>
      </w:pPr>
      <w:r w:rsidRPr="65530DFB">
        <w:rPr>
          <w:rFonts w:cs="Arial"/>
        </w:rPr>
        <w:t>Monitorar presença, desempenho e reciclagem.</w:t>
      </w:r>
    </w:p>
    <w:p w14:paraId="5FB6A9AC" w14:textId="77074E7D" w:rsidR="48FDFCB9" w:rsidRDefault="3D25D8A3" w:rsidP="65530DFB">
      <w:pPr>
        <w:pStyle w:val="PargrafodaLista"/>
        <w:numPr>
          <w:ilvl w:val="0"/>
          <w:numId w:val="4"/>
        </w:numPr>
        <w:spacing w:after="0"/>
        <w:rPr>
          <w:rFonts w:cs="Arial"/>
        </w:rPr>
      </w:pPr>
      <w:r w:rsidRPr="65530DFB">
        <w:rPr>
          <w:rFonts w:cs="Arial"/>
        </w:rPr>
        <w:t>Avaliar competência prática, não apenas participação.</w:t>
      </w:r>
    </w:p>
    <w:p w14:paraId="235CC706" w14:textId="7F8FEE68" w:rsidR="48FDFCB9" w:rsidRDefault="3D25D8A3" w:rsidP="65530DFB">
      <w:pPr>
        <w:pStyle w:val="PargrafodaLista"/>
        <w:numPr>
          <w:ilvl w:val="0"/>
          <w:numId w:val="4"/>
        </w:numPr>
        <w:spacing w:after="0"/>
        <w:rPr>
          <w:rFonts w:cs="Arial"/>
        </w:rPr>
      </w:pPr>
      <w:r w:rsidRPr="65530DFB">
        <w:rPr>
          <w:rFonts w:cs="Arial"/>
        </w:rPr>
        <w:t>Desenvolver lideranças intermediárias.</w:t>
      </w:r>
    </w:p>
    <w:p w14:paraId="3133169B" w14:textId="394F285F" w:rsidR="48FDFCB9" w:rsidRDefault="3D25D8A3" w:rsidP="65530DFB">
      <w:pPr>
        <w:pStyle w:val="PargrafodaLista"/>
        <w:numPr>
          <w:ilvl w:val="0"/>
          <w:numId w:val="4"/>
        </w:numPr>
        <w:spacing w:after="0"/>
        <w:rPr>
          <w:rFonts w:cs="Arial"/>
        </w:rPr>
      </w:pPr>
      <w:r w:rsidRPr="65530DFB">
        <w:rPr>
          <w:rFonts w:cs="Arial"/>
        </w:rPr>
        <w:t>Reduzir variabilidade entre turnos e unidades.</w:t>
      </w:r>
    </w:p>
    <w:p w14:paraId="409558B4" w14:textId="324B76DF" w:rsidR="48FDFCB9" w:rsidRDefault="3D25D8A3" w:rsidP="65530DFB">
      <w:pPr>
        <w:pStyle w:val="PargrafodaLista"/>
        <w:numPr>
          <w:ilvl w:val="0"/>
          <w:numId w:val="4"/>
        </w:numPr>
        <w:spacing w:after="0"/>
        <w:rPr>
          <w:rFonts w:cs="Arial"/>
        </w:rPr>
      </w:pPr>
      <w:r w:rsidRPr="65530DFB">
        <w:rPr>
          <w:rFonts w:cs="Arial"/>
        </w:rPr>
        <w:t>Integrar educação permanente aos resultados dos indicadores.</w:t>
      </w:r>
    </w:p>
    <w:p w14:paraId="3C77C6FA" w14:textId="19E9801F" w:rsidR="48FDFCB9" w:rsidRDefault="3D25D8A3" w:rsidP="65530DFB">
      <w:pPr>
        <w:spacing w:before="240" w:after="240"/>
      </w:pPr>
      <w:r w:rsidRPr="65530DFB">
        <w:rPr>
          <w:rFonts w:cs="Arial"/>
        </w:rPr>
        <w:t>Embora a acreditação tenha forte componente assistencial, a segurança da infraestrutura e do ambiente também deve ser trabalhada. Em um hospital de alta complexidade, falhas estruturais podem impactar diretamente o cuidado.</w:t>
      </w:r>
    </w:p>
    <w:p w14:paraId="5CB9BC0F" w14:textId="49E7961E" w:rsidR="48FDFCB9" w:rsidRDefault="3D25D8A3" w:rsidP="65530DFB">
      <w:pPr>
        <w:spacing w:before="240" w:after="240"/>
      </w:pPr>
      <w:r w:rsidRPr="65530DFB">
        <w:rPr>
          <w:rFonts w:cs="Arial"/>
        </w:rPr>
        <w:t>Pontos de atenção:</w:t>
      </w:r>
    </w:p>
    <w:p w14:paraId="50681D9A" w14:textId="056B3FCE" w:rsidR="48FDFCB9" w:rsidRDefault="3D25D8A3" w:rsidP="65530DFB">
      <w:pPr>
        <w:pStyle w:val="PargrafodaLista"/>
        <w:numPr>
          <w:ilvl w:val="0"/>
          <w:numId w:val="3"/>
        </w:numPr>
        <w:spacing w:after="0"/>
        <w:rPr>
          <w:rFonts w:cs="Arial"/>
        </w:rPr>
      </w:pPr>
      <w:r w:rsidRPr="65530DFB">
        <w:rPr>
          <w:rFonts w:cs="Arial"/>
        </w:rPr>
        <w:t>Condições físicas das unidades assistenciais.</w:t>
      </w:r>
    </w:p>
    <w:p w14:paraId="79303D5F" w14:textId="12461062" w:rsidR="48FDFCB9" w:rsidRDefault="3D25D8A3" w:rsidP="65530DFB">
      <w:pPr>
        <w:pStyle w:val="PargrafodaLista"/>
        <w:numPr>
          <w:ilvl w:val="0"/>
          <w:numId w:val="3"/>
        </w:numPr>
        <w:spacing w:after="0"/>
        <w:rPr>
          <w:rFonts w:cs="Arial"/>
        </w:rPr>
      </w:pPr>
      <w:r w:rsidRPr="65530DFB">
        <w:rPr>
          <w:rFonts w:cs="Arial"/>
        </w:rPr>
        <w:t>Segurança dos leitos, camas, macas e grades.</w:t>
      </w:r>
    </w:p>
    <w:p w14:paraId="6BD0985D" w14:textId="7A96091A" w:rsidR="48FDFCB9" w:rsidRDefault="3D25D8A3" w:rsidP="65530DFB">
      <w:pPr>
        <w:pStyle w:val="PargrafodaLista"/>
        <w:numPr>
          <w:ilvl w:val="0"/>
          <w:numId w:val="3"/>
        </w:numPr>
        <w:spacing w:after="0"/>
        <w:rPr>
          <w:rFonts w:cs="Arial"/>
        </w:rPr>
      </w:pPr>
      <w:r w:rsidRPr="65530DFB">
        <w:rPr>
          <w:rFonts w:cs="Arial"/>
        </w:rPr>
        <w:t>Sinalização institucional e identificação visual.</w:t>
      </w:r>
    </w:p>
    <w:p w14:paraId="55508863" w14:textId="2314EE90" w:rsidR="48FDFCB9" w:rsidRDefault="3D25D8A3" w:rsidP="65530DFB">
      <w:pPr>
        <w:pStyle w:val="PargrafodaLista"/>
        <w:numPr>
          <w:ilvl w:val="0"/>
          <w:numId w:val="3"/>
        </w:numPr>
        <w:spacing w:after="0"/>
        <w:rPr>
          <w:rFonts w:cs="Arial"/>
        </w:rPr>
      </w:pPr>
      <w:r w:rsidRPr="65530DFB">
        <w:rPr>
          <w:rFonts w:cs="Arial"/>
        </w:rPr>
        <w:t>Fluxos de transporte interno de pacientes.</w:t>
      </w:r>
    </w:p>
    <w:p w14:paraId="4A568BC4" w14:textId="62F3CD2E" w:rsidR="48FDFCB9" w:rsidRDefault="3D25D8A3" w:rsidP="65530DFB">
      <w:pPr>
        <w:pStyle w:val="PargrafodaLista"/>
        <w:numPr>
          <w:ilvl w:val="0"/>
          <w:numId w:val="3"/>
        </w:numPr>
        <w:spacing w:after="0"/>
        <w:rPr>
          <w:rFonts w:cs="Arial"/>
        </w:rPr>
      </w:pPr>
      <w:r w:rsidRPr="65530DFB">
        <w:rPr>
          <w:rFonts w:cs="Arial"/>
        </w:rPr>
        <w:t>Organização de salas, postos e áreas de apoio.</w:t>
      </w:r>
    </w:p>
    <w:p w14:paraId="180EB9F8" w14:textId="28C05C93" w:rsidR="48FDFCB9" w:rsidRDefault="3D25D8A3" w:rsidP="65530DFB">
      <w:pPr>
        <w:pStyle w:val="PargrafodaLista"/>
        <w:numPr>
          <w:ilvl w:val="0"/>
          <w:numId w:val="3"/>
        </w:numPr>
        <w:spacing w:after="0"/>
        <w:rPr>
          <w:rFonts w:cs="Arial"/>
        </w:rPr>
      </w:pPr>
      <w:r w:rsidRPr="65530DFB">
        <w:rPr>
          <w:rFonts w:cs="Arial"/>
        </w:rPr>
        <w:t>Controle de equipamentos críticos.</w:t>
      </w:r>
    </w:p>
    <w:p w14:paraId="50EE988B" w14:textId="227E6AD6" w:rsidR="48FDFCB9" w:rsidRDefault="3D25D8A3" w:rsidP="65530DFB">
      <w:pPr>
        <w:pStyle w:val="PargrafodaLista"/>
        <w:numPr>
          <w:ilvl w:val="0"/>
          <w:numId w:val="3"/>
        </w:numPr>
        <w:spacing w:after="0"/>
        <w:rPr>
          <w:rFonts w:cs="Arial"/>
        </w:rPr>
      </w:pPr>
      <w:r w:rsidRPr="65530DFB">
        <w:rPr>
          <w:rFonts w:cs="Arial"/>
        </w:rPr>
        <w:t>Manutenção preventiva e corretiva.</w:t>
      </w:r>
    </w:p>
    <w:p w14:paraId="1F4F67CE" w14:textId="63046C16" w:rsidR="48FDFCB9" w:rsidRDefault="3D25D8A3" w:rsidP="65530DFB">
      <w:pPr>
        <w:pStyle w:val="PargrafodaLista"/>
        <w:numPr>
          <w:ilvl w:val="0"/>
          <w:numId w:val="3"/>
        </w:numPr>
        <w:spacing w:after="0"/>
        <w:rPr>
          <w:rFonts w:cs="Arial"/>
        </w:rPr>
      </w:pPr>
      <w:r w:rsidRPr="65530DFB">
        <w:rPr>
          <w:rFonts w:cs="Arial"/>
        </w:rPr>
        <w:t>Segurança contra incêndio, rotas de fuga e planos de contingência.</w:t>
      </w:r>
    </w:p>
    <w:p w14:paraId="48A9F93F" w14:textId="43C15132" w:rsidR="48FDFCB9" w:rsidRDefault="3D25D8A3" w:rsidP="65530DFB">
      <w:pPr>
        <w:pStyle w:val="PargrafodaLista"/>
        <w:numPr>
          <w:ilvl w:val="0"/>
          <w:numId w:val="3"/>
        </w:numPr>
        <w:spacing w:after="0"/>
        <w:rPr>
          <w:rFonts w:cs="Arial"/>
        </w:rPr>
      </w:pPr>
      <w:r w:rsidRPr="65530DFB">
        <w:rPr>
          <w:rFonts w:cs="Arial"/>
        </w:rPr>
        <w:t>Gestão de resíduos e sustentabilidade.</w:t>
      </w:r>
    </w:p>
    <w:p w14:paraId="4988880D" w14:textId="2289F4ED" w:rsidR="48FDFCB9" w:rsidRDefault="3D25D8A3" w:rsidP="65530DFB">
      <w:pPr>
        <w:spacing w:before="240" w:after="240"/>
      </w:pPr>
      <w:r w:rsidRPr="65530DFB">
        <w:rPr>
          <w:rFonts w:cs="Arial"/>
        </w:rPr>
        <w:t>A qualidade do registro assistencial será um ponto crítico para a acreditação. O prontuário deve refletir o cuidado prestado, a tomada de decisão clínica e a continuidade assistencial.</w:t>
      </w:r>
    </w:p>
    <w:p w14:paraId="488F9E72" w14:textId="38A16AC4" w:rsidR="48FDFCB9" w:rsidRDefault="3D25D8A3" w:rsidP="65530DFB">
      <w:pPr>
        <w:spacing w:before="240" w:after="240"/>
      </w:pPr>
      <w:r w:rsidRPr="65530DFB">
        <w:rPr>
          <w:rFonts w:cs="Arial"/>
        </w:rPr>
        <w:lastRenderedPageBreak/>
        <w:t>Pontos prioritários:</w:t>
      </w:r>
    </w:p>
    <w:p w14:paraId="487100AF" w14:textId="7C0BD5CF" w:rsidR="48FDFCB9" w:rsidRDefault="3D25D8A3" w:rsidP="65530DFB">
      <w:pPr>
        <w:pStyle w:val="PargrafodaLista"/>
        <w:numPr>
          <w:ilvl w:val="0"/>
          <w:numId w:val="2"/>
        </w:numPr>
        <w:spacing w:after="0"/>
        <w:rPr>
          <w:rFonts w:cs="Arial"/>
        </w:rPr>
      </w:pPr>
      <w:r w:rsidRPr="65530DFB">
        <w:rPr>
          <w:rFonts w:cs="Arial"/>
        </w:rPr>
        <w:t>Melhorar completude dos registros.</w:t>
      </w:r>
    </w:p>
    <w:p w14:paraId="4499B0C1" w14:textId="2FEA6FD4" w:rsidR="48FDFCB9" w:rsidRDefault="3D25D8A3" w:rsidP="65530DFB">
      <w:pPr>
        <w:pStyle w:val="PargrafodaLista"/>
        <w:numPr>
          <w:ilvl w:val="0"/>
          <w:numId w:val="2"/>
        </w:numPr>
        <w:spacing w:after="0"/>
        <w:rPr>
          <w:rFonts w:cs="Arial"/>
        </w:rPr>
      </w:pPr>
      <w:r w:rsidRPr="65530DFB">
        <w:rPr>
          <w:rFonts w:cs="Arial"/>
        </w:rPr>
        <w:t>Padronizar evolução multiprofissional.</w:t>
      </w:r>
    </w:p>
    <w:p w14:paraId="3007ED7E" w14:textId="25258A67" w:rsidR="48FDFCB9" w:rsidRDefault="3D25D8A3" w:rsidP="65530DFB">
      <w:pPr>
        <w:pStyle w:val="PargrafodaLista"/>
        <w:numPr>
          <w:ilvl w:val="0"/>
          <w:numId w:val="2"/>
        </w:numPr>
        <w:spacing w:after="0"/>
        <w:rPr>
          <w:rFonts w:cs="Arial"/>
        </w:rPr>
      </w:pPr>
      <w:r w:rsidRPr="65530DFB">
        <w:rPr>
          <w:rFonts w:cs="Arial"/>
        </w:rPr>
        <w:t>Garantir rastreabilidade de condutas críticas.</w:t>
      </w:r>
    </w:p>
    <w:p w14:paraId="161D22E1" w14:textId="556DE013" w:rsidR="48FDFCB9" w:rsidRDefault="3D25D8A3" w:rsidP="65530DFB">
      <w:pPr>
        <w:pStyle w:val="PargrafodaLista"/>
        <w:numPr>
          <w:ilvl w:val="0"/>
          <w:numId w:val="2"/>
        </w:numPr>
        <w:spacing w:after="0"/>
        <w:rPr>
          <w:rFonts w:cs="Arial"/>
        </w:rPr>
      </w:pPr>
      <w:r w:rsidRPr="65530DFB">
        <w:rPr>
          <w:rFonts w:cs="Arial"/>
        </w:rPr>
        <w:t>Registrar aplicação de protocolos.</w:t>
      </w:r>
    </w:p>
    <w:p w14:paraId="4F8B1131" w14:textId="2B1B8806" w:rsidR="48FDFCB9" w:rsidRDefault="3D25D8A3" w:rsidP="65530DFB">
      <w:pPr>
        <w:pStyle w:val="PargrafodaLista"/>
        <w:numPr>
          <w:ilvl w:val="0"/>
          <w:numId w:val="2"/>
        </w:numPr>
        <w:spacing w:after="0"/>
        <w:rPr>
          <w:rFonts w:cs="Arial"/>
        </w:rPr>
      </w:pPr>
      <w:r w:rsidRPr="65530DFB">
        <w:rPr>
          <w:rFonts w:cs="Arial"/>
        </w:rPr>
        <w:t>Monitorar qualidade dos prontuários por auditoria.</w:t>
      </w:r>
    </w:p>
    <w:p w14:paraId="00A854AB" w14:textId="4897810E" w:rsidR="48FDFCB9" w:rsidRDefault="3D25D8A3" w:rsidP="65530DFB">
      <w:pPr>
        <w:pStyle w:val="PargrafodaLista"/>
        <w:numPr>
          <w:ilvl w:val="0"/>
          <w:numId w:val="2"/>
        </w:numPr>
        <w:spacing w:after="0"/>
        <w:rPr>
          <w:rFonts w:cs="Arial"/>
        </w:rPr>
      </w:pPr>
      <w:r w:rsidRPr="65530DFB">
        <w:rPr>
          <w:rFonts w:cs="Arial"/>
        </w:rPr>
        <w:t>Trabalhar conformidade de prescrições, checagens e evoluções.</w:t>
      </w:r>
    </w:p>
    <w:p w14:paraId="67A3E909" w14:textId="4506B234" w:rsidR="48FDFCB9" w:rsidRDefault="3D25D8A3" w:rsidP="65530DFB">
      <w:pPr>
        <w:pStyle w:val="PargrafodaLista"/>
        <w:numPr>
          <w:ilvl w:val="0"/>
          <w:numId w:val="2"/>
        </w:numPr>
        <w:spacing w:after="0"/>
        <w:rPr>
          <w:rFonts w:cs="Arial"/>
        </w:rPr>
      </w:pPr>
      <w:r w:rsidRPr="65530DFB">
        <w:rPr>
          <w:rFonts w:cs="Arial"/>
        </w:rPr>
        <w:t xml:space="preserve">Garantir documentação adequada de eventos adversos, </w:t>
      </w:r>
      <w:proofErr w:type="spellStart"/>
      <w:r w:rsidRPr="65530DFB">
        <w:rPr>
          <w:rFonts w:cs="Arial"/>
        </w:rPr>
        <w:t>disclosure</w:t>
      </w:r>
      <w:proofErr w:type="spellEnd"/>
      <w:r w:rsidRPr="65530DFB">
        <w:rPr>
          <w:rFonts w:cs="Arial"/>
        </w:rPr>
        <w:t xml:space="preserve"> e plano terapêutico.</w:t>
      </w:r>
    </w:p>
    <w:p w14:paraId="7368EF6A" w14:textId="2D9D3C6C" w:rsidR="48FDFCB9" w:rsidRDefault="3D25D8A3" w:rsidP="65530DFB">
      <w:pPr>
        <w:spacing w:before="240" w:after="240"/>
      </w:pPr>
      <w:r w:rsidRPr="65530DFB">
        <w:rPr>
          <w:rFonts w:cs="Arial"/>
        </w:rPr>
        <w:t>A projeção para certificação ONA em 2027 é factível, desde que a instituição avance da fase de implantação de iniciativas para a consolidação de um sistema de gestão integrado. O HUGO já possui importantes alicerces, como protocolos clínicos, gestão de eventos, indicadores assistenciais e ações de segurança. No entanto, o sucesso dependerá da capacidade de padronizar processos, garantir adesão das equipes, reduzir variabilidade assistencial e demonstrar resultados sustentados.</w:t>
      </w:r>
    </w:p>
    <w:p w14:paraId="7977618A" w14:textId="7DBBC19E" w:rsidR="48FDFCB9" w:rsidRDefault="3D25D8A3" w:rsidP="65530DFB">
      <w:pPr>
        <w:spacing w:before="240" w:after="240"/>
      </w:pPr>
      <w:r w:rsidRPr="65530DFB">
        <w:rPr>
          <w:rFonts w:cs="Arial"/>
        </w:rPr>
        <w:t>O maior risco para a certificação está na existência de práticas ainda dependentes de pessoas específicas, fragilidade na rastreabilidade documental, baixa adesão a processos básicos e dificuldade de fechamento dos planos de ação. Esses pontos devem ser tratados como prioridade institucional.</w:t>
      </w:r>
    </w:p>
    <w:p w14:paraId="59247684" w14:textId="7D234CDC" w:rsidR="48FDFCB9" w:rsidRDefault="3D25D8A3" w:rsidP="65530DFB">
      <w:pPr>
        <w:spacing w:before="240" w:after="240"/>
      </w:pPr>
      <w:r w:rsidRPr="65530DFB">
        <w:rPr>
          <w:rFonts w:cs="Arial"/>
        </w:rPr>
        <w:t>A acreditação deve ser compreendida não apenas como uma certificação, mas como um processo de transformação organizacional. Para o HUGO, alcançar a ONA em 2027 significará fortalecer a segurança do paciente, qualificar a gestão clínica, aumentar a confiabilidade dos processos e consolidar uma cultura institucional orientada à melhoria contínua.</w:t>
      </w:r>
    </w:p>
    <w:p w14:paraId="0307B0BA" w14:textId="46421E1F" w:rsidR="48FDFCB9" w:rsidRDefault="3D25D8A3" w:rsidP="65530DFB">
      <w:pPr>
        <w:spacing w:before="240" w:after="240"/>
      </w:pPr>
      <w:r w:rsidRPr="65530DFB">
        <w:rPr>
          <w:rFonts w:cs="Arial"/>
        </w:rPr>
        <w:t>Os principais focos para a certificação ONA no HUGO devem ser:</w:t>
      </w:r>
    </w:p>
    <w:p w14:paraId="7AD44E8D" w14:textId="68FA110E" w:rsidR="48FDFCB9" w:rsidRDefault="3D25D8A3" w:rsidP="65530DFB">
      <w:pPr>
        <w:pStyle w:val="PargrafodaLista"/>
        <w:numPr>
          <w:ilvl w:val="0"/>
          <w:numId w:val="1"/>
        </w:numPr>
        <w:spacing w:after="0"/>
        <w:rPr>
          <w:rFonts w:cs="Arial"/>
        </w:rPr>
      </w:pPr>
      <w:r w:rsidRPr="65530DFB">
        <w:rPr>
          <w:rFonts w:cs="Arial"/>
        </w:rPr>
        <w:t>Governança clínica estruturada e participativa.</w:t>
      </w:r>
    </w:p>
    <w:p w14:paraId="7109B4CF" w14:textId="4DC7CF2E" w:rsidR="48FDFCB9" w:rsidRDefault="3D25D8A3" w:rsidP="65530DFB">
      <w:pPr>
        <w:pStyle w:val="PargrafodaLista"/>
        <w:numPr>
          <w:ilvl w:val="0"/>
          <w:numId w:val="1"/>
        </w:numPr>
        <w:spacing w:after="0"/>
        <w:rPr>
          <w:rFonts w:cs="Arial"/>
        </w:rPr>
      </w:pPr>
      <w:r w:rsidRPr="65530DFB">
        <w:rPr>
          <w:rFonts w:cs="Arial"/>
        </w:rPr>
        <w:t>Gestão de riscos com planos de ação efetivos.</w:t>
      </w:r>
    </w:p>
    <w:p w14:paraId="630A4A67" w14:textId="6DF2BE03" w:rsidR="48FDFCB9" w:rsidRDefault="3D25D8A3" w:rsidP="65530DFB">
      <w:pPr>
        <w:pStyle w:val="PargrafodaLista"/>
        <w:numPr>
          <w:ilvl w:val="0"/>
          <w:numId w:val="1"/>
        </w:numPr>
        <w:spacing w:after="0"/>
        <w:rPr>
          <w:rFonts w:cs="Arial"/>
        </w:rPr>
      </w:pPr>
      <w:r w:rsidRPr="65530DFB">
        <w:rPr>
          <w:rFonts w:cs="Arial"/>
        </w:rPr>
        <w:t>Metas de segurança do paciente incorporadas à prática.</w:t>
      </w:r>
    </w:p>
    <w:p w14:paraId="4FB7F3ED" w14:textId="06C147A9" w:rsidR="48FDFCB9" w:rsidRDefault="3D25D8A3" w:rsidP="65530DFB">
      <w:pPr>
        <w:pStyle w:val="PargrafodaLista"/>
        <w:numPr>
          <w:ilvl w:val="0"/>
          <w:numId w:val="1"/>
        </w:numPr>
        <w:spacing w:after="0"/>
        <w:rPr>
          <w:rFonts w:cs="Arial"/>
        </w:rPr>
      </w:pPr>
      <w:r w:rsidRPr="65530DFB">
        <w:rPr>
          <w:rFonts w:cs="Arial"/>
        </w:rPr>
        <w:t>Protocolos clínicos prioritários monitorados por indicadores.</w:t>
      </w:r>
    </w:p>
    <w:p w14:paraId="240AFA25" w14:textId="7B1F17AB" w:rsidR="48FDFCB9" w:rsidRDefault="3D25D8A3" w:rsidP="65530DFB">
      <w:pPr>
        <w:pStyle w:val="PargrafodaLista"/>
        <w:numPr>
          <w:ilvl w:val="0"/>
          <w:numId w:val="1"/>
        </w:numPr>
        <w:spacing w:after="0"/>
        <w:rPr>
          <w:rFonts w:cs="Arial"/>
        </w:rPr>
      </w:pPr>
      <w:r w:rsidRPr="65530DFB">
        <w:rPr>
          <w:rFonts w:cs="Arial"/>
        </w:rPr>
        <w:t>Documentos institucionais atualizados e aplicados.</w:t>
      </w:r>
    </w:p>
    <w:p w14:paraId="2213651A" w14:textId="21D7014D" w:rsidR="48FDFCB9" w:rsidRDefault="3D25D8A3" w:rsidP="65530DFB">
      <w:pPr>
        <w:pStyle w:val="PargrafodaLista"/>
        <w:numPr>
          <w:ilvl w:val="0"/>
          <w:numId w:val="1"/>
        </w:numPr>
        <w:spacing w:after="0"/>
        <w:rPr>
          <w:rFonts w:cs="Arial"/>
        </w:rPr>
      </w:pPr>
      <w:r w:rsidRPr="65530DFB">
        <w:rPr>
          <w:rFonts w:cs="Arial"/>
        </w:rPr>
        <w:t>Auditorias internas regulares com devolutiva às áreas.</w:t>
      </w:r>
    </w:p>
    <w:p w14:paraId="77F05C36" w14:textId="27FA85FE" w:rsidR="48FDFCB9" w:rsidRDefault="3D25D8A3" w:rsidP="65530DFB">
      <w:pPr>
        <w:pStyle w:val="PargrafodaLista"/>
        <w:numPr>
          <w:ilvl w:val="0"/>
          <w:numId w:val="1"/>
        </w:numPr>
        <w:spacing w:after="0"/>
        <w:rPr>
          <w:rFonts w:cs="Arial"/>
        </w:rPr>
      </w:pPr>
      <w:r w:rsidRPr="65530DFB">
        <w:rPr>
          <w:rFonts w:cs="Arial"/>
        </w:rPr>
        <w:t>Indicadores analisados criticamente e vinculados à melhoria.</w:t>
      </w:r>
    </w:p>
    <w:p w14:paraId="0F1F3347" w14:textId="33889EF0" w:rsidR="48FDFCB9" w:rsidRDefault="3D25D8A3" w:rsidP="65530DFB">
      <w:pPr>
        <w:pStyle w:val="PargrafodaLista"/>
        <w:numPr>
          <w:ilvl w:val="0"/>
          <w:numId w:val="1"/>
        </w:numPr>
        <w:spacing w:after="0"/>
        <w:rPr>
          <w:rFonts w:cs="Arial"/>
        </w:rPr>
      </w:pPr>
      <w:r w:rsidRPr="65530DFB">
        <w:rPr>
          <w:rFonts w:cs="Arial"/>
        </w:rPr>
        <w:t>Cultura de segurança fortalecida e não punitiva.</w:t>
      </w:r>
    </w:p>
    <w:p w14:paraId="2FF441E6" w14:textId="34D5A439" w:rsidR="48FDFCB9" w:rsidRDefault="3D25D8A3" w:rsidP="65530DFB">
      <w:pPr>
        <w:pStyle w:val="PargrafodaLista"/>
        <w:numPr>
          <w:ilvl w:val="0"/>
          <w:numId w:val="1"/>
        </w:numPr>
        <w:spacing w:after="0"/>
        <w:rPr>
          <w:rFonts w:cs="Arial"/>
        </w:rPr>
      </w:pPr>
      <w:r w:rsidRPr="65530DFB">
        <w:rPr>
          <w:rFonts w:cs="Arial"/>
        </w:rPr>
        <w:t>Registros assistenciais completos e rastreáveis.</w:t>
      </w:r>
    </w:p>
    <w:p w14:paraId="3B5516BA" w14:textId="0CF773E9" w:rsidR="48FDFCB9" w:rsidRDefault="3D25D8A3" w:rsidP="65530DFB">
      <w:pPr>
        <w:pStyle w:val="PargrafodaLista"/>
        <w:numPr>
          <w:ilvl w:val="0"/>
          <w:numId w:val="1"/>
        </w:numPr>
        <w:spacing w:after="0"/>
        <w:rPr>
          <w:rFonts w:cs="Arial"/>
        </w:rPr>
      </w:pPr>
      <w:r w:rsidRPr="65530DFB">
        <w:rPr>
          <w:rFonts w:cs="Arial"/>
        </w:rPr>
        <w:lastRenderedPageBreak/>
        <w:t>Sustentabilidade das melhorias antes da avaliação externa.</w:t>
      </w:r>
    </w:p>
    <w:p w14:paraId="1C1E208E" w14:textId="1D42746B" w:rsidR="48FDFCB9" w:rsidRDefault="3D25D8A3" w:rsidP="65530DFB">
      <w:pPr>
        <w:spacing w:before="240" w:after="240"/>
      </w:pPr>
      <w:r w:rsidRPr="65530DFB">
        <w:rPr>
          <w:rFonts w:cs="Arial"/>
        </w:rPr>
        <w:t>Dessa forma, a certificação ONA em 2027 deve ser tratada como uma meta institucional estratégica, com envolvimento da alta liderança, das lideranças assistenciais e de todos os profissionais. A preparação deve ser contínua, baseada em evidências, orientada por riscos e sustentada por resultados mensuráveis.</w:t>
      </w:r>
    </w:p>
    <w:p w14:paraId="46F1A004" w14:textId="05B102A1" w:rsidR="48FDFCB9" w:rsidRDefault="48FDFCB9" w:rsidP="65530DFB">
      <w:pPr>
        <w:spacing w:before="240" w:after="240"/>
        <w:rPr>
          <w:rFonts w:cs="Arial"/>
        </w:rPr>
      </w:pPr>
    </w:p>
    <w:p w14:paraId="7521ED29" w14:textId="7E7B6856" w:rsidR="48FDFCB9" w:rsidRDefault="48FDFCB9" w:rsidP="65530DFB"/>
    <w:p w14:paraId="28EE77E3" w14:textId="34E9ACC8" w:rsidR="00A4224E" w:rsidRDefault="513CED71" w:rsidP="0040709B">
      <w:pPr>
        <w:pStyle w:val="Ttulo2"/>
        <w:ind w:left="0" w:firstLine="0"/>
      </w:pPr>
      <w:bookmarkStart w:id="53" w:name="_Toc229241763"/>
      <w:bookmarkStart w:id="54" w:name="_Toc231974389"/>
      <w:bookmarkStart w:id="55" w:name="_Toc234260343"/>
      <w:r>
        <w:t>6.2</w:t>
      </w:r>
      <w:r w:rsidR="6E32E7EB">
        <w:t>. Consolidação das Metas Internacionais de Segurança do Paciente</w:t>
      </w:r>
      <w:bookmarkEnd w:id="53"/>
      <w:bookmarkEnd w:id="54"/>
      <w:bookmarkEnd w:id="55"/>
    </w:p>
    <w:p w14:paraId="7D5FDFD5" w14:textId="5CFACEF2" w:rsidR="65530DFB" w:rsidRDefault="65530DFB" w:rsidP="65530DFB"/>
    <w:p w14:paraId="71814B8A" w14:textId="4D712DD0" w:rsidR="28AD1DF4" w:rsidRDefault="28AD1DF4" w:rsidP="0C58EABD">
      <w:r>
        <w:rPr>
          <w:noProof/>
        </w:rPr>
        <w:drawing>
          <wp:inline distT="0" distB="0" distL="0" distR="0" wp14:anchorId="109FB23E" wp14:editId="30A91531">
            <wp:extent cx="5743575" cy="2552700"/>
            <wp:effectExtent l="0" t="0" r="0" b="0"/>
            <wp:docPr id="97217415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174151" name="Picture 972174151"/>
                    <pic:cNvPicPr/>
                  </pic:nvPicPr>
                  <pic:blipFill>
                    <a:blip r:embed="rId23">
                      <a:extLst>
                        <a:ext uri="{28A0092B-C50C-407E-A947-70E740481C1C}">
                          <a14:useLocalDpi xmlns:a14="http://schemas.microsoft.com/office/drawing/2010/main"/>
                        </a:ext>
                      </a:extLst>
                    </a:blip>
                    <a:stretch>
                      <a:fillRect/>
                    </a:stretch>
                  </pic:blipFill>
                  <pic:spPr>
                    <a:xfrm>
                      <a:off x="0" y="0"/>
                      <a:ext cx="5743575" cy="2552700"/>
                    </a:xfrm>
                    <a:prstGeom prst="rect">
                      <a:avLst/>
                    </a:prstGeom>
                  </pic:spPr>
                </pic:pic>
              </a:graphicData>
            </a:graphic>
          </wp:inline>
        </w:drawing>
      </w:r>
    </w:p>
    <w:p w14:paraId="4095AC17" w14:textId="295C2270" w:rsidR="06E4A561" w:rsidRPr="00726DAF" w:rsidRDefault="06E4A561" w:rsidP="0C58EABD">
      <w:r w:rsidRPr="0C58EABD">
        <w:rPr>
          <w:rFonts w:cs="Arial"/>
        </w:rPr>
        <w:t xml:space="preserve">A análise dos indicadores </w:t>
      </w:r>
      <w:r w:rsidRPr="00726DAF">
        <w:rPr>
          <w:rFonts w:cs="Arial"/>
        </w:rPr>
        <w:t>demonstra desempenho global abaixo do esperado nas metas de segurança do paciente, com média geral aproximada de 63% em abril, queda para 54% em maio e leve recuperação para 55% em junho. Apesar de alguns avanços pontuais, há fragilidade importante na sustentação dos processos assistenciais, especialmente nas metas relacionadas à cirurgia segura, prevenção de quedas, medicamentos de alta vigilância e identificação do paciente.</w:t>
      </w:r>
    </w:p>
    <w:p w14:paraId="6CE8CD40" w14:textId="28BC74F5" w:rsidR="06E4A561" w:rsidRPr="00726DAF" w:rsidRDefault="06E4A561" w:rsidP="0C58EABD">
      <w:pPr>
        <w:spacing w:before="240" w:after="240"/>
      </w:pPr>
      <w:r w:rsidRPr="00726DAF">
        <w:rPr>
          <w:rFonts w:cs="Arial"/>
        </w:rPr>
        <w:t>O melhor desempenho observado foi na Meta 2 — Ordem verbal e telefônica, que se manteve em 91% em maio e junho, demonstrando maior aderência e possível maturidade do processo.</w:t>
      </w:r>
    </w:p>
    <w:p w14:paraId="385B12AF" w14:textId="70D65578" w:rsidR="06E4A561" w:rsidRPr="00726DAF" w:rsidRDefault="06E4A561" w:rsidP="0C58EABD">
      <w:pPr>
        <w:spacing w:before="240" w:after="240"/>
      </w:pPr>
      <w:r w:rsidRPr="00726DAF">
        <w:rPr>
          <w:rFonts w:cs="Arial"/>
        </w:rPr>
        <w:lastRenderedPageBreak/>
        <w:t>Outro destaque foi a comunicação de resultados críticos, que apresentou evolução expressiva em junho, passando de 59% em maio para 85% em junho. Esse resultado sugere que houve melhoria no fluxo de comunicação, registro ou resposta às notificações críticas</w:t>
      </w:r>
    </w:p>
    <w:p w14:paraId="6F456F94" w14:textId="7A8C7C11" w:rsidR="06E4A561" w:rsidRPr="00726DAF" w:rsidRDefault="06E4A561" w:rsidP="0C58EABD">
      <w:pPr>
        <w:spacing w:before="240" w:after="240"/>
      </w:pPr>
      <w:r w:rsidRPr="00726DAF">
        <w:rPr>
          <w:rFonts w:cs="Arial"/>
        </w:rPr>
        <w:t>A Meta 4 — Checklist de cirurgia segura apresentou a maior queda do período, reduzindo de 80% em abril para 43% em junho, uma perda de 37 pontos percentuais. Esse resultado é crítico, pois o checklist cirúrgico é uma barreira essencial para prevenção de eventos graves, como cirurgia em local errado, falhas de comunicação, contagem inadequada e eventos anestésico-cirúrgicos.</w:t>
      </w:r>
    </w:p>
    <w:p w14:paraId="4CF9C893" w14:textId="1C0E4A3F" w:rsidR="06E4A561" w:rsidRPr="00726DAF" w:rsidRDefault="06E4A561" w:rsidP="0C58EABD">
      <w:pPr>
        <w:spacing w:before="240" w:after="240"/>
      </w:pPr>
      <w:r w:rsidRPr="00726DAF">
        <w:rPr>
          <w:rFonts w:cs="Arial"/>
        </w:rPr>
        <w:t>A Meta 6 — Prevenção de quedas também apresentou queda importante, de 54% em abril para 31% em junho. A baixa adesão indica fragilidade na avaliação de risco, sinalização, orientação ao paciente/acompanhante e implementação de medidas preventivas.</w:t>
      </w:r>
    </w:p>
    <w:p w14:paraId="744879F2" w14:textId="0D684F77" w:rsidR="06E4A561" w:rsidRPr="00726DAF" w:rsidRDefault="06E4A561" w:rsidP="0C58EABD">
      <w:pPr>
        <w:spacing w:before="240" w:after="240"/>
      </w:pPr>
      <w:r w:rsidRPr="00726DAF">
        <w:rPr>
          <w:rFonts w:cs="Arial"/>
        </w:rPr>
        <w:t>A Meta 3 — Medicamentos de alta vigilância reduziu de 73% para 55%, sinalizando risco relacionado à prescrição, dispensação, preparo, administração, dupla checagem ou identificação desses medicamentos.</w:t>
      </w:r>
    </w:p>
    <w:p w14:paraId="20560EE0" w14:textId="1ADF35F0" w:rsidR="06E4A561" w:rsidRPr="00726DAF" w:rsidRDefault="06E4A561" w:rsidP="0C58EABD">
      <w:pPr>
        <w:spacing w:before="240" w:after="240"/>
      </w:pPr>
      <w:r w:rsidRPr="00726DAF">
        <w:rPr>
          <w:rFonts w:cs="Arial"/>
        </w:rPr>
        <w:t>A Meta 1 — Identificação do paciente teve queda contínua, de 65% para 53%, demonstrando falha em uma barreira básica e transversal de segurança. Esse indicador impacta diretamente outros processos, como administração de medicamentos, exames, transfusões, procedimentos e cirurgias.</w:t>
      </w:r>
    </w:p>
    <w:p w14:paraId="15F6996A" w14:textId="6870284A" w:rsidR="06E4A561" w:rsidRPr="00726DAF" w:rsidRDefault="06E4A561" w:rsidP="0C58EABD">
      <w:pPr>
        <w:spacing w:before="240" w:after="240"/>
      </w:pPr>
      <w:r w:rsidRPr="00726DAF">
        <w:rPr>
          <w:rFonts w:cs="Arial"/>
        </w:rPr>
        <w:t>A passagem de plantão permanece como o pior indicador do painel, com resultado de 24% em junho. Esse dado sugere baixa adesão à comunicação estruturada, com risco aumentado de perda de informações críticas, descontinuidade do cuidado e falhas assistenciais.</w:t>
      </w:r>
    </w:p>
    <w:p w14:paraId="7B52E2CC" w14:textId="643505D4" w:rsidR="06E4A561" w:rsidRPr="00726DAF" w:rsidRDefault="06E4A561" w:rsidP="0C58EABD">
      <w:pPr>
        <w:spacing w:before="240" w:after="240"/>
      </w:pPr>
      <w:r w:rsidRPr="00726DAF">
        <w:rPr>
          <w:rFonts w:cs="Arial"/>
        </w:rPr>
        <w:t>Os dados indicam que a instituição possui algumas práticas com melhor desempenho, como ordem verbal e telefônica e comunicação de resultados críticos, porém ainda apresenta baixa confiabilidade em processos básicos de segurança.</w:t>
      </w:r>
    </w:p>
    <w:p w14:paraId="54DA3D72" w14:textId="264F7678" w:rsidR="06E4A561" w:rsidRPr="00726DAF" w:rsidRDefault="06E4A561" w:rsidP="0C58EABD">
      <w:pPr>
        <w:spacing w:before="240" w:after="240"/>
      </w:pPr>
      <w:r w:rsidRPr="00726DAF">
        <w:rPr>
          <w:rFonts w:cs="Arial"/>
        </w:rPr>
        <w:t>A queda simultânea em identificação do paciente, medicamentos de alta vigilância, checklist cirúrgico e prevenção de quedas sugere necessidade de atuação sistêmica, com foco em:</w:t>
      </w:r>
    </w:p>
    <w:p w14:paraId="30B5DB8D" w14:textId="5F452CCB" w:rsidR="06E4A561" w:rsidRPr="00726DAF" w:rsidRDefault="06E4A561" w:rsidP="0C58EABD">
      <w:pPr>
        <w:pStyle w:val="PargrafodaLista"/>
        <w:numPr>
          <w:ilvl w:val="0"/>
          <w:numId w:val="40"/>
        </w:numPr>
        <w:spacing w:after="0"/>
        <w:rPr>
          <w:rFonts w:cs="Arial"/>
        </w:rPr>
      </w:pPr>
      <w:r w:rsidRPr="00726DAF">
        <w:rPr>
          <w:rFonts w:cs="Arial"/>
        </w:rPr>
        <w:t xml:space="preserve">padronização dos processos; </w:t>
      </w:r>
    </w:p>
    <w:p w14:paraId="05A5F50E" w14:textId="2B19C579" w:rsidR="06E4A561" w:rsidRDefault="06E4A561" w:rsidP="0C58EABD">
      <w:pPr>
        <w:pStyle w:val="PargrafodaLista"/>
        <w:numPr>
          <w:ilvl w:val="0"/>
          <w:numId w:val="40"/>
        </w:numPr>
        <w:spacing w:after="0"/>
        <w:rPr>
          <w:rFonts w:cs="Arial"/>
        </w:rPr>
      </w:pPr>
      <w:r w:rsidRPr="0C58EABD">
        <w:rPr>
          <w:rFonts w:cs="Arial"/>
        </w:rPr>
        <w:t xml:space="preserve">reforço das barreiras de segurança; </w:t>
      </w:r>
    </w:p>
    <w:p w14:paraId="46219524" w14:textId="6F365B1A" w:rsidR="06E4A561" w:rsidRDefault="06E4A561" w:rsidP="0C58EABD">
      <w:pPr>
        <w:pStyle w:val="PargrafodaLista"/>
        <w:numPr>
          <w:ilvl w:val="0"/>
          <w:numId w:val="40"/>
        </w:numPr>
        <w:spacing w:after="0"/>
        <w:rPr>
          <w:rFonts w:cs="Arial"/>
        </w:rPr>
      </w:pPr>
      <w:r w:rsidRPr="0C58EABD">
        <w:rPr>
          <w:rFonts w:cs="Arial"/>
        </w:rPr>
        <w:t xml:space="preserve">auditoria à beira-leito; </w:t>
      </w:r>
    </w:p>
    <w:p w14:paraId="3A37968E" w14:textId="469D6326" w:rsidR="06E4A561" w:rsidRDefault="06E4A561" w:rsidP="0C58EABD">
      <w:pPr>
        <w:pStyle w:val="PargrafodaLista"/>
        <w:numPr>
          <w:ilvl w:val="0"/>
          <w:numId w:val="40"/>
        </w:numPr>
        <w:spacing w:after="0"/>
        <w:rPr>
          <w:rFonts w:cs="Arial"/>
        </w:rPr>
      </w:pPr>
      <w:r w:rsidRPr="0C58EABD">
        <w:rPr>
          <w:rFonts w:cs="Arial"/>
        </w:rPr>
        <w:lastRenderedPageBreak/>
        <w:t xml:space="preserve">feedback imediato às equipes; </w:t>
      </w:r>
    </w:p>
    <w:p w14:paraId="30AD7876" w14:textId="115F8EC8" w:rsidR="06E4A561" w:rsidRDefault="06E4A561" w:rsidP="0C58EABD">
      <w:pPr>
        <w:pStyle w:val="PargrafodaLista"/>
        <w:numPr>
          <w:ilvl w:val="0"/>
          <w:numId w:val="40"/>
        </w:numPr>
        <w:spacing w:after="0"/>
        <w:rPr>
          <w:rFonts w:cs="Arial"/>
        </w:rPr>
      </w:pPr>
      <w:r w:rsidRPr="0C58EABD">
        <w:rPr>
          <w:rFonts w:cs="Arial"/>
        </w:rPr>
        <w:t xml:space="preserve">liderança presente nas áreas críticas; </w:t>
      </w:r>
    </w:p>
    <w:p w14:paraId="7CD68BDF" w14:textId="78CD1765" w:rsidR="06E4A561" w:rsidRDefault="06E4A561" w:rsidP="0C58EABD">
      <w:pPr>
        <w:pStyle w:val="PargrafodaLista"/>
        <w:numPr>
          <w:ilvl w:val="0"/>
          <w:numId w:val="40"/>
        </w:numPr>
        <w:spacing w:after="0"/>
        <w:rPr>
          <w:rFonts w:cs="Arial"/>
        </w:rPr>
      </w:pPr>
      <w:r w:rsidRPr="0C58EABD">
        <w:rPr>
          <w:rFonts w:cs="Arial"/>
        </w:rPr>
        <w:t xml:space="preserve">capacitação direcionada; </w:t>
      </w:r>
    </w:p>
    <w:p w14:paraId="292317E9" w14:textId="04857972" w:rsidR="06E4A561" w:rsidRDefault="06E4A561" w:rsidP="0C58EABD">
      <w:pPr>
        <w:pStyle w:val="PargrafodaLista"/>
        <w:numPr>
          <w:ilvl w:val="0"/>
          <w:numId w:val="40"/>
        </w:numPr>
        <w:spacing w:after="0"/>
        <w:rPr>
          <w:rFonts w:cs="Arial"/>
        </w:rPr>
      </w:pPr>
      <w:r w:rsidRPr="0C58EABD">
        <w:rPr>
          <w:rFonts w:cs="Arial"/>
        </w:rPr>
        <w:t>plano de ação por unidade assistencial.</w:t>
      </w:r>
    </w:p>
    <w:p w14:paraId="50A655A8" w14:textId="2C685941" w:rsidR="06E4A561" w:rsidRDefault="06E4A561" w:rsidP="0C58EABD">
      <w:pPr>
        <w:spacing w:before="240" w:after="240"/>
      </w:pPr>
      <w:r w:rsidRPr="00726DAF">
        <w:rPr>
          <w:rFonts w:cs="Arial"/>
        </w:rPr>
        <w:t>Checklist de cirurgia segura — 43% em junho</w:t>
      </w:r>
      <w:r w:rsidRPr="00726DAF">
        <w:br/>
      </w:r>
      <w:r w:rsidRPr="00726DAF">
        <w:rPr>
          <w:rFonts w:cs="Arial"/>
        </w:rPr>
        <w:t>Risco elevado para eventos cirúrgicos graves. Necessário revisar fluxo, responsabilidades</w:t>
      </w:r>
      <w:r w:rsidRPr="0C58EABD">
        <w:rPr>
          <w:rFonts w:cs="Arial"/>
        </w:rPr>
        <w:t>, adesão médica, enfermagem e centro cirúrgico.</w:t>
      </w:r>
    </w:p>
    <w:p w14:paraId="5FF3A9E7" w14:textId="3A34D6CC" w:rsidR="06E4A561" w:rsidRPr="00726DAF" w:rsidRDefault="06E4A561" w:rsidP="0C58EABD">
      <w:pPr>
        <w:spacing w:before="240" w:after="240"/>
      </w:pPr>
      <w:r w:rsidRPr="00726DAF">
        <w:rPr>
          <w:rFonts w:cs="Arial"/>
        </w:rPr>
        <w:t>Passagem de plantão — 24% em junho</w:t>
      </w:r>
      <w:r w:rsidRPr="00726DAF">
        <w:br/>
      </w:r>
      <w:r w:rsidRPr="00726DAF">
        <w:rPr>
          <w:rFonts w:cs="Arial"/>
        </w:rPr>
        <w:t>Indicador muito abaixo do esperado. Recomenda-se implantação ou reforço de ferramenta estruturada, como SBAR ou IPASS.</w:t>
      </w:r>
    </w:p>
    <w:p w14:paraId="0C3B65E4" w14:textId="18213531" w:rsidR="06E4A561" w:rsidRPr="00726DAF" w:rsidRDefault="06E4A561" w:rsidP="0C58EABD">
      <w:pPr>
        <w:spacing w:before="240" w:after="240"/>
      </w:pPr>
      <w:r w:rsidRPr="00726DAF">
        <w:rPr>
          <w:rFonts w:cs="Arial"/>
        </w:rPr>
        <w:t>Prevenção de quedas — 31% em junho</w:t>
      </w:r>
      <w:r w:rsidRPr="00726DAF">
        <w:br/>
      </w:r>
      <w:r w:rsidRPr="00726DAF">
        <w:rPr>
          <w:rFonts w:cs="Arial"/>
        </w:rPr>
        <w:t>Necessário reforçar avaliação de risco, pulseiras/sinalização, orientação ao paciente e acompanhante, além de auditorias frequentes.</w:t>
      </w:r>
    </w:p>
    <w:p w14:paraId="4D724237" w14:textId="4D024D8D" w:rsidR="06E4A561" w:rsidRPr="00726DAF" w:rsidRDefault="06E4A561" w:rsidP="0C58EABD">
      <w:pPr>
        <w:spacing w:before="240" w:after="240"/>
      </w:pPr>
      <w:r w:rsidRPr="00726DAF">
        <w:rPr>
          <w:rFonts w:cs="Arial"/>
        </w:rPr>
        <w:t>Identificação do paciente — 53% em junho</w:t>
      </w:r>
      <w:r w:rsidRPr="00726DAF">
        <w:br/>
      </w:r>
      <w:r w:rsidRPr="00726DAF">
        <w:rPr>
          <w:rFonts w:cs="Arial"/>
        </w:rPr>
        <w:t>Meta básica de segurança com queda progressiva. Deve ser tratada como prioridade institucional.</w:t>
      </w:r>
    </w:p>
    <w:p w14:paraId="7CEE84F5" w14:textId="6C65EF44" w:rsidR="06E4A561" w:rsidRPr="00726DAF" w:rsidRDefault="06E4A561" w:rsidP="0C58EABD">
      <w:pPr>
        <w:spacing w:before="240" w:after="240"/>
      </w:pPr>
      <w:r w:rsidRPr="00726DAF">
        <w:rPr>
          <w:rFonts w:cs="Arial"/>
        </w:rPr>
        <w:t>Medicamentos de alta vigilância — 55% em junho</w:t>
      </w:r>
      <w:r w:rsidRPr="00726DAF">
        <w:br/>
      </w:r>
      <w:r w:rsidRPr="00726DAF">
        <w:rPr>
          <w:rFonts w:cs="Arial"/>
        </w:rPr>
        <w:t>Recomenda-se revisar identificação, armazenamento, dupla checagem, rotulagem e rastreabilidade.</w:t>
      </w:r>
    </w:p>
    <w:p w14:paraId="397C2C31" w14:textId="1CFDA60E" w:rsidR="06E4A561" w:rsidRDefault="06E4A561" w:rsidP="0C58EABD">
      <w:pPr>
        <w:pStyle w:val="Ttulo3"/>
        <w:spacing w:before="281" w:after="281"/>
      </w:pPr>
      <w:bookmarkStart w:id="56" w:name="_Toc234260344"/>
      <w:r w:rsidRPr="0C58EABD">
        <w:rPr>
          <w:rFonts w:eastAsia="Arial" w:cs="Arial"/>
          <w:b/>
          <w:bCs/>
        </w:rPr>
        <w:t>Ações sugeridas</w:t>
      </w:r>
      <w:bookmarkEnd w:id="56"/>
    </w:p>
    <w:p w14:paraId="30F932AE" w14:textId="77777777" w:rsidR="00726DAF" w:rsidRDefault="06E4A561" w:rsidP="005A5F0B">
      <w:pPr>
        <w:spacing w:after="0"/>
        <w:rPr>
          <w:rFonts w:cs="Arial"/>
          <w:b/>
          <w:bCs/>
        </w:rPr>
      </w:pPr>
      <w:r w:rsidRPr="0C58EABD">
        <w:rPr>
          <w:rFonts w:cs="Arial"/>
          <w:b/>
          <w:bCs/>
        </w:rPr>
        <w:t>Identificação do paciente</w:t>
      </w:r>
    </w:p>
    <w:p w14:paraId="318690AB" w14:textId="6319FBED" w:rsidR="06E4A561" w:rsidRDefault="06E4A561" w:rsidP="005A5F0B">
      <w:pPr>
        <w:spacing w:after="0"/>
      </w:pPr>
      <w:r w:rsidRPr="0C58EABD">
        <w:rPr>
          <w:rFonts w:cs="Arial"/>
        </w:rPr>
        <w:t>Reforçar a conferência ativa com dois identificadores antes de medicamentos, exames, procedimentos e transferências. Realizar auditoria observacional nas unidades.</w:t>
      </w:r>
    </w:p>
    <w:p w14:paraId="4FA4CA21" w14:textId="77777777" w:rsidR="005A5F0B" w:rsidRDefault="06E4A561" w:rsidP="005A5F0B">
      <w:pPr>
        <w:spacing w:after="0"/>
        <w:rPr>
          <w:rFonts w:cs="Arial"/>
          <w:b/>
          <w:bCs/>
        </w:rPr>
      </w:pPr>
      <w:r w:rsidRPr="0C58EABD">
        <w:rPr>
          <w:rFonts w:cs="Arial"/>
          <w:b/>
          <w:bCs/>
        </w:rPr>
        <w:t>Comunicação segura</w:t>
      </w:r>
    </w:p>
    <w:p w14:paraId="6FEC12B1" w14:textId="7C808D3A" w:rsidR="06E4A561" w:rsidRDefault="06E4A561" w:rsidP="005A5F0B">
      <w:pPr>
        <w:spacing w:after="0"/>
      </w:pPr>
      <w:r w:rsidRPr="0C58EABD">
        <w:rPr>
          <w:rFonts w:cs="Arial"/>
        </w:rPr>
        <w:t>Manter a estratégia que melhorou os resultados críticos e expandir para passagem de plantão com ferramenta padronizada.</w:t>
      </w:r>
    </w:p>
    <w:p w14:paraId="1F7E4A8D" w14:textId="77777777" w:rsidR="005A5F0B" w:rsidRDefault="06E4A561" w:rsidP="005A5F0B">
      <w:pPr>
        <w:spacing w:after="0"/>
        <w:rPr>
          <w:rFonts w:cs="Arial"/>
          <w:b/>
          <w:bCs/>
        </w:rPr>
      </w:pPr>
      <w:r w:rsidRPr="0C58EABD">
        <w:rPr>
          <w:rFonts w:cs="Arial"/>
          <w:b/>
          <w:bCs/>
        </w:rPr>
        <w:t>Medicamentos de alta vigilância</w:t>
      </w:r>
    </w:p>
    <w:p w14:paraId="670C7B35" w14:textId="4AFEC396" w:rsidR="06E4A561" w:rsidRDefault="06E4A561" w:rsidP="005A5F0B">
      <w:pPr>
        <w:spacing w:after="0"/>
      </w:pPr>
      <w:r w:rsidRPr="0C58EABD">
        <w:rPr>
          <w:rFonts w:cs="Arial"/>
        </w:rPr>
        <w:t>Revisar armazenamento, identificação visual, dupla checagem independente e treinamento da equipe assistencial.</w:t>
      </w:r>
    </w:p>
    <w:p w14:paraId="2A904B9D" w14:textId="77777777" w:rsidR="005A5F0B" w:rsidRDefault="06E4A561" w:rsidP="005A5F0B">
      <w:pPr>
        <w:spacing w:after="0"/>
        <w:rPr>
          <w:rFonts w:cs="Arial"/>
          <w:b/>
          <w:bCs/>
        </w:rPr>
      </w:pPr>
      <w:r w:rsidRPr="0C58EABD">
        <w:rPr>
          <w:rFonts w:cs="Arial"/>
          <w:b/>
          <w:bCs/>
        </w:rPr>
        <w:t>Cirurgia segura</w:t>
      </w:r>
    </w:p>
    <w:p w14:paraId="5A59A5A3" w14:textId="41BA2F4D" w:rsidR="06E4A561" w:rsidRDefault="06E4A561" w:rsidP="005A5F0B">
      <w:pPr>
        <w:spacing w:after="0"/>
      </w:pPr>
      <w:r w:rsidRPr="0C58EABD">
        <w:rPr>
          <w:rFonts w:cs="Arial"/>
        </w:rPr>
        <w:t>Realizar intervenção imediata no centro cirúrgico com auditoria do checklist, definição clara de responsáveis e feedback diário dos achados.</w:t>
      </w:r>
    </w:p>
    <w:p w14:paraId="34174A2A" w14:textId="77777777" w:rsidR="005A5F0B" w:rsidRDefault="06E4A561" w:rsidP="005A5F0B">
      <w:pPr>
        <w:spacing w:after="0"/>
        <w:rPr>
          <w:rFonts w:cs="Arial"/>
          <w:b/>
          <w:bCs/>
        </w:rPr>
      </w:pPr>
      <w:r w:rsidRPr="0C58EABD">
        <w:rPr>
          <w:rFonts w:cs="Arial"/>
          <w:b/>
          <w:bCs/>
        </w:rPr>
        <w:lastRenderedPageBreak/>
        <w:t>Higiene das mãos</w:t>
      </w:r>
    </w:p>
    <w:p w14:paraId="5AC259CE" w14:textId="1554686E" w:rsidR="06E4A561" w:rsidRDefault="06E4A561" w:rsidP="005A5F0B">
      <w:pPr>
        <w:spacing w:after="0"/>
      </w:pPr>
      <w:r w:rsidRPr="0C58EABD">
        <w:rPr>
          <w:rFonts w:cs="Arial"/>
        </w:rPr>
        <w:t>Intensificar observação direta, devolutiva por unidade e campanhas educativas com foco nos cinco momentos da higiene das mãos.</w:t>
      </w:r>
    </w:p>
    <w:p w14:paraId="74B63337" w14:textId="77777777" w:rsidR="005A5F0B" w:rsidRDefault="06E4A561" w:rsidP="005A5F0B">
      <w:pPr>
        <w:spacing w:after="0"/>
        <w:rPr>
          <w:rFonts w:cs="Arial"/>
          <w:b/>
          <w:bCs/>
        </w:rPr>
      </w:pPr>
      <w:r w:rsidRPr="0C58EABD">
        <w:rPr>
          <w:rFonts w:cs="Arial"/>
          <w:b/>
          <w:bCs/>
        </w:rPr>
        <w:t>Prevenção de quedas</w:t>
      </w:r>
    </w:p>
    <w:p w14:paraId="662755EC" w14:textId="4A924665" w:rsidR="06E4A561" w:rsidRDefault="06E4A561" w:rsidP="005A5F0B">
      <w:pPr>
        <w:spacing w:after="0"/>
      </w:pPr>
      <w:r w:rsidRPr="0C58EABD">
        <w:rPr>
          <w:rFonts w:cs="Arial"/>
        </w:rPr>
        <w:t>Reforçar avaliação de risco, sinalização visual, plano preventivo individualizado e orientação ao paciente/família.</w:t>
      </w:r>
    </w:p>
    <w:p w14:paraId="3D45E2EF" w14:textId="3117F54A" w:rsidR="06E4A561" w:rsidRDefault="06E4A561" w:rsidP="0C58EABD">
      <w:r w:rsidRPr="0C58EABD">
        <w:rPr>
          <w:rFonts w:cs="Arial"/>
        </w:rPr>
        <w:t xml:space="preserve">O painel evidencia que, entre abril e junho de 2026, </w:t>
      </w:r>
      <w:r w:rsidRPr="005A5F0B">
        <w:rPr>
          <w:rFonts w:cs="Arial"/>
        </w:rPr>
        <w:t>houve queda geral no desempenho das metas de segurança, com recuperação pontual apenas na comunicação de resultados críticos. Os indicadores mais preocupantes são passagem de plantão, checklist de cirurgia segura, prevenção de quedas, identificação do paciente e medicamentos de alta vigilância.</w:t>
      </w:r>
    </w:p>
    <w:p w14:paraId="28F0A3CC" w14:textId="63575AF3" w:rsidR="31BB06F7" w:rsidRDefault="31BB06F7" w:rsidP="0C58EABD">
      <w:pPr>
        <w:rPr>
          <w:rFonts w:cs="Arial"/>
          <w:b/>
          <w:bCs/>
        </w:rPr>
      </w:pPr>
      <w:r w:rsidRPr="0C58EABD">
        <w:rPr>
          <w:rFonts w:cs="Arial"/>
          <w:b/>
          <w:bCs/>
        </w:rPr>
        <w:t>Plano de ação: Book de metas</w:t>
      </w:r>
    </w:p>
    <w:p w14:paraId="71287293" w14:textId="1D1B9C79" w:rsidR="00E57B97" w:rsidRPr="00E57B97" w:rsidRDefault="31BB06F7" w:rsidP="00E57B97">
      <w:r>
        <w:rPr>
          <w:noProof/>
        </w:rPr>
        <w:lastRenderedPageBreak/>
        <w:drawing>
          <wp:inline distT="0" distB="0" distL="0" distR="0" wp14:anchorId="562D87B8" wp14:editId="1F463AF9">
            <wp:extent cx="5485776" cy="2520000"/>
            <wp:effectExtent l="0" t="0" r="635" b="0"/>
            <wp:docPr id="124952301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523010" name="Picture 1249523010"/>
                    <pic:cNvPicPr/>
                  </pic:nvPicPr>
                  <pic:blipFill>
                    <a:blip r:embed="rId24">
                      <a:extLst>
                        <a:ext uri="{28A0092B-C50C-407E-A947-70E740481C1C}">
                          <a14:useLocalDpi xmlns:a14="http://schemas.microsoft.com/office/drawing/2010/main"/>
                        </a:ext>
                      </a:extLst>
                    </a:blip>
                    <a:stretch>
                      <a:fillRect/>
                    </a:stretch>
                  </pic:blipFill>
                  <pic:spPr>
                    <a:xfrm>
                      <a:off x="0" y="0"/>
                      <a:ext cx="5485776" cy="2520000"/>
                    </a:xfrm>
                    <a:prstGeom prst="rect">
                      <a:avLst/>
                    </a:prstGeom>
                  </pic:spPr>
                </pic:pic>
              </a:graphicData>
            </a:graphic>
          </wp:inline>
        </w:drawing>
      </w:r>
      <w:r>
        <w:rPr>
          <w:noProof/>
        </w:rPr>
        <w:drawing>
          <wp:inline distT="0" distB="0" distL="0" distR="0" wp14:anchorId="27C7705E" wp14:editId="4BD4278B">
            <wp:extent cx="5033739" cy="2880000"/>
            <wp:effectExtent l="0" t="0" r="0" b="0"/>
            <wp:docPr id="323336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33645" name="Picture 32333645"/>
                    <pic:cNvPicPr/>
                  </pic:nvPicPr>
                  <pic:blipFill>
                    <a:blip r:embed="rId25">
                      <a:extLst>
                        <a:ext uri="{28A0092B-C50C-407E-A947-70E740481C1C}">
                          <a14:useLocalDpi xmlns:a14="http://schemas.microsoft.com/office/drawing/2010/main"/>
                        </a:ext>
                      </a:extLst>
                    </a:blip>
                    <a:stretch>
                      <a:fillRect/>
                    </a:stretch>
                  </pic:blipFill>
                  <pic:spPr>
                    <a:xfrm>
                      <a:off x="0" y="0"/>
                      <a:ext cx="5033739" cy="2880000"/>
                    </a:xfrm>
                    <a:prstGeom prst="rect">
                      <a:avLst/>
                    </a:prstGeom>
                  </pic:spPr>
                </pic:pic>
              </a:graphicData>
            </a:graphic>
          </wp:inline>
        </w:drawing>
      </w:r>
      <w:r>
        <w:rPr>
          <w:noProof/>
        </w:rPr>
        <w:lastRenderedPageBreak/>
        <w:drawing>
          <wp:inline distT="0" distB="0" distL="0" distR="0" wp14:anchorId="090F1AD1" wp14:editId="14261180">
            <wp:extent cx="5215135" cy="2880000"/>
            <wp:effectExtent l="0" t="0" r="5080" b="0"/>
            <wp:docPr id="13759662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966282" name="Picture 1375966282"/>
                    <pic:cNvPicPr/>
                  </pic:nvPicPr>
                  <pic:blipFill>
                    <a:blip r:embed="rId26">
                      <a:extLst>
                        <a:ext uri="{28A0092B-C50C-407E-A947-70E740481C1C}">
                          <a14:useLocalDpi xmlns:a14="http://schemas.microsoft.com/office/drawing/2010/main"/>
                        </a:ext>
                      </a:extLst>
                    </a:blip>
                    <a:stretch>
                      <a:fillRect/>
                    </a:stretch>
                  </pic:blipFill>
                  <pic:spPr>
                    <a:xfrm>
                      <a:off x="0" y="0"/>
                      <a:ext cx="5215135" cy="2880000"/>
                    </a:xfrm>
                    <a:prstGeom prst="rect">
                      <a:avLst/>
                    </a:prstGeom>
                  </pic:spPr>
                </pic:pic>
              </a:graphicData>
            </a:graphic>
          </wp:inline>
        </w:drawing>
      </w:r>
      <w:r>
        <w:rPr>
          <w:noProof/>
        </w:rPr>
        <w:drawing>
          <wp:inline distT="0" distB="0" distL="0" distR="0" wp14:anchorId="0B0FB0D0" wp14:editId="0044AC10">
            <wp:extent cx="5077895" cy="2880000"/>
            <wp:effectExtent l="0" t="0" r="8890" b="0"/>
            <wp:docPr id="12788970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897099" name="Picture 1278897099"/>
                    <pic:cNvPicPr/>
                  </pic:nvPicPr>
                  <pic:blipFill>
                    <a:blip r:embed="rId27">
                      <a:extLst>
                        <a:ext uri="{28A0092B-C50C-407E-A947-70E740481C1C}">
                          <a14:useLocalDpi xmlns:a14="http://schemas.microsoft.com/office/drawing/2010/main"/>
                        </a:ext>
                      </a:extLst>
                    </a:blip>
                    <a:stretch>
                      <a:fillRect/>
                    </a:stretch>
                  </pic:blipFill>
                  <pic:spPr>
                    <a:xfrm>
                      <a:off x="0" y="0"/>
                      <a:ext cx="5077895" cy="2880000"/>
                    </a:xfrm>
                    <a:prstGeom prst="rect">
                      <a:avLst/>
                    </a:prstGeom>
                  </pic:spPr>
                </pic:pic>
              </a:graphicData>
            </a:graphic>
          </wp:inline>
        </w:drawing>
      </w:r>
      <w:r>
        <w:rPr>
          <w:noProof/>
        </w:rPr>
        <w:lastRenderedPageBreak/>
        <w:drawing>
          <wp:inline distT="0" distB="0" distL="0" distR="0" wp14:anchorId="766484C7" wp14:editId="25AB4D30">
            <wp:extent cx="4990345" cy="2880000"/>
            <wp:effectExtent l="0" t="0" r="1270" b="0"/>
            <wp:docPr id="19731294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129401" name="Picture 1973129401"/>
                    <pic:cNvPicPr/>
                  </pic:nvPicPr>
                  <pic:blipFill>
                    <a:blip r:embed="rId28">
                      <a:extLst>
                        <a:ext uri="{28A0092B-C50C-407E-A947-70E740481C1C}">
                          <a14:useLocalDpi xmlns:a14="http://schemas.microsoft.com/office/drawing/2010/main"/>
                        </a:ext>
                      </a:extLst>
                    </a:blip>
                    <a:stretch>
                      <a:fillRect/>
                    </a:stretch>
                  </pic:blipFill>
                  <pic:spPr>
                    <a:xfrm>
                      <a:off x="0" y="0"/>
                      <a:ext cx="4990345" cy="2880000"/>
                    </a:xfrm>
                    <a:prstGeom prst="rect">
                      <a:avLst/>
                    </a:prstGeom>
                  </pic:spPr>
                </pic:pic>
              </a:graphicData>
            </a:graphic>
          </wp:inline>
        </w:drawing>
      </w:r>
      <w:r>
        <w:rPr>
          <w:noProof/>
        </w:rPr>
        <w:drawing>
          <wp:inline distT="0" distB="0" distL="0" distR="0" wp14:anchorId="2585D294" wp14:editId="60F35408">
            <wp:extent cx="5153234" cy="2880000"/>
            <wp:effectExtent l="0" t="0" r="0" b="0"/>
            <wp:docPr id="11155228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522848" name="Picture 1115522848"/>
                    <pic:cNvPicPr/>
                  </pic:nvPicPr>
                  <pic:blipFill>
                    <a:blip r:embed="rId29">
                      <a:extLst>
                        <a:ext uri="{28A0092B-C50C-407E-A947-70E740481C1C}">
                          <a14:useLocalDpi xmlns:a14="http://schemas.microsoft.com/office/drawing/2010/main"/>
                        </a:ext>
                      </a:extLst>
                    </a:blip>
                    <a:stretch>
                      <a:fillRect/>
                    </a:stretch>
                  </pic:blipFill>
                  <pic:spPr>
                    <a:xfrm>
                      <a:off x="0" y="0"/>
                      <a:ext cx="5153234" cy="2880000"/>
                    </a:xfrm>
                    <a:prstGeom prst="rect">
                      <a:avLst/>
                    </a:prstGeom>
                  </pic:spPr>
                </pic:pic>
              </a:graphicData>
            </a:graphic>
          </wp:inline>
        </w:drawing>
      </w:r>
      <w:r>
        <w:rPr>
          <w:noProof/>
        </w:rPr>
        <w:lastRenderedPageBreak/>
        <w:drawing>
          <wp:inline distT="0" distB="0" distL="0" distR="0" wp14:anchorId="6AE36701" wp14:editId="4C256F0D">
            <wp:extent cx="5294634" cy="2880000"/>
            <wp:effectExtent l="0" t="0" r="1270" b="0"/>
            <wp:docPr id="213083768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837681" name="Picture 2130837681"/>
                    <pic:cNvPicPr/>
                  </pic:nvPicPr>
                  <pic:blipFill>
                    <a:blip r:embed="rId30">
                      <a:extLst>
                        <a:ext uri="{28A0092B-C50C-407E-A947-70E740481C1C}">
                          <a14:useLocalDpi xmlns:a14="http://schemas.microsoft.com/office/drawing/2010/main"/>
                        </a:ext>
                      </a:extLst>
                    </a:blip>
                    <a:stretch>
                      <a:fillRect/>
                    </a:stretch>
                  </pic:blipFill>
                  <pic:spPr>
                    <a:xfrm>
                      <a:off x="0" y="0"/>
                      <a:ext cx="5294634" cy="2880000"/>
                    </a:xfrm>
                    <a:prstGeom prst="rect">
                      <a:avLst/>
                    </a:prstGeom>
                  </pic:spPr>
                </pic:pic>
              </a:graphicData>
            </a:graphic>
          </wp:inline>
        </w:drawing>
      </w:r>
      <w:r>
        <w:rPr>
          <w:noProof/>
        </w:rPr>
        <w:drawing>
          <wp:inline distT="0" distB="0" distL="0" distR="0" wp14:anchorId="12F4E30C" wp14:editId="0EE934A0">
            <wp:extent cx="5048372" cy="2880000"/>
            <wp:effectExtent l="0" t="0" r="0" b="0"/>
            <wp:docPr id="5629057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905764" name="Picture 562905764"/>
                    <pic:cNvPicPr/>
                  </pic:nvPicPr>
                  <pic:blipFill>
                    <a:blip r:embed="rId31">
                      <a:extLst>
                        <a:ext uri="{28A0092B-C50C-407E-A947-70E740481C1C}">
                          <a14:useLocalDpi xmlns:a14="http://schemas.microsoft.com/office/drawing/2010/main"/>
                        </a:ext>
                      </a:extLst>
                    </a:blip>
                    <a:stretch>
                      <a:fillRect/>
                    </a:stretch>
                  </pic:blipFill>
                  <pic:spPr>
                    <a:xfrm>
                      <a:off x="0" y="0"/>
                      <a:ext cx="5048372" cy="2880000"/>
                    </a:xfrm>
                    <a:prstGeom prst="rect">
                      <a:avLst/>
                    </a:prstGeom>
                  </pic:spPr>
                </pic:pic>
              </a:graphicData>
            </a:graphic>
          </wp:inline>
        </w:drawing>
      </w:r>
      <w:r>
        <w:rPr>
          <w:noProof/>
        </w:rPr>
        <w:lastRenderedPageBreak/>
        <w:drawing>
          <wp:inline distT="0" distB="0" distL="0" distR="0" wp14:anchorId="15A78B56" wp14:editId="14E976DB">
            <wp:extent cx="5004726" cy="2880000"/>
            <wp:effectExtent l="0" t="0" r="5715" b="0"/>
            <wp:docPr id="32538137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381371" name="Picture 325381371"/>
                    <pic:cNvPicPr/>
                  </pic:nvPicPr>
                  <pic:blipFill>
                    <a:blip r:embed="rId32">
                      <a:extLst>
                        <a:ext uri="{28A0092B-C50C-407E-A947-70E740481C1C}">
                          <a14:useLocalDpi xmlns:a14="http://schemas.microsoft.com/office/drawing/2010/main"/>
                        </a:ext>
                      </a:extLst>
                    </a:blip>
                    <a:stretch>
                      <a:fillRect/>
                    </a:stretch>
                  </pic:blipFill>
                  <pic:spPr>
                    <a:xfrm>
                      <a:off x="0" y="0"/>
                      <a:ext cx="5004726" cy="2880000"/>
                    </a:xfrm>
                    <a:prstGeom prst="rect">
                      <a:avLst/>
                    </a:prstGeom>
                  </pic:spPr>
                </pic:pic>
              </a:graphicData>
            </a:graphic>
          </wp:inline>
        </w:drawing>
      </w:r>
      <w:r>
        <w:rPr>
          <w:noProof/>
        </w:rPr>
        <w:drawing>
          <wp:inline distT="0" distB="0" distL="0" distR="0" wp14:anchorId="794632DE" wp14:editId="5A40B8AE">
            <wp:extent cx="5019191" cy="2880000"/>
            <wp:effectExtent l="0" t="0" r="0" b="0"/>
            <wp:docPr id="67451418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514183" name="Picture 674514183"/>
                    <pic:cNvPicPr/>
                  </pic:nvPicPr>
                  <pic:blipFill>
                    <a:blip r:embed="rId33">
                      <a:extLst>
                        <a:ext uri="{28A0092B-C50C-407E-A947-70E740481C1C}">
                          <a14:useLocalDpi xmlns:a14="http://schemas.microsoft.com/office/drawing/2010/main"/>
                        </a:ext>
                      </a:extLst>
                    </a:blip>
                    <a:stretch>
                      <a:fillRect/>
                    </a:stretch>
                  </pic:blipFill>
                  <pic:spPr>
                    <a:xfrm>
                      <a:off x="0" y="0"/>
                      <a:ext cx="5019191" cy="2880000"/>
                    </a:xfrm>
                    <a:prstGeom prst="rect">
                      <a:avLst/>
                    </a:prstGeom>
                  </pic:spPr>
                </pic:pic>
              </a:graphicData>
            </a:graphic>
          </wp:inline>
        </w:drawing>
      </w:r>
      <w:r>
        <w:rPr>
          <w:noProof/>
        </w:rPr>
        <w:lastRenderedPageBreak/>
        <w:drawing>
          <wp:inline distT="0" distB="0" distL="0" distR="0" wp14:anchorId="364D63FC" wp14:editId="15B58764">
            <wp:extent cx="4961829" cy="2880000"/>
            <wp:effectExtent l="0" t="0" r="0" b="0"/>
            <wp:docPr id="5118385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838554" name="Picture 511838554"/>
                    <pic:cNvPicPr/>
                  </pic:nvPicPr>
                  <pic:blipFill>
                    <a:blip r:embed="rId34">
                      <a:extLst>
                        <a:ext uri="{28A0092B-C50C-407E-A947-70E740481C1C}">
                          <a14:useLocalDpi xmlns:a14="http://schemas.microsoft.com/office/drawing/2010/main"/>
                        </a:ext>
                      </a:extLst>
                    </a:blip>
                    <a:stretch>
                      <a:fillRect/>
                    </a:stretch>
                  </pic:blipFill>
                  <pic:spPr>
                    <a:xfrm>
                      <a:off x="0" y="0"/>
                      <a:ext cx="4961829" cy="2880000"/>
                    </a:xfrm>
                    <a:prstGeom prst="rect">
                      <a:avLst/>
                    </a:prstGeom>
                  </pic:spPr>
                </pic:pic>
              </a:graphicData>
            </a:graphic>
          </wp:inline>
        </w:drawing>
      </w:r>
      <w:r>
        <w:rPr>
          <w:noProof/>
        </w:rPr>
        <w:drawing>
          <wp:inline distT="0" distB="0" distL="0" distR="0" wp14:anchorId="60405190" wp14:editId="1A6F2476">
            <wp:extent cx="4304703" cy="2520000"/>
            <wp:effectExtent l="0" t="0" r="635" b="0"/>
            <wp:docPr id="2793908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390856" name="Picture 279390856"/>
                    <pic:cNvPicPr/>
                  </pic:nvPicPr>
                  <pic:blipFill>
                    <a:blip r:embed="rId35">
                      <a:extLst>
                        <a:ext uri="{28A0092B-C50C-407E-A947-70E740481C1C}">
                          <a14:useLocalDpi xmlns:a14="http://schemas.microsoft.com/office/drawing/2010/main"/>
                        </a:ext>
                      </a:extLst>
                    </a:blip>
                    <a:stretch>
                      <a:fillRect/>
                    </a:stretch>
                  </pic:blipFill>
                  <pic:spPr>
                    <a:xfrm>
                      <a:off x="0" y="0"/>
                      <a:ext cx="4304703" cy="2520000"/>
                    </a:xfrm>
                    <a:prstGeom prst="rect">
                      <a:avLst/>
                    </a:prstGeom>
                  </pic:spPr>
                </pic:pic>
              </a:graphicData>
            </a:graphic>
          </wp:inline>
        </w:drawing>
      </w:r>
      <w:r>
        <w:rPr>
          <w:noProof/>
        </w:rPr>
        <w:lastRenderedPageBreak/>
        <w:drawing>
          <wp:inline distT="0" distB="0" distL="0" distR="0" wp14:anchorId="03BF26E4" wp14:editId="5CC5FB19">
            <wp:extent cx="3775302" cy="2160000"/>
            <wp:effectExtent l="0" t="0" r="0" b="0"/>
            <wp:docPr id="18643111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311143" name="Picture 1864311143"/>
                    <pic:cNvPicPr/>
                  </pic:nvPicPr>
                  <pic:blipFill>
                    <a:blip r:embed="rId36">
                      <a:extLst>
                        <a:ext uri="{28A0092B-C50C-407E-A947-70E740481C1C}">
                          <a14:useLocalDpi xmlns:a14="http://schemas.microsoft.com/office/drawing/2010/main"/>
                        </a:ext>
                      </a:extLst>
                    </a:blip>
                    <a:stretch>
                      <a:fillRect/>
                    </a:stretch>
                  </pic:blipFill>
                  <pic:spPr>
                    <a:xfrm>
                      <a:off x="0" y="0"/>
                      <a:ext cx="3775302" cy="2160000"/>
                    </a:xfrm>
                    <a:prstGeom prst="rect">
                      <a:avLst/>
                    </a:prstGeom>
                  </pic:spPr>
                </pic:pic>
              </a:graphicData>
            </a:graphic>
          </wp:inline>
        </w:drawing>
      </w:r>
      <w:r>
        <w:rPr>
          <w:noProof/>
        </w:rPr>
        <w:drawing>
          <wp:inline distT="0" distB="0" distL="0" distR="0" wp14:anchorId="60BB88BE" wp14:editId="70F2F4A1">
            <wp:extent cx="4495740" cy="2520000"/>
            <wp:effectExtent l="0" t="0" r="635" b="0"/>
            <wp:docPr id="158197443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974432" name="Picture 1581974432"/>
                    <pic:cNvPicPr/>
                  </pic:nvPicPr>
                  <pic:blipFill>
                    <a:blip r:embed="rId37">
                      <a:extLst>
                        <a:ext uri="{28A0092B-C50C-407E-A947-70E740481C1C}">
                          <a14:useLocalDpi xmlns:a14="http://schemas.microsoft.com/office/drawing/2010/main"/>
                        </a:ext>
                      </a:extLst>
                    </a:blip>
                    <a:stretch>
                      <a:fillRect/>
                    </a:stretch>
                  </pic:blipFill>
                  <pic:spPr>
                    <a:xfrm>
                      <a:off x="0" y="0"/>
                      <a:ext cx="4495740" cy="2520000"/>
                    </a:xfrm>
                    <a:prstGeom prst="rect">
                      <a:avLst/>
                    </a:prstGeom>
                  </pic:spPr>
                </pic:pic>
              </a:graphicData>
            </a:graphic>
          </wp:inline>
        </w:drawing>
      </w:r>
      <w:r>
        <w:rPr>
          <w:noProof/>
        </w:rPr>
        <w:drawing>
          <wp:inline distT="0" distB="0" distL="0" distR="0" wp14:anchorId="57D3DA54" wp14:editId="6069D19B">
            <wp:extent cx="4391792" cy="2520000"/>
            <wp:effectExtent l="0" t="0" r="8890" b="0"/>
            <wp:docPr id="10249527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952788" name="Picture 1024952788"/>
                    <pic:cNvPicPr/>
                  </pic:nvPicPr>
                  <pic:blipFill>
                    <a:blip r:embed="rId38">
                      <a:extLst>
                        <a:ext uri="{28A0092B-C50C-407E-A947-70E740481C1C}">
                          <a14:useLocalDpi xmlns:a14="http://schemas.microsoft.com/office/drawing/2010/main"/>
                        </a:ext>
                      </a:extLst>
                    </a:blip>
                    <a:stretch>
                      <a:fillRect/>
                    </a:stretch>
                  </pic:blipFill>
                  <pic:spPr>
                    <a:xfrm>
                      <a:off x="0" y="0"/>
                      <a:ext cx="4391792" cy="2520000"/>
                    </a:xfrm>
                    <a:prstGeom prst="rect">
                      <a:avLst/>
                    </a:prstGeom>
                  </pic:spPr>
                </pic:pic>
              </a:graphicData>
            </a:graphic>
          </wp:inline>
        </w:drawing>
      </w:r>
      <w:r>
        <w:rPr>
          <w:noProof/>
        </w:rPr>
        <w:lastRenderedPageBreak/>
        <w:drawing>
          <wp:inline distT="0" distB="0" distL="0" distR="0" wp14:anchorId="03711786" wp14:editId="3A98E66B">
            <wp:extent cx="4933636" cy="2880000"/>
            <wp:effectExtent l="0" t="0" r="635" b="0"/>
            <wp:docPr id="2017753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75359" name="Picture 201775359"/>
                    <pic:cNvPicPr/>
                  </pic:nvPicPr>
                  <pic:blipFill>
                    <a:blip r:embed="rId39">
                      <a:extLst>
                        <a:ext uri="{28A0092B-C50C-407E-A947-70E740481C1C}">
                          <a14:useLocalDpi xmlns:a14="http://schemas.microsoft.com/office/drawing/2010/main"/>
                        </a:ext>
                      </a:extLst>
                    </a:blip>
                    <a:stretch>
                      <a:fillRect/>
                    </a:stretch>
                  </pic:blipFill>
                  <pic:spPr>
                    <a:xfrm>
                      <a:off x="0" y="0"/>
                      <a:ext cx="4933636" cy="2880000"/>
                    </a:xfrm>
                    <a:prstGeom prst="rect">
                      <a:avLst/>
                    </a:prstGeom>
                  </pic:spPr>
                </pic:pic>
              </a:graphicData>
            </a:graphic>
          </wp:inline>
        </w:drawing>
      </w:r>
      <w:r>
        <w:rPr>
          <w:noProof/>
        </w:rPr>
        <w:drawing>
          <wp:inline distT="0" distB="0" distL="0" distR="0" wp14:anchorId="4D862D06" wp14:editId="3D5D18A9">
            <wp:extent cx="5033739" cy="2880000"/>
            <wp:effectExtent l="0" t="0" r="0" b="0"/>
            <wp:docPr id="7912986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29867" name="Picture 79129867"/>
                    <pic:cNvPicPr/>
                  </pic:nvPicPr>
                  <pic:blipFill>
                    <a:blip r:embed="rId40">
                      <a:extLst>
                        <a:ext uri="{28A0092B-C50C-407E-A947-70E740481C1C}">
                          <a14:useLocalDpi xmlns:a14="http://schemas.microsoft.com/office/drawing/2010/main"/>
                        </a:ext>
                      </a:extLst>
                    </a:blip>
                    <a:stretch>
                      <a:fillRect/>
                    </a:stretch>
                  </pic:blipFill>
                  <pic:spPr>
                    <a:xfrm>
                      <a:off x="0" y="0"/>
                      <a:ext cx="5033739" cy="2880000"/>
                    </a:xfrm>
                    <a:prstGeom prst="rect">
                      <a:avLst/>
                    </a:prstGeom>
                  </pic:spPr>
                </pic:pic>
              </a:graphicData>
            </a:graphic>
          </wp:inline>
        </w:drawing>
      </w:r>
      <w:r>
        <w:rPr>
          <w:noProof/>
        </w:rPr>
        <w:lastRenderedPageBreak/>
        <w:drawing>
          <wp:inline distT="0" distB="0" distL="0" distR="0" wp14:anchorId="6F4E88A7" wp14:editId="07D7FB76">
            <wp:extent cx="4990345" cy="2880000"/>
            <wp:effectExtent l="0" t="0" r="1270" b="0"/>
            <wp:docPr id="172535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3576" name="Picture 17253576"/>
                    <pic:cNvPicPr/>
                  </pic:nvPicPr>
                  <pic:blipFill>
                    <a:blip r:embed="rId41">
                      <a:extLst>
                        <a:ext uri="{28A0092B-C50C-407E-A947-70E740481C1C}">
                          <a14:useLocalDpi xmlns:a14="http://schemas.microsoft.com/office/drawing/2010/main"/>
                        </a:ext>
                      </a:extLst>
                    </a:blip>
                    <a:stretch>
                      <a:fillRect/>
                    </a:stretch>
                  </pic:blipFill>
                  <pic:spPr>
                    <a:xfrm>
                      <a:off x="0" y="0"/>
                      <a:ext cx="4990345" cy="2880000"/>
                    </a:xfrm>
                    <a:prstGeom prst="rect">
                      <a:avLst/>
                    </a:prstGeom>
                  </pic:spPr>
                </pic:pic>
              </a:graphicData>
            </a:graphic>
          </wp:inline>
        </w:drawing>
      </w:r>
      <w:r>
        <w:rPr>
          <w:noProof/>
        </w:rPr>
        <w:drawing>
          <wp:inline distT="0" distB="0" distL="0" distR="0" wp14:anchorId="4F33776D" wp14:editId="1EA79E57">
            <wp:extent cx="5137988" cy="2880000"/>
            <wp:effectExtent l="0" t="0" r="5715" b="0"/>
            <wp:docPr id="20689103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910322" name="Picture 2068910322"/>
                    <pic:cNvPicPr/>
                  </pic:nvPicPr>
                  <pic:blipFill>
                    <a:blip r:embed="rId42">
                      <a:extLst>
                        <a:ext uri="{28A0092B-C50C-407E-A947-70E740481C1C}">
                          <a14:useLocalDpi xmlns:a14="http://schemas.microsoft.com/office/drawing/2010/main"/>
                        </a:ext>
                      </a:extLst>
                    </a:blip>
                    <a:stretch>
                      <a:fillRect/>
                    </a:stretch>
                  </pic:blipFill>
                  <pic:spPr>
                    <a:xfrm>
                      <a:off x="0" y="0"/>
                      <a:ext cx="5137988" cy="2880000"/>
                    </a:xfrm>
                    <a:prstGeom prst="rect">
                      <a:avLst/>
                    </a:prstGeom>
                  </pic:spPr>
                </pic:pic>
              </a:graphicData>
            </a:graphic>
          </wp:inline>
        </w:drawing>
      </w:r>
      <w:r>
        <w:rPr>
          <w:noProof/>
        </w:rPr>
        <w:lastRenderedPageBreak/>
        <w:drawing>
          <wp:inline distT="0" distB="0" distL="0" distR="0" wp14:anchorId="77EB78D6" wp14:editId="7CA3E12A">
            <wp:extent cx="4961829" cy="2880000"/>
            <wp:effectExtent l="0" t="0" r="0" b="0"/>
            <wp:docPr id="16456570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657013" name="Picture 1645657013"/>
                    <pic:cNvPicPr/>
                  </pic:nvPicPr>
                  <pic:blipFill>
                    <a:blip r:embed="rId43">
                      <a:extLst>
                        <a:ext uri="{28A0092B-C50C-407E-A947-70E740481C1C}">
                          <a14:useLocalDpi xmlns:a14="http://schemas.microsoft.com/office/drawing/2010/main"/>
                        </a:ext>
                      </a:extLst>
                    </a:blip>
                    <a:stretch>
                      <a:fillRect/>
                    </a:stretch>
                  </pic:blipFill>
                  <pic:spPr>
                    <a:xfrm>
                      <a:off x="0" y="0"/>
                      <a:ext cx="4961829" cy="2880000"/>
                    </a:xfrm>
                    <a:prstGeom prst="rect">
                      <a:avLst/>
                    </a:prstGeom>
                  </pic:spPr>
                </pic:pic>
              </a:graphicData>
            </a:graphic>
          </wp:inline>
        </w:drawing>
      </w:r>
      <w:r>
        <w:rPr>
          <w:noProof/>
        </w:rPr>
        <w:drawing>
          <wp:inline distT="0" distB="0" distL="0" distR="0" wp14:anchorId="663FA80C" wp14:editId="270BC15D">
            <wp:extent cx="5137988" cy="2880000"/>
            <wp:effectExtent l="0" t="0" r="5715" b="0"/>
            <wp:docPr id="16203380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338058" name="Picture 1620338058"/>
                    <pic:cNvPicPr/>
                  </pic:nvPicPr>
                  <pic:blipFill>
                    <a:blip r:embed="rId44">
                      <a:extLst>
                        <a:ext uri="{28A0092B-C50C-407E-A947-70E740481C1C}">
                          <a14:useLocalDpi xmlns:a14="http://schemas.microsoft.com/office/drawing/2010/main"/>
                        </a:ext>
                      </a:extLst>
                    </a:blip>
                    <a:stretch>
                      <a:fillRect/>
                    </a:stretch>
                  </pic:blipFill>
                  <pic:spPr>
                    <a:xfrm>
                      <a:off x="0" y="0"/>
                      <a:ext cx="5137988" cy="2880000"/>
                    </a:xfrm>
                    <a:prstGeom prst="rect">
                      <a:avLst/>
                    </a:prstGeom>
                  </pic:spPr>
                </pic:pic>
              </a:graphicData>
            </a:graphic>
          </wp:inline>
        </w:drawing>
      </w:r>
      <w:r>
        <w:rPr>
          <w:noProof/>
        </w:rPr>
        <w:lastRenderedPageBreak/>
        <w:drawing>
          <wp:inline distT="0" distB="0" distL="0" distR="0" wp14:anchorId="43C6356F" wp14:editId="7040F607">
            <wp:extent cx="5063090" cy="2880000"/>
            <wp:effectExtent l="0" t="0" r="4445" b="0"/>
            <wp:docPr id="17951064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106482" name="Picture 1795106482"/>
                    <pic:cNvPicPr/>
                  </pic:nvPicPr>
                  <pic:blipFill>
                    <a:blip r:embed="rId45">
                      <a:extLst>
                        <a:ext uri="{28A0092B-C50C-407E-A947-70E740481C1C}">
                          <a14:useLocalDpi xmlns:a14="http://schemas.microsoft.com/office/drawing/2010/main"/>
                        </a:ext>
                      </a:extLst>
                    </a:blip>
                    <a:stretch>
                      <a:fillRect/>
                    </a:stretch>
                  </pic:blipFill>
                  <pic:spPr>
                    <a:xfrm>
                      <a:off x="0" y="0"/>
                      <a:ext cx="5063090" cy="2880000"/>
                    </a:xfrm>
                    <a:prstGeom prst="rect">
                      <a:avLst/>
                    </a:prstGeom>
                  </pic:spPr>
                </pic:pic>
              </a:graphicData>
            </a:graphic>
          </wp:inline>
        </w:drawing>
      </w:r>
      <w:r>
        <w:rPr>
          <w:noProof/>
        </w:rPr>
        <w:drawing>
          <wp:inline distT="0" distB="0" distL="0" distR="0" wp14:anchorId="36C8984D" wp14:editId="2524304F">
            <wp:extent cx="5048372" cy="2880000"/>
            <wp:effectExtent l="0" t="0" r="0" b="0"/>
            <wp:docPr id="4412221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222144" name="Picture 441222144"/>
                    <pic:cNvPicPr/>
                  </pic:nvPicPr>
                  <pic:blipFill>
                    <a:blip r:embed="rId46">
                      <a:extLst>
                        <a:ext uri="{28A0092B-C50C-407E-A947-70E740481C1C}">
                          <a14:useLocalDpi xmlns:a14="http://schemas.microsoft.com/office/drawing/2010/main"/>
                        </a:ext>
                      </a:extLst>
                    </a:blip>
                    <a:stretch>
                      <a:fillRect/>
                    </a:stretch>
                  </pic:blipFill>
                  <pic:spPr>
                    <a:xfrm>
                      <a:off x="0" y="0"/>
                      <a:ext cx="5048372" cy="2880000"/>
                    </a:xfrm>
                    <a:prstGeom prst="rect">
                      <a:avLst/>
                    </a:prstGeom>
                  </pic:spPr>
                </pic:pic>
              </a:graphicData>
            </a:graphic>
          </wp:inline>
        </w:drawing>
      </w:r>
      <w:r>
        <w:rPr>
          <w:noProof/>
        </w:rPr>
        <w:lastRenderedPageBreak/>
        <w:drawing>
          <wp:inline distT="0" distB="0" distL="0" distR="0" wp14:anchorId="73390897" wp14:editId="4554A416">
            <wp:extent cx="4933636" cy="2880000"/>
            <wp:effectExtent l="0" t="0" r="635" b="0"/>
            <wp:docPr id="8465786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578687" name="Picture 846578687"/>
                    <pic:cNvPicPr/>
                  </pic:nvPicPr>
                  <pic:blipFill>
                    <a:blip r:embed="rId47">
                      <a:extLst>
                        <a:ext uri="{28A0092B-C50C-407E-A947-70E740481C1C}">
                          <a14:useLocalDpi xmlns:a14="http://schemas.microsoft.com/office/drawing/2010/main"/>
                        </a:ext>
                      </a:extLst>
                    </a:blip>
                    <a:stretch>
                      <a:fillRect/>
                    </a:stretch>
                  </pic:blipFill>
                  <pic:spPr>
                    <a:xfrm>
                      <a:off x="0" y="0"/>
                      <a:ext cx="4933636" cy="2880000"/>
                    </a:xfrm>
                    <a:prstGeom prst="rect">
                      <a:avLst/>
                    </a:prstGeom>
                  </pic:spPr>
                </pic:pic>
              </a:graphicData>
            </a:graphic>
          </wp:inline>
        </w:drawing>
      </w:r>
    </w:p>
    <w:p w14:paraId="2BD6C44A" w14:textId="30953E3F" w:rsidR="00A4224E" w:rsidRPr="00DE5669" w:rsidRDefault="53A90660" w:rsidP="007E233E">
      <w:pPr>
        <w:pStyle w:val="Ttulo2"/>
        <w:spacing w:before="299" w:after="299" w:line="249" w:lineRule="auto"/>
        <w:ind w:left="0" w:firstLine="0"/>
      </w:pPr>
      <w:bookmarkStart w:id="57" w:name="_Toc229241794"/>
      <w:bookmarkStart w:id="58" w:name="_Toc231974390"/>
      <w:bookmarkStart w:id="59" w:name="_Toc234260345"/>
      <w:r>
        <w:t>6.3</w:t>
      </w:r>
      <w:r w:rsidR="6E32E7EB">
        <w:t>. Implantação de Linhas de Cuidado Prioritárias</w:t>
      </w:r>
      <w:bookmarkEnd w:id="57"/>
      <w:bookmarkEnd w:id="58"/>
      <w:bookmarkEnd w:id="59"/>
    </w:p>
    <w:p w14:paraId="324AC559" w14:textId="54716DCB" w:rsidR="0D01E010" w:rsidRPr="008249A6" w:rsidRDefault="0D01E010" w:rsidP="0C58EABD">
      <w:pPr>
        <w:pStyle w:val="Ttulo2"/>
        <w:spacing w:before="299" w:after="299"/>
        <w:rPr>
          <w:sz w:val="22"/>
          <w:szCs w:val="18"/>
        </w:rPr>
      </w:pPr>
      <w:bookmarkStart w:id="60" w:name="_Toc234260346"/>
      <w:r w:rsidRPr="008249A6">
        <w:rPr>
          <w:bCs/>
          <w:szCs w:val="28"/>
        </w:rPr>
        <w:t>Protocolo de Sepse e Trilha IHR</w:t>
      </w:r>
      <w:bookmarkEnd w:id="60"/>
    </w:p>
    <w:p w14:paraId="096EE009" w14:textId="1FC25ED9" w:rsidR="0D01E010" w:rsidRPr="008249A6" w:rsidRDefault="0D01E010" w:rsidP="0C58EABD">
      <w:pPr>
        <w:spacing w:before="240" w:after="240"/>
        <w:rPr>
          <w:sz w:val="22"/>
          <w:szCs w:val="22"/>
        </w:rPr>
      </w:pPr>
      <w:r w:rsidRPr="008249A6">
        <w:rPr>
          <w:rFonts w:cs="Arial"/>
        </w:rPr>
        <w:t>O protocolo de sepse é uma linha de cuidado para reconhecer precocemente pacientes com suspeita de infecção e sinais de deterioração clínica, iniciar tratamento oportuno e reduzir risco de choque séptico, parada cardiorrespiratória, internação em UTI e óbito.</w:t>
      </w:r>
    </w:p>
    <w:p w14:paraId="4B0958F7" w14:textId="0959CF2F" w:rsidR="0D01E010" w:rsidRPr="008249A6" w:rsidRDefault="0D01E010" w:rsidP="0C58EABD">
      <w:pPr>
        <w:spacing w:before="240" w:after="240"/>
        <w:rPr>
          <w:sz w:val="22"/>
          <w:szCs w:val="22"/>
        </w:rPr>
      </w:pPr>
      <w:r w:rsidRPr="008249A6">
        <w:rPr>
          <w:rFonts w:cs="Arial"/>
        </w:rPr>
        <w:t>Pela definição Sepsis-3, sepse é uma disfunção orgânica com risco de vida causada por resposta desregulada do organismo a uma infecção. Na prática assistencial, isso significa que não basta identificar infecção; é necessário avaliar se há sinais de gravidade, alteração hemodinâmica, respiratória, neurológica, renal ou metabólica.</w:t>
      </w:r>
    </w:p>
    <w:p w14:paraId="0ECAD93D" w14:textId="45C54E83" w:rsidR="0D01E010" w:rsidRDefault="0D01E010" w:rsidP="0C58EABD">
      <w:pPr>
        <w:spacing w:before="240" w:after="240"/>
        <w:rPr>
          <w:rFonts w:cs="Arial"/>
        </w:rPr>
      </w:pPr>
      <w:r w:rsidRPr="008249A6">
        <w:rPr>
          <w:rFonts w:cs="Arial"/>
        </w:rPr>
        <w:t>O protocolo tem como finalidade garantir que todo paciente com suspeita de sepse seja rapidamente:</w:t>
      </w:r>
    </w:p>
    <w:p w14:paraId="2A5AC783" w14:textId="77777777" w:rsidR="00F63B9C" w:rsidRDefault="00F63B9C" w:rsidP="0C58EABD">
      <w:pPr>
        <w:spacing w:before="240" w:after="240"/>
        <w:rPr>
          <w:rFonts w:cs="Arial"/>
        </w:rPr>
      </w:pPr>
    </w:p>
    <w:p w14:paraId="04410DD9" w14:textId="77777777" w:rsidR="00F63B9C" w:rsidRPr="008249A6" w:rsidRDefault="00F63B9C" w:rsidP="0C58EABD">
      <w:pPr>
        <w:spacing w:before="240" w:after="240"/>
        <w:rPr>
          <w:sz w:val="22"/>
          <w:szCs w:val="22"/>
        </w:rPr>
      </w:pPr>
    </w:p>
    <w:p w14:paraId="4B99D5DF" w14:textId="0DCBBADE" w:rsidR="0D01E010" w:rsidRPr="008249A6" w:rsidRDefault="0D01E010" w:rsidP="0C58EABD">
      <w:pPr>
        <w:spacing w:before="240" w:after="240"/>
        <w:rPr>
          <w:sz w:val="22"/>
          <w:szCs w:val="22"/>
        </w:rPr>
      </w:pPr>
      <w:r w:rsidRPr="008249A6">
        <w:rPr>
          <w:rFonts w:cs="Arial"/>
          <w:b/>
          <w:bCs/>
        </w:rPr>
        <w:t>identificado, classificado, tratado e monitorado.</w:t>
      </w:r>
    </w:p>
    <w:p w14:paraId="0080DF70" w14:textId="7FB0BFFA" w:rsidR="0D01E010" w:rsidRPr="008249A6" w:rsidRDefault="0D01E010" w:rsidP="0C58EABD">
      <w:pPr>
        <w:spacing w:before="240" w:after="240"/>
        <w:rPr>
          <w:sz w:val="22"/>
          <w:szCs w:val="22"/>
        </w:rPr>
      </w:pPr>
      <w:r w:rsidRPr="008249A6">
        <w:rPr>
          <w:rFonts w:cs="Arial"/>
        </w:rPr>
        <w:lastRenderedPageBreak/>
        <w:t>Ele organiza o cuidado para que a equipe não dependa apenas da percepção individual do profissional. O protocolo cria uma trilha padronizada, com gatilhos objetivos, responsabilidades definidas e tempos esperados para cada etapa.</w:t>
      </w:r>
    </w:p>
    <w:p w14:paraId="4D0DEF54" w14:textId="40638DFC" w:rsidR="0D01E010" w:rsidRPr="008249A6" w:rsidRDefault="0D01E010" w:rsidP="0C58EABD">
      <w:pPr>
        <w:spacing w:before="240" w:after="240"/>
        <w:rPr>
          <w:sz w:val="22"/>
          <w:szCs w:val="22"/>
        </w:rPr>
      </w:pPr>
      <w:r w:rsidRPr="008249A6">
        <w:rPr>
          <w:rFonts w:cs="Arial"/>
        </w:rPr>
        <w:t>O NEWS2 funciona como ferramenta de rastreio de deterioração clínica. Ele ajuda a equipe a transformar sinais vitais em uma pontuação objetiva.</w:t>
      </w:r>
    </w:p>
    <w:p w14:paraId="7AD2DD8B" w14:textId="64039869" w:rsidR="0D01E010" w:rsidRPr="008249A6" w:rsidRDefault="0D01E010" w:rsidP="0C58EABD">
      <w:pPr>
        <w:spacing w:before="240" w:after="240"/>
        <w:rPr>
          <w:sz w:val="22"/>
          <w:szCs w:val="22"/>
        </w:rPr>
      </w:pPr>
      <w:r w:rsidRPr="008249A6">
        <w:rPr>
          <w:rFonts w:cs="Arial"/>
        </w:rPr>
        <w:t>Geralmente são avaliados:</w:t>
      </w:r>
    </w:p>
    <w:p w14:paraId="67D1198A" w14:textId="1420EDC9" w:rsidR="0D01E010" w:rsidRPr="008249A6" w:rsidRDefault="0D01E010" w:rsidP="0C58EABD">
      <w:pPr>
        <w:pStyle w:val="PargrafodaLista"/>
        <w:numPr>
          <w:ilvl w:val="0"/>
          <w:numId w:val="35"/>
        </w:numPr>
        <w:spacing w:after="0"/>
        <w:rPr>
          <w:rFonts w:cs="Arial"/>
        </w:rPr>
      </w:pPr>
      <w:r w:rsidRPr="008249A6">
        <w:rPr>
          <w:rFonts w:cs="Arial"/>
        </w:rPr>
        <w:t xml:space="preserve">frequência respiratória; </w:t>
      </w:r>
    </w:p>
    <w:p w14:paraId="4B279C32" w14:textId="09512BEE" w:rsidR="0D01E010" w:rsidRPr="008249A6" w:rsidRDefault="0D01E010" w:rsidP="0C58EABD">
      <w:pPr>
        <w:pStyle w:val="PargrafodaLista"/>
        <w:numPr>
          <w:ilvl w:val="0"/>
          <w:numId w:val="35"/>
        </w:numPr>
        <w:spacing w:after="0"/>
        <w:rPr>
          <w:rFonts w:cs="Arial"/>
        </w:rPr>
      </w:pPr>
      <w:r w:rsidRPr="008249A6">
        <w:rPr>
          <w:rFonts w:cs="Arial"/>
        </w:rPr>
        <w:t xml:space="preserve">saturação de oxigênio; </w:t>
      </w:r>
    </w:p>
    <w:p w14:paraId="1EB2A9DA" w14:textId="298B557C" w:rsidR="0D01E010" w:rsidRPr="008249A6" w:rsidRDefault="0D01E010" w:rsidP="0C58EABD">
      <w:pPr>
        <w:pStyle w:val="PargrafodaLista"/>
        <w:numPr>
          <w:ilvl w:val="0"/>
          <w:numId w:val="35"/>
        </w:numPr>
        <w:spacing w:after="0"/>
        <w:rPr>
          <w:rFonts w:cs="Arial"/>
        </w:rPr>
      </w:pPr>
      <w:r w:rsidRPr="008249A6">
        <w:rPr>
          <w:rFonts w:cs="Arial"/>
        </w:rPr>
        <w:t xml:space="preserve">uso de oxigênio suplementar; </w:t>
      </w:r>
    </w:p>
    <w:p w14:paraId="6081A1B1" w14:textId="5BEDCBF3" w:rsidR="0D01E010" w:rsidRPr="008249A6" w:rsidRDefault="0D01E010" w:rsidP="0C58EABD">
      <w:pPr>
        <w:pStyle w:val="PargrafodaLista"/>
        <w:numPr>
          <w:ilvl w:val="0"/>
          <w:numId w:val="35"/>
        </w:numPr>
        <w:spacing w:after="0"/>
        <w:rPr>
          <w:rFonts w:cs="Arial"/>
        </w:rPr>
      </w:pPr>
      <w:r w:rsidRPr="008249A6">
        <w:rPr>
          <w:rFonts w:cs="Arial"/>
        </w:rPr>
        <w:t xml:space="preserve">temperatura; </w:t>
      </w:r>
    </w:p>
    <w:p w14:paraId="40F45623" w14:textId="02CE44EF" w:rsidR="0D01E010" w:rsidRPr="008249A6" w:rsidRDefault="0D01E010" w:rsidP="0C58EABD">
      <w:pPr>
        <w:pStyle w:val="PargrafodaLista"/>
        <w:numPr>
          <w:ilvl w:val="0"/>
          <w:numId w:val="35"/>
        </w:numPr>
        <w:spacing w:after="0"/>
        <w:rPr>
          <w:rFonts w:cs="Arial"/>
        </w:rPr>
      </w:pPr>
      <w:r w:rsidRPr="008249A6">
        <w:rPr>
          <w:rFonts w:cs="Arial"/>
        </w:rPr>
        <w:t xml:space="preserve">pressão arterial sistólica; </w:t>
      </w:r>
    </w:p>
    <w:p w14:paraId="51B88534" w14:textId="0451F8B8" w:rsidR="0D01E010" w:rsidRPr="008249A6" w:rsidRDefault="0D01E010" w:rsidP="0C58EABD">
      <w:pPr>
        <w:pStyle w:val="PargrafodaLista"/>
        <w:numPr>
          <w:ilvl w:val="0"/>
          <w:numId w:val="35"/>
        </w:numPr>
        <w:spacing w:after="0"/>
        <w:rPr>
          <w:rFonts w:cs="Arial"/>
        </w:rPr>
      </w:pPr>
      <w:r w:rsidRPr="008249A6">
        <w:rPr>
          <w:rFonts w:cs="Arial"/>
        </w:rPr>
        <w:t xml:space="preserve">frequência cardíaca; </w:t>
      </w:r>
    </w:p>
    <w:p w14:paraId="7B36DE57" w14:textId="1C5826DE" w:rsidR="0D01E010" w:rsidRPr="008249A6" w:rsidRDefault="0D01E010" w:rsidP="0C58EABD">
      <w:pPr>
        <w:pStyle w:val="PargrafodaLista"/>
        <w:numPr>
          <w:ilvl w:val="0"/>
          <w:numId w:val="35"/>
        </w:numPr>
        <w:spacing w:after="0"/>
        <w:rPr>
          <w:rFonts w:cs="Arial"/>
        </w:rPr>
      </w:pPr>
      <w:r w:rsidRPr="008249A6">
        <w:rPr>
          <w:rFonts w:cs="Arial"/>
        </w:rPr>
        <w:t xml:space="preserve">nível de consciência. </w:t>
      </w:r>
    </w:p>
    <w:p w14:paraId="01BB2324" w14:textId="481355F9" w:rsidR="0D01E010" w:rsidRPr="008249A6" w:rsidRDefault="0D01E010" w:rsidP="0C58EABD">
      <w:pPr>
        <w:spacing w:before="240" w:after="240"/>
      </w:pPr>
      <w:r w:rsidRPr="008249A6">
        <w:rPr>
          <w:rFonts w:cs="Arial"/>
        </w:rPr>
        <w:t>Na trilha IHR, o NEWS2 pode ser usado como gatilho para suspeitar de sepse, acionar equipe médica, intensificar monitorização e abrir o protocolo.</w:t>
      </w:r>
    </w:p>
    <w:p w14:paraId="4E014FD3" w14:textId="38C1505C" w:rsidR="0D01E010" w:rsidRPr="008249A6" w:rsidRDefault="0D01E010" w:rsidP="0C58EABD">
      <w:pPr>
        <w:spacing w:before="240" w:after="240"/>
      </w:pPr>
      <w:r w:rsidRPr="008249A6">
        <w:rPr>
          <w:rFonts w:cs="Arial"/>
        </w:rPr>
        <w:t>O ponto crítico é: NEWS2 não deve ser apenas preenchido; ele precisa gerar ação.</w:t>
      </w:r>
    </w:p>
    <w:p w14:paraId="078BA265" w14:textId="77777777" w:rsidR="00F63B9C" w:rsidRDefault="4C6433EE" w:rsidP="0C58EABD">
      <w:pPr>
        <w:spacing w:before="240" w:after="240"/>
      </w:pPr>
      <w:r>
        <w:rPr>
          <w:noProof/>
        </w:rPr>
        <w:drawing>
          <wp:inline distT="0" distB="0" distL="0" distR="0" wp14:anchorId="63AC48EE" wp14:editId="35DD619A">
            <wp:extent cx="3797314" cy="2160000"/>
            <wp:effectExtent l="0" t="0" r="0" b="0"/>
            <wp:docPr id="213980371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803716" name="Picture 2139803716"/>
                    <pic:cNvPicPr/>
                  </pic:nvPicPr>
                  <pic:blipFill>
                    <a:blip r:embed="rId48">
                      <a:extLst>
                        <a:ext uri="{28A0092B-C50C-407E-A947-70E740481C1C}">
                          <a14:useLocalDpi xmlns:a14="http://schemas.microsoft.com/office/drawing/2010/main"/>
                        </a:ext>
                      </a:extLst>
                    </a:blip>
                    <a:stretch>
                      <a:fillRect/>
                    </a:stretch>
                  </pic:blipFill>
                  <pic:spPr>
                    <a:xfrm>
                      <a:off x="0" y="0"/>
                      <a:ext cx="3797314" cy="2160000"/>
                    </a:xfrm>
                    <a:prstGeom prst="rect">
                      <a:avLst/>
                    </a:prstGeom>
                  </pic:spPr>
                </pic:pic>
              </a:graphicData>
            </a:graphic>
          </wp:inline>
        </w:drawing>
      </w:r>
    </w:p>
    <w:p w14:paraId="154AE382" w14:textId="5293B4CB" w:rsidR="4C6433EE" w:rsidRDefault="4C6433EE" w:rsidP="0C58EABD">
      <w:pPr>
        <w:spacing w:before="240" w:after="240"/>
      </w:pPr>
      <w:r>
        <w:rPr>
          <w:noProof/>
        </w:rPr>
        <w:lastRenderedPageBreak/>
        <w:drawing>
          <wp:inline distT="0" distB="0" distL="0" distR="0" wp14:anchorId="28BE5B1F" wp14:editId="5F95BB48">
            <wp:extent cx="5133649" cy="2520000"/>
            <wp:effectExtent l="0" t="0" r="0" b="0"/>
            <wp:docPr id="109326118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261183" name="Picture 1093261183"/>
                    <pic:cNvPicPr/>
                  </pic:nvPicPr>
                  <pic:blipFill>
                    <a:blip r:embed="rId49">
                      <a:extLst>
                        <a:ext uri="{28A0092B-C50C-407E-A947-70E740481C1C}">
                          <a14:useLocalDpi xmlns:a14="http://schemas.microsoft.com/office/drawing/2010/main"/>
                        </a:ext>
                      </a:extLst>
                    </a:blip>
                    <a:stretch>
                      <a:fillRect/>
                    </a:stretch>
                  </pic:blipFill>
                  <pic:spPr>
                    <a:xfrm>
                      <a:off x="0" y="0"/>
                      <a:ext cx="5133649" cy="2520000"/>
                    </a:xfrm>
                    <a:prstGeom prst="rect">
                      <a:avLst/>
                    </a:prstGeom>
                  </pic:spPr>
                </pic:pic>
              </a:graphicData>
            </a:graphic>
          </wp:inline>
        </w:drawing>
      </w:r>
    </w:p>
    <w:p w14:paraId="425CE994" w14:textId="0B0124CA" w:rsidR="5A648E79" w:rsidRPr="008249A6" w:rsidRDefault="5A648E79" w:rsidP="0C58EABD">
      <w:pPr>
        <w:spacing w:before="240" w:after="240"/>
      </w:pPr>
      <w:r w:rsidRPr="0C58EABD">
        <w:rPr>
          <w:rFonts w:cs="Arial"/>
        </w:rPr>
        <w:t xml:space="preserve">O gráfico demonstra uma </w:t>
      </w:r>
      <w:r w:rsidRPr="008249A6">
        <w:rPr>
          <w:rFonts w:cs="Arial"/>
        </w:rPr>
        <w:t>melhora expressiva e sustentada da adesão ao NEWS2, saindo de um patamar inicial muito baixo para resultados próximos de 80% a 90% nas últimas semanas. Há evidência clara de causa especial de variação positiva, com presença de ponto astronômico e deslocamento, indicando que o processo provavelmente mudou de forma real após intervenções.</w:t>
      </w:r>
    </w:p>
    <w:p w14:paraId="2A9D1A86" w14:textId="7BCEA006" w:rsidR="5A648E79" w:rsidRPr="008249A6" w:rsidRDefault="5A648E79" w:rsidP="0C58EABD">
      <w:pPr>
        <w:spacing w:before="240" w:after="240"/>
      </w:pPr>
      <w:r w:rsidRPr="008249A6">
        <w:rPr>
          <w:rFonts w:cs="Arial"/>
        </w:rPr>
        <w:t>A evolução da mediana de 11,87% para 87,55% mostra um ganho relevante de confiabilidade no processo. Isso sugere que a equipe passou a aplicar o NEWS2 com maior frequência, possivelmente após treinamento, padronização, cobrança assistencial, auditoria, feedback ou incorporação do escore na rotina.</w:t>
      </w:r>
    </w:p>
    <w:p w14:paraId="0E9717CC" w14:textId="45312841" w:rsidR="5A648E79" w:rsidRPr="008249A6" w:rsidRDefault="5A648E79" w:rsidP="0C58EABD">
      <w:pPr>
        <w:spacing w:before="240" w:after="240"/>
      </w:pPr>
      <w:r w:rsidRPr="008249A6">
        <w:rPr>
          <w:rFonts w:cs="Arial"/>
        </w:rPr>
        <w:t>O principal ponto positivo é a melhora progressiva e sustentada. O gráfico não mostra apenas um pico isolado, mas uma sequência de semanas com desempenho mais alto, principalmente na fase final.</w:t>
      </w:r>
    </w:p>
    <w:p w14:paraId="03409A24" w14:textId="65E4608D" w:rsidR="5A648E79" w:rsidRPr="008249A6" w:rsidRDefault="5A648E79" w:rsidP="0C58EABD">
      <w:pPr>
        <w:spacing w:before="240" w:after="240"/>
      </w:pPr>
      <w:r w:rsidRPr="008249A6">
        <w:rPr>
          <w:rFonts w:cs="Arial"/>
        </w:rPr>
        <w:t>Isso indica que a adesão ao NEWS2 deixou de ser uma prática pontual e passou a se aproximar de um processo mais estruturado. A fase final, com mediana de 87,55%, demonstra que a instituição alcançou um novo patamar de desempenho.</w:t>
      </w:r>
    </w:p>
    <w:p w14:paraId="013018FF" w14:textId="285C848D" w:rsidR="5A648E79" w:rsidRDefault="5A648E79" w:rsidP="0C58EABD">
      <w:pPr>
        <w:spacing w:before="240" w:after="240"/>
      </w:pPr>
      <w:r w:rsidRPr="0C58EABD">
        <w:rPr>
          <w:rFonts w:cs="Arial"/>
        </w:rPr>
        <w:t>Outro ponto positivo é que há uma trajetória coerente de melhoria: o indicador avança em degraus, com medianas crescentes entre as fases. Esse comportamento sugere aprendizado progressivo do sistema e não apenas variação aleatória.</w:t>
      </w:r>
    </w:p>
    <w:p w14:paraId="37EA9840" w14:textId="55ACBDBC" w:rsidR="5A648E79" w:rsidRDefault="5A648E79" w:rsidP="0C58EABD">
      <w:pPr>
        <w:pStyle w:val="Ttulo2"/>
        <w:spacing w:before="299" w:after="299"/>
        <w:jc w:val="both"/>
        <w:rPr>
          <w:bCs/>
          <w:sz w:val="24"/>
          <w:szCs w:val="24"/>
        </w:rPr>
      </w:pPr>
      <w:bookmarkStart w:id="61" w:name="_Toc234260347"/>
      <w:r w:rsidRPr="0C58EABD">
        <w:rPr>
          <w:rFonts w:asciiTheme="minorHAnsi" w:eastAsiaTheme="minorEastAsia" w:hAnsiTheme="minorHAnsi" w:cstheme="minorBidi"/>
          <w:bCs/>
          <w:color w:val="000000" w:themeColor="text1"/>
          <w:sz w:val="24"/>
          <w:szCs w:val="24"/>
        </w:rPr>
        <w:lastRenderedPageBreak/>
        <w:t>Análise crítica dos riscos e fragilidades</w:t>
      </w:r>
      <w:bookmarkEnd w:id="61"/>
    </w:p>
    <w:p w14:paraId="3B2F061A" w14:textId="2F27B2D4" w:rsidR="5A648E79" w:rsidRPr="008249A6" w:rsidRDefault="5A648E79" w:rsidP="0C58EABD">
      <w:pPr>
        <w:spacing w:before="240" w:after="240"/>
      </w:pPr>
      <w:r w:rsidRPr="0C58EABD">
        <w:rPr>
          <w:rFonts w:cs="Arial"/>
        </w:rPr>
        <w:t xml:space="preserve">Apesar da melhora, o indicador ainda exige cautela na interpretação. A adesão ao NEWS2 mede se o escore foi </w:t>
      </w:r>
      <w:r w:rsidRPr="008249A6">
        <w:rPr>
          <w:rFonts w:cs="Arial"/>
        </w:rPr>
        <w:t>aplicado, mas não garante, isoladamente, que a conduta clínica foi adequada após o resultado do escore.</w:t>
      </w:r>
    </w:p>
    <w:p w14:paraId="38AA6AC6" w14:textId="767C0A60" w:rsidR="5A648E79" w:rsidRDefault="5A648E79" w:rsidP="0C58EABD">
      <w:pPr>
        <w:spacing w:before="240" w:after="240"/>
      </w:pPr>
      <w:r w:rsidRPr="0C58EABD">
        <w:rPr>
          <w:rFonts w:cs="Arial"/>
        </w:rPr>
        <w:t>Ou seja, é possível ter alta adesão ao preenchimento do NEWS2, mas ainda existirem falhas em etapas críticas, como:</w:t>
      </w:r>
    </w:p>
    <w:p w14:paraId="64DF0D56" w14:textId="7B618775" w:rsidR="5A648E79" w:rsidRDefault="5A648E79" w:rsidP="0C58EABD">
      <w:pPr>
        <w:pStyle w:val="PargrafodaLista"/>
        <w:numPr>
          <w:ilvl w:val="0"/>
          <w:numId w:val="37"/>
        </w:numPr>
        <w:spacing w:after="0"/>
        <w:rPr>
          <w:rFonts w:cs="Arial"/>
        </w:rPr>
      </w:pPr>
      <w:r w:rsidRPr="0C58EABD">
        <w:rPr>
          <w:rFonts w:cs="Arial"/>
        </w:rPr>
        <w:t xml:space="preserve">reconhecimento do paciente com risco elevado; </w:t>
      </w:r>
    </w:p>
    <w:p w14:paraId="26B811C9" w14:textId="1615A503" w:rsidR="5A648E79" w:rsidRDefault="5A648E79" w:rsidP="0C58EABD">
      <w:pPr>
        <w:pStyle w:val="PargrafodaLista"/>
        <w:numPr>
          <w:ilvl w:val="0"/>
          <w:numId w:val="37"/>
        </w:numPr>
        <w:spacing w:after="0"/>
        <w:rPr>
          <w:rFonts w:cs="Arial"/>
        </w:rPr>
      </w:pPr>
      <w:r w:rsidRPr="0C58EABD">
        <w:rPr>
          <w:rFonts w:cs="Arial"/>
        </w:rPr>
        <w:t xml:space="preserve">acionamento oportuno do médico ou equipe de resposta rápida; </w:t>
      </w:r>
    </w:p>
    <w:p w14:paraId="2278CE6F" w14:textId="32B63A93" w:rsidR="5A648E79" w:rsidRDefault="5A648E79" w:rsidP="0C58EABD">
      <w:pPr>
        <w:pStyle w:val="PargrafodaLista"/>
        <w:numPr>
          <w:ilvl w:val="0"/>
          <w:numId w:val="37"/>
        </w:numPr>
        <w:spacing w:after="0"/>
        <w:rPr>
          <w:rFonts w:cs="Arial"/>
        </w:rPr>
      </w:pPr>
      <w:r w:rsidRPr="0C58EABD">
        <w:rPr>
          <w:rFonts w:cs="Arial"/>
        </w:rPr>
        <w:t xml:space="preserve">abertura adequada do protocolo de sepse; </w:t>
      </w:r>
    </w:p>
    <w:p w14:paraId="406C67D2" w14:textId="2FB61D6D" w:rsidR="5A648E79" w:rsidRDefault="5A648E79" w:rsidP="0C58EABD">
      <w:pPr>
        <w:pStyle w:val="PargrafodaLista"/>
        <w:numPr>
          <w:ilvl w:val="0"/>
          <w:numId w:val="37"/>
        </w:numPr>
        <w:spacing w:after="0"/>
        <w:rPr>
          <w:rFonts w:cs="Arial"/>
        </w:rPr>
      </w:pPr>
      <w:r w:rsidRPr="0C58EABD">
        <w:rPr>
          <w:rFonts w:cs="Arial"/>
        </w:rPr>
        <w:t xml:space="preserve">coleta de lactato; </w:t>
      </w:r>
    </w:p>
    <w:p w14:paraId="6AA1BAE5" w14:textId="782430DE" w:rsidR="5A648E79" w:rsidRDefault="5A648E79" w:rsidP="0C58EABD">
      <w:pPr>
        <w:pStyle w:val="PargrafodaLista"/>
        <w:numPr>
          <w:ilvl w:val="0"/>
          <w:numId w:val="37"/>
        </w:numPr>
        <w:spacing w:after="0"/>
        <w:rPr>
          <w:rFonts w:cs="Arial"/>
        </w:rPr>
      </w:pPr>
      <w:r w:rsidRPr="0C58EABD">
        <w:rPr>
          <w:rFonts w:cs="Arial"/>
        </w:rPr>
        <w:t xml:space="preserve">administração precoce de antimicrobiano; </w:t>
      </w:r>
    </w:p>
    <w:p w14:paraId="48F77AEF" w14:textId="09C6E2CA" w:rsidR="5A648E79" w:rsidRDefault="5A648E79" w:rsidP="0C58EABD">
      <w:pPr>
        <w:pStyle w:val="PargrafodaLista"/>
        <w:numPr>
          <w:ilvl w:val="0"/>
          <w:numId w:val="37"/>
        </w:numPr>
        <w:spacing w:after="0"/>
        <w:rPr>
          <w:rFonts w:cs="Arial"/>
        </w:rPr>
      </w:pPr>
      <w:r w:rsidRPr="0C58EABD">
        <w:rPr>
          <w:rFonts w:cs="Arial"/>
        </w:rPr>
        <w:t xml:space="preserve">reavaliação clínica; </w:t>
      </w:r>
    </w:p>
    <w:p w14:paraId="57B37584" w14:textId="62C5DCDA" w:rsidR="5A648E79" w:rsidRDefault="5A648E79" w:rsidP="0C58EABD">
      <w:pPr>
        <w:pStyle w:val="PargrafodaLista"/>
        <w:numPr>
          <w:ilvl w:val="0"/>
          <w:numId w:val="37"/>
        </w:numPr>
        <w:spacing w:after="0"/>
        <w:rPr>
          <w:rFonts w:cs="Arial"/>
        </w:rPr>
      </w:pPr>
      <w:r w:rsidRPr="0C58EABD">
        <w:rPr>
          <w:rFonts w:cs="Arial"/>
        </w:rPr>
        <w:t xml:space="preserve">transferência para unidade de maior complexidade quando indicada. </w:t>
      </w:r>
    </w:p>
    <w:p w14:paraId="77457ADD" w14:textId="2D3791AA" w:rsidR="5A648E79" w:rsidRDefault="5A648E79" w:rsidP="0C58EABD">
      <w:pPr>
        <w:spacing w:before="240" w:after="240"/>
      </w:pPr>
      <w:r w:rsidRPr="0C58EABD">
        <w:rPr>
          <w:rFonts w:cs="Arial"/>
        </w:rPr>
        <w:t>Portanto, a melhora do indicador é relevante, mas precisa ser analisada junto com indicadores de desfecho e processo, como tempo para antibiótico, abertura de protocolo de sepse, mortalidade, transferência não planejada para UTI e PCR inesperada.</w:t>
      </w:r>
    </w:p>
    <w:p w14:paraId="404CE221" w14:textId="46C97C78" w:rsidR="5A648E79" w:rsidRDefault="5A648E79" w:rsidP="0C58EABD">
      <w:pPr>
        <w:pStyle w:val="Ttulo2"/>
        <w:spacing w:before="299" w:after="299"/>
        <w:jc w:val="both"/>
        <w:rPr>
          <w:rFonts w:asciiTheme="minorHAnsi" w:eastAsiaTheme="minorEastAsia" w:hAnsiTheme="minorHAnsi" w:cstheme="minorBidi"/>
          <w:bCs/>
          <w:color w:val="000000" w:themeColor="text1"/>
          <w:sz w:val="24"/>
          <w:szCs w:val="24"/>
        </w:rPr>
      </w:pPr>
      <w:bookmarkStart w:id="62" w:name="_Toc234260348"/>
      <w:r w:rsidRPr="0C58EABD">
        <w:rPr>
          <w:rFonts w:asciiTheme="minorHAnsi" w:eastAsiaTheme="minorEastAsia" w:hAnsiTheme="minorHAnsi" w:cstheme="minorBidi"/>
          <w:bCs/>
          <w:color w:val="000000" w:themeColor="text1"/>
          <w:sz w:val="24"/>
          <w:szCs w:val="24"/>
        </w:rPr>
        <w:t>Principais ações para a melhoria</w:t>
      </w:r>
      <w:bookmarkEnd w:id="62"/>
    </w:p>
    <w:p w14:paraId="522FD624" w14:textId="202E0496" w:rsidR="5A648E79" w:rsidRDefault="5A648E79" w:rsidP="0C58EABD">
      <w:pPr>
        <w:spacing w:before="240" w:after="240"/>
      </w:pPr>
      <w:r w:rsidRPr="0C58EABD">
        <w:rPr>
          <w:rFonts w:cs="Arial"/>
        </w:rPr>
        <w:t>A melhora pode estar associada a:</w:t>
      </w:r>
    </w:p>
    <w:p w14:paraId="6F85F045" w14:textId="49977263" w:rsidR="5A648E79" w:rsidRDefault="5A648E79" w:rsidP="0C58EABD">
      <w:pPr>
        <w:pStyle w:val="PargrafodaLista"/>
        <w:numPr>
          <w:ilvl w:val="0"/>
          <w:numId w:val="36"/>
        </w:numPr>
        <w:spacing w:after="0"/>
        <w:rPr>
          <w:rFonts w:cs="Arial"/>
        </w:rPr>
      </w:pPr>
      <w:r w:rsidRPr="0C58EABD">
        <w:rPr>
          <w:rFonts w:cs="Arial"/>
        </w:rPr>
        <w:t xml:space="preserve">implantação ou reforço do protocolo de sepse; </w:t>
      </w:r>
    </w:p>
    <w:p w14:paraId="512DB5B5" w14:textId="2A2AB641" w:rsidR="5A648E79" w:rsidRDefault="5A648E79" w:rsidP="0C58EABD">
      <w:pPr>
        <w:pStyle w:val="PargrafodaLista"/>
        <w:numPr>
          <w:ilvl w:val="0"/>
          <w:numId w:val="36"/>
        </w:numPr>
        <w:spacing w:after="0"/>
        <w:rPr>
          <w:rFonts w:cs="Arial"/>
        </w:rPr>
      </w:pPr>
      <w:r w:rsidRPr="0C58EABD">
        <w:rPr>
          <w:rFonts w:cs="Arial"/>
        </w:rPr>
        <w:t xml:space="preserve">treinamento das equipes assistenciais; </w:t>
      </w:r>
    </w:p>
    <w:p w14:paraId="6414E71F" w14:textId="024D52C4" w:rsidR="5A648E79" w:rsidRDefault="5A648E79" w:rsidP="0C58EABD">
      <w:pPr>
        <w:pStyle w:val="PargrafodaLista"/>
        <w:numPr>
          <w:ilvl w:val="0"/>
          <w:numId w:val="36"/>
        </w:numPr>
        <w:spacing w:after="0"/>
        <w:rPr>
          <w:rFonts w:cs="Arial"/>
        </w:rPr>
      </w:pPr>
      <w:r w:rsidRPr="0C58EABD">
        <w:rPr>
          <w:rFonts w:cs="Arial"/>
        </w:rPr>
        <w:t xml:space="preserve">uso do NEWS2 como gatilho para deterioração clínica; </w:t>
      </w:r>
    </w:p>
    <w:p w14:paraId="4CB16D51" w14:textId="6FD29D69" w:rsidR="5A648E79" w:rsidRDefault="5A648E79" w:rsidP="0C58EABD">
      <w:pPr>
        <w:pStyle w:val="PargrafodaLista"/>
        <w:numPr>
          <w:ilvl w:val="0"/>
          <w:numId w:val="36"/>
        </w:numPr>
        <w:spacing w:after="0"/>
        <w:rPr>
          <w:rFonts w:cs="Arial"/>
        </w:rPr>
      </w:pPr>
      <w:r w:rsidRPr="0C58EABD">
        <w:rPr>
          <w:rFonts w:cs="Arial"/>
        </w:rPr>
        <w:t xml:space="preserve">monitoramento semanal do indicador; </w:t>
      </w:r>
    </w:p>
    <w:p w14:paraId="31F81757" w14:textId="75E02FC5" w:rsidR="5A648E79" w:rsidRDefault="5A648E79" w:rsidP="0C58EABD">
      <w:pPr>
        <w:pStyle w:val="PargrafodaLista"/>
        <w:numPr>
          <w:ilvl w:val="0"/>
          <w:numId w:val="36"/>
        </w:numPr>
        <w:spacing w:after="0"/>
        <w:rPr>
          <w:rFonts w:cs="Arial"/>
        </w:rPr>
      </w:pPr>
      <w:r w:rsidRPr="0C58EABD">
        <w:rPr>
          <w:rFonts w:cs="Arial"/>
        </w:rPr>
        <w:t xml:space="preserve">feedback para liderança e equipes; </w:t>
      </w:r>
    </w:p>
    <w:p w14:paraId="667CF146" w14:textId="0F6F3353" w:rsidR="5A648E79" w:rsidRDefault="5A648E79" w:rsidP="0C58EABD">
      <w:pPr>
        <w:pStyle w:val="PargrafodaLista"/>
        <w:numPr>
          <w:ilvl w:val="0"/>
          <w:numId w:val="36"/>
        </w:numPr>
        <w:spacing w:after="0"/>
        <w:rPr>
          <w:rFonts w:cs="Arial"/>
        </w:rPr>
      </w:pPr>
      <w:r w:rsidRPr="0C58EABD">
        <w:rPr>
          <w:rFonts w:cs="Arial"/>
        </w:rPr>
        <w:t xml:space="preserve">maior envolvimento da enfermagem; </w:t>
      </w:r>
    </w:p>
    <w:p w14:paraId="2F186C5D" w14:textId="6EA10BCF" w:rsidR="5A648E79" w:rsidRDefault="5A648E79" w:rsidP="0C58EABD">
      <w:pPr>
        <w:pStyle w:val="PargrafodaLista"/>
        <w:numPr>
          <w:ilvl w:val="0"/>
          <w:numId w:val="36"/>
        </w:numPr>
        <w:spacing w:after="0"/>
        <w:rPr>
          <w:rFonts w:cs="Arial"/>
        </w:rPr>
      </w:pPr>
      <w:r w:rsidRPr="0C58EABD">
        <w:rPr>
          <w:rFonts w:cs="Arial"/>
        </w:rPr>
        <w:t xml:space="preserve">padronização da avaliação de sinais vitais; </w:t>
      </w:r>
    </w:p>
    <w:p w14:paraId="218185AA" w14:textId="057452B6" w:rsidR="5A648E79" w:rsidRDefault="5A648E79" w:rsidP="0C58EABD">
      <w:pPr>
        <w:pStyle w:val="PargrafodaLista"/>
        <w:numPr>
          <w:ilvl w:val="0"/>
          <w:numId w:val="36"/>
        </w:numPr>
        <w:spacing w:after="0"/>
        <w:rPr>
          <w:rFonts w:cs="Arial"/>
        </w:rPr>
      </w:pPr>
      <w:r w:rsidRPr="0C58EABD">
        <w:rPr>
          <w:rFonts w:cs="Arial"/>
        </w:rPr>
        <w:t>sensibilização após eventos adversos graves ou casos de sepse.</w:t>
      </w:r>
    </w:p>
    <w:p w14:paraId="48435E67" w14:textId="07C0188A" w:rsidR="0C58EABD" w:rsidRPr="008249A6" w:rsidRDefault="0C58EABD" w:rsidP="0C58EABD">
      <w:pPr>
        <w:spacing w:after="0"/>
        <w:ind w:left="0"/>
        <w:rPr>
          <w:rFonts w:cs="Arial"/>
        </w:rPr>
      </w:pPr>
    </w:p>
    <w:p w14:paraId="79BA142B" w14:textId="02398C6E" w:rsidR="5A648E79" w:rsidRPr="008249A6" w:rsidRDefault="5A648E79" w:rsidP="0C58EABD">
      <w:pPr>
        <w:spacing w:before="240" w:after="240"/>
      </w:pPr>
      <w:r w:rsidRPr="008249A6">
        <w:rPr>
          <w:rFonts w:cs="Arial"/>
        </w:rPr>
        <w:t>O indicador apresenta melhora robusta, sustentada e clinicamente relevante, com mudança de patamar de baixa adesão para alta adesão ao NEWS2. Há evidência de causa especial positiva, sugerindo que o processo foi modificado de maneira efetiva.</w:t>
      </w:r>
    </w:p>
    <w:p w14:paraId="396A9AF7" w14:textId="508B8E2F" w:rsidR="5A648E79" w:rsidRDefault="5A648E79" w:rsidP="0C58EABD">
      <w:pPr>
        <w:spacing w:before="240" w:after="240"/>
      </w:pPr>
      <w:r w:rsidRPr="008249A6">
        <w:rPr>
          <w:rFonts w:cs="Arial"/>
        </w:rPr>
        <w:lastRenderedPageBreak/>
        <w:t>Entretanto, a análise crítica mostra que o próximo desafio não é apenas manter alta adesão ao preenchimento, mas garantir que o NEWS2 gere ação clínica oportuna. O indicador deve evoluir de uma métrica de conformidade para uma métrica integrada de segurança, conectada ao reconhecimento precoce</w:t>
      </w:r>
      <w:r w:rsidRPr="0C58EABD">
        <w:rPr>
          <w:rFonts w:cs="Arial"/>
        </w:rPr>
        <w:t xml:space="preserve"> da sepse, deterioração clínica e prevenção de eventos graves.</w:t>
      </w:r>
    </w:p>
    <w:p w14:paraId="26999509" w14:textId="1093E40E" w:rsidR="4C6433EE" w:rsidRDefault="4C6433EE" w:rsidP="0C58EABD">
      <w:pPr>
        <w:spacing w:before="240" w:after="240" w:line="360" w:lineRule="auto"/>
      </w:pPr>
      <w:r>
        <w:rPr>
          <w:noProof/>
        </w:rPr>
        <w:drawing>
          <wp:inline distT="0" distB="0" distL="0" distR="0" wp14:anchorId="2DDCA634" wp14:editId="62F9ADB4">
            <wp:extent cx="4469294" cy="2520000"/>
            <wp:effectExtent l="0" t="0" r="7620" b="0"/>
            <wp:docPr id="130592663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926631" name="Picture 1305926631"/>
                    <pic:cNvPicPr/>
                  </pic:nvPicPr>
                  <pic:blipFill>
                    <a:blip r:embed="rId50">
                      <a:extLst>
                        <a:ext uri="{28A0092B-C50C-407E-A947-70E740481C1C}">
                          <a14:useLocalDpi xmlns:a14="http://schemas.microsoft.com/office/drawing/2010/main"/>
                        </a:ext>
                      </a:extLst>
                    </a:blip>
                    <a:stretch>
                      <a:fillRect/>
                    </a:stretch>
                  </pic:blipFill>
                  <pic:spPr>
                    <a:xfrm>
                      <a:off x="0" y="0"/>
                      <a:ext cx="4469294" cy="2520000"/>
                    </a:xfrm>
                    <a:prstGeom prst="rect">
                      <a:avLst/>
                    </a:prstGeom>
                  </pic:spPr>
                </pic:pic>
              </a:graphicData>
            </a:graphic>
          </wp:inline>
        </w:drawing>
      </w:r>
    </w:p>
    <w:p w14:paraId="0B39E0AC" w14:textId="3E3FC4E1" w:rsidR="68A1F111" w:rsidRPr="008249A6" w:rsidRDefault="68A1F111" w:rsidP="0C58EABD">
      <w:pPr>
        <w:spacing w:before="240" w:after="240"/>
      </w:pPr>
      <w:r w:rsidRPr="0C58EABD">
        <w:rPr>
          <w:rFonts w:cs="Arial"/>
          <w:b/>
          <w:bCs/>
        </w:rPr>
        <w:t>Indicador:</w:t>
      </w:r>
      <w:r w:rsidRPr="0C58EABD">
        <w:rPr>
          <w:rFonts w:cs="Arial"/>
        </w:rPr>
        <w:t xml:space="preserve"> Perc</w:t>
      </w:r>
      <w:r w:rsidRPr="008249A6">
        <w:rPr>
          <w:rFonts w:cs="Arial"/>
        </w:rPr>
        <w:t>entual de pacientes com adesão ao RI de Sepse</w:t>
      </w:r>
      <w:r w:rsidRPr="008249A6">
        <w:br/>
      </w:r>
      <w:r w:rsidRPr="008249A6">
        <w:rPr>
          <w:rFonts w:cs="Arial"/>
        </w:rPr>
        <w:t xml:space="preserve"> Período: série semanal, com duas fases analisadas</w:t>
      </w:r>
    </w:p>
    <w:p w14:paraId="7465F508" w14:textId="4BA42E21" w:rsidR="68A1F111" w:rsidRPr="008249A6" w:rsidRDefault="68A1F111" w:rsidP="0C58EABD">
      <w:pPr>
        <w:spacing w:before="240" w:after="240"/>
      </w:pPr>
      <w:r w:rsidRPr="008249A6">
        <w:rPr>
          <w:rFonts w:cs="Arial"/>
        </w:rPr>
        <w:t>O gráfico demonstra uma mudança importante no comportamento do indicador ao longo do tempo. Na fase inicial, observa-se grande instabilidade, com resultados variando bastante entre as semanas, inclusive com quedas acentuadas para valores próximos de 0% em alguns pontos. Após determinado momento da série, há uma elevação sustentada do desempenho, com várias semanas atingindo 80% a 100%, sugerindo melhora do processo assistencial relacionado à adesão ao protocolo de sepse.</w:t>
      </w:r>
    </w:p>
    <w:p w14:paraId="0A412724" w14:textId="6E13CB04" w:rsidR="625DCD59" w:rsidRPr="008249A6" w:rsidRDefault="625DCD59" w:rsidP="0C58EABD">
      <w:pPr>
        <w:spacing w:before="240" w:after="240"/>
      </w:pPr>
      <w:r w:rsidRPr="008249A6">
        <w:rPr>
          <w:rFonts w:cs="Arial"/>
        </w:rPr>
        <w:t>Na primeira fase, o indicador apresenta média aproximada de 33,69%, com muitos pontos abaixo de 50%. Isso sugere baixa adesão ao protocolo ou variação importante na execução das etapas do RI de Sepse.</w:t>
      </w:r>
    </w:p>
    <w:p w14:paraId="456F4400" w14:textId="14138249" w:rsidR="625DCD59" w:rsidRPr="008249A6" w:rsidRDefault="625DCD59" w:rsidP="0C58EABD">
      <w:pPr>
        <w:spacing w:before="240" w:after="240"/>
      </w:pPr>
      <w:r w:rsidRPr="008249A6">
        <w:rPr>
          <w:rFonts w:cs="Arial"/>
        </w:rPr>
        <w:t>Esse comportamento pode estar relacionado a fatores como:</w:t>
      </w:r>
    </w:p>
    <w:p w14:paraId="7BB33982" w14:textId="3FB4761E" w:rsidR="625DCD59" w:rsidRPr="008249A6" w:rsidRDefault="625DCD59" w:rsidP="0C58EABD">
      <w:pPr>
        <w:pStyle w:val="PargrafodaLista"/>
        <w:numPr>
          <w:ilvl w:val="0"/>
          <w:numId w:val="39"/>
        </w:numPr>
        <w:spacing w:after="0"/>
        <w:rPr>
          <w:rFonts w:cs="Arial"/>
        </w:rPr>
      </w:pPr>
      <w:r w:rsidRPr="008249A6">
        <w:rPr>
          <w:rFonts w:cs="Arial"/>
        </w:rPr>
        <w:t xml:space="preserve">baixa padronização do reconhecimento precoce da sepse; </w:t>
      </w:r>
    </w:p>
    <w:p w14:paraId="4C0C3895" w14:textId="5F238828" w:rsidR="625DCD59" w:rsidRPr="008249A6" w:rsidRDefault="625DCD59" w:rsidP="0C58EABD">
      <w:pPr>
        <w:pStyle w:val="PargrafodaLista"/>
        <w:numPr>
          <w:ilvl w:val="0"/>
          <w:numId w:val="39"/>
        </w:numPr>
        <w:spacing w:after="0"/>
        <w:rPr>
          <w:rFonts w:cs="Arial"/>
        </w:rPr>
      </w:pPr>
      <w:r w:rsidRPr="008249A6">
        <w:rPr>
          <w:rFonts w:cs="Arial"/>
        </w:rPr>
        <w:t xml:space="preserve">falhas na abertura do protocolo; </w:t>
      </w:r>
    </w:p>
    <w:p w14:paraId="7B988CB3" w14:textId="7CCAC0F3" w:rsidR="625DCD59" w:rsidRPr="008249A6" w:rsidRDefault="625DCD59" w:rsidP="0C58EABD">
      <w:pPr>
        <w:pStyle w:val="PargrafodaLista"/>
        <w:numPr>
          <w:ilvl w:val="0"/>
          <w:numId w:val="39"/>
        </w:numPr>
        <w:spacing w:after="0"/>
        <w:rPr>
          <w:rFonts w:cs="Arial"/>
        </w:rPr>
      </w:pPr>
      <w:r w:rsidRPr="008249A6">
        <w:rPr>
          <w:rFonts w:cs="Arial"/>
        </w:rPr>
        <w:t xml:space="preserve">dificuldade na coleta ou registro dos dados; </w:t>
      </w:r>
    </w:p>
    <w:p w14:paraId="0FEBC85B" w14:textId="16B7FD87" w:rsidR="625DCD59" w:rsidRPr="008249A6" w:rsidRDefault="625DCD59" w:rsidP="0C58EABD">
      <w:pPr>
        <w:pStyle w:val="PargrafodaLista"/>
        <w:numPr>
          <w:ilvl w:val="0"/>
          <w:numId w:val="39"/>
        </w:numPr>
        <w:spacing w:after="0"/>
        <w:rPr>
          <w:rFonts w:cs="Arial"/>
        </w:rPr>
      </w:pPr>
      <w:r w:rsidRPr="008249A6">
        <w:rPr>
          <w:rFonts w:cs="Arial"/>
        </w:rPr>
        <w:lastRenderedPageBreak/>
        <w:t xml:space="preserve">ausência de rotina consolidada nas unidades; </w:t>
      </w:r>
    </w:p>
    <w:p w14:paraId="46339FE7" w14:textId="342CFC64" w:rsidR="625DCD59" w:rsidRPr="008249A6" w:rsidRDefault="625DCD59" w:rsidP="0C58EABD">
      <w:pPr>
        <w:pStyle w:val="PargrafodaLista"/>
        <w:numPr>
          <w:ilvl w:val="0"/>
          <w:numId w:val="39"/>
        </w:numPr>
        <w:spacing w:after="0"/>
        <w:rPr>
          <w:rFonts w:cs="Arial"/>
        </w:rPr>
      </w:pPr>
      <w:r w:rsidRPr="008249A6">
        <w:rPr>
          <w:rFonts w:cs="Arial"/>
        </w:rPr>
        <w:t xml:space="preserve">variação entre equipes e plantões; </w:t>
      </w:r>
    </w:p>
    <w:p w14:paraId="41C55FA6" w14:textId="560015F2" w:rsidR="625DCD59" w:rsidRPr="008249A6" w:rsidRDefault="625DCD59" w:rsidP="0C58EABD">
      <w:pPr>
        <w:pStyle w:val="PargrafodaLista"/>
        <w:numPr>
          <w:ilvl w:val="0"/>
          <w:numId w:val="39"/>
        </w:numPr>
        <w:spacing w:after="0"/>
        <w:rPr>
          <w:rFonts w:cs="Arial"/>
        </w:rPr>
      </w:pPr>
      <w:r w:rsidRPr="008249A6">
        <w:rPr>
          <w:rFonts w:cs="Arial"/>
        </w:rPr>
        <w:t xml:space="preserve">baixa confiabilidade do processo. </w:t>
      </w:r>
    </w:p>
    <w:p w14:paraId="5942C715" w14:textId="2134F8EB" w:rsidR="625DCD59" w:rsidRPr="008249A6" w:rsidRDefault="625DCD59" w:rsidP="0C58EABD">
      <w:pPr>
        <w:spacing w:before="240" w:after="240"/>
      </w:pPr>
      <w:r w:rsidRPr="008249A6">
        <w:rPr>
          <w:rFonts w:cs="Arial"/>
        </w:rPr>
        <w:t>A presença de pontos muito baixos e até zerados indica causa especial de variação, pois foge do comportamento esperado de uma variação comum do processo.</w:t>
      </w:r>
    </w:p>
    <w:p w14:paraId="1AFE945E" w14:textId="0D79B604" w:rsidR="625DCD59" w:rsidRPr="008249A6" w:rsidRDefault="625DCD59" w:rsidP="0C58EABD">
      <w:pPr>
        <w:spacing w:before="240" w:after="240"/>
      </w:pPr>
      <w:r w:rsidRPr="008249A6">
        <w:rPr>
          <w:rFonts w:cs="Arial"/>
        </w:rPr>
        <w:t>Na segunda fase, a média sobe para aproximadamente 83,82%, demonstrando melhora expressiva do indicador. O gráfico mostra vários pontos consecutivos em patamar elevado, principalmente entre 80% e 100%.</w:t>
      </w:r>
    </w:p>
    <w:p w14:paraId="2C497B6B" w14:textId="0925D15B" w:rsidR="625DCD59" w:rsidRPr="008249A6" w:rsidRDefault="625DCD59" w:rsidP="0C58EABD">
      <w:pPr>
        <w:spacing w:before="240" w:after="240"/>
      </w:pPr>
      <w:r w:rsidRPr="008249A6">
        <w:rPr>
          <w:rFonts w:cs="Arial"/>
        </w:rPr>
        <w:t>Essa mudança sugere que alguma intervenção, padronização ou reforço operacional pode ter ocorrido, como:</w:t>
      </w:r>
    </w:p>
    <w:p w14:paraId="1B5ABE8B" w14:textId="05B49347" w:rsidR="625DCD59" w:rsidRPr="008249A6" w:rsidRDefault="625DCD59" w:rsidP="0C58EABD">
      <w:pPr>
        <w:pStyle w:val="PargrafodaLista"/>
        <w:numPr>
          <w:ilvl w:val="0"/>
          <w:numId w:val="38"/>
        </w:numPr>
        <w:spacing w:after="0"/>
        <w:rPr>
          <w:rFonts w:cs="Arial"/>
        </w:rPr>
      </w:pPr>
      <w:r w:rsidRPr="008249A6">
        <w:rPr>
          <w:rFonts w:cs="Arial"/>
        </w:rPr>
        <w:t xml:space="preserve">maior sensibilização das equipes; </w:t>
      </w:r>
    </w:p>
    <w:p w14:paraId="53E26542" w14:textId="63B20F9A" w:rsidR="625DCD59" w:rsidRPr="008249A6" w:rsidRDefault="625DCD59" w:rsidP="0C58EABD">
      <w:pPr>
        <w:pStyle w:val="PargrafodaLista"/>
        <w:numPr>
          <w:ilvl w:val="0"/>
          <w:numId w:val="38"/>
        </w:numPr>
        <w:spacing w:after="0"/>
        <w:rPr>
          <w:rFonts w:cs="Arial"/>
        </w:rPr>
      </w:pPr>
      <w:r w:rsidRPr="008249A6">
        <w:rPr>
          <w:rFonts w:cs="Arial"/>
        </w:rPr>
        <w:t xml:space="preserve">implantação ou fortalecimento do protocolo de sepse; </w:t>
      </w:r>
    </w:p>
    <w:p w14:paraId="28FBBCF0" w14:textId="6EE15B52" w:rsidR="625DCD59" w:rsidRPr="008249A6" w:rsidRDefault="625DCD59" w:rsidP="0C58EABD">
      <w:pPr>
        <w:pStyle w:val="PargrafodaLista"/>
        <w:numPr>
          <w:ilvl w:val="0"/>
          <w:numId w:val="38"/>
        </w:numPr>
        <w:spacing w:after="0"/>
        <w:rPr>
          <w:rFonts w:cs="Arial"/>
        </w:rPr>
      </w:pPr>
      <w:r w:rsidRPr="008249A6">
        <w:rPr>
          <w:rFonts w:cs="Arial"/>
        </w:rPr>
        <w:t xml:space="preserve">uso de gatilhos clínicos; </w:t>
      </w:r>
    </w:p>
    <w:p w14:paraId="5DF58F0E" w14:textId="74D37E07" w:rsidR="625DCD59" w:rsidRPr="008249A6" w:rsidRDefault="625DCD59" w:rsidP="0C58EABD">
      <w:pPr>
        <w:pStyle w:val="PargrafodaLista"/>
        <w:numPr>
          <w:ilvl w:val="0"/>
          <w:numId w:val="38"/>
        </w:numPr>
        <w:spacing w:after="0"/>
        <w:rPr>
          <w:rFonts w:cs="Arial"/>
        </w:rPr>
      </w:pPr>
      <w:r w:rsidRPr="008249A6">
        <w:rPr>
          <w:rFonts w:cs="Arial"/>
        </w:rPr>
        <w:t xml:space="preserve">melhoria no reconhecimento precoce; </w:t>
      </w:r>
    </w:p>
    <w:p w14:paraId="15F55666" w14:textId="1B034CFB" w:rsidR="625DCD59" w:rsidRPr="008249A6" w:rsidRDefault="625DCD59" w:rsidP="0C58EABD">
      <w:pPr>
        <w:pStyle w:val="PargrafodaLista"/>
        <w:numPr>
          <w:ilvl w:val="0"/>
          <w:numId w:val="38"/>
        </w:numPr>
        <w:spacing w:after="0"/>
        <w:rPr>
          <w:rFonts w:cs="Arial"/>
        </w:rPr>
      </w:pPr>
      <w:r w:rsidRPr="008249A6">
        <w:rPr>
          <w:rFonts w:cs="Arial"/>
        </w:rPr>
        <w:t xml:space="preserve">reforço da abertura do protocolo; </w:t>
      </w:r>
    </w:p>
    <w:p w14:paraId="127B52A9" w14:textId="2EDD28F9" w:rsidR="625DCD59" w:rsidRPr="008249A6" w:rsidRDefault="625DCD59" w:rsidP="0C58EABD">
      <w:pPr>
        <w:pStyle w:val="PargrafodaLista"/>
        <w:numPr>
          <w:ilvl w:val="0"/>
          <w:numId w:val="38"/>
        </w:numPr>
        <w:spacing w:after="0"/>
        <w:rPr>
          <w:rFonts w:cs="Arial"/>
        </w:rPr>
      </w:pPr>
      <w:r w:rsidRPr="008249A6">
        <w:rPr>
          <w:rFonts w:cs="Arial"/>
        </w:rPr>
        <w:t xml:space="preserve">acompanhamento mais próximo pela liderança; </w:t>
      </w:r>
    </w:p>
    <w:p w14:paraId="285F34FE" w14:textId="0C8711A6" w:rsidR="625DCD59" w:rsidRPr="008249A6" w:rsidRDefault="625DCD59" w:rsidP="0C58EABD">
      <w:pPr>
        <w:pStyle w:val="PargrafodaLista"/>
        <w:numPr>
          <w:ilvl w:val="0"/>
          <w:numId w:val="38"/>
        </w:numPr>
        <w:spacing w:after="0"/>
        <w:rPr>
          <w:rFonts w:cs="Arial"/>
        </w:rPr>
      </w:pPr>
      <w:r w:rsidRPr="008249A6">
        <w:rPr>
          <w:rFonts w:cs="Arial"/>
        </w:rPr>
        <w:t>auditoria e feedback para as equipes.</w:t>
      </w:r>
    </w:p>
    <w:p w14:paraId="48B791CE" w14:textId="21EA739B" w:rsidR="625DCD59" w:rsidRPr="008249A6" w:rsidRDefault="625DCD59" w:rsidP="0C58EABD">
      <w:pPr>
        <w:spacing w:before="240" w:after="240"/>
      </w:pPr>
      <w:r w:rsidRPr="008249A6">
        <w:rPr>
          <w:rFonts w:cs="Arial"/>
        </w:rPr>
        <w:t>O gráfico indica que o indicador está melhorando.</w:t>
      </w:r>
    </w:p>
    <w:p w14:paraId="238B07B1" w14:textId="262A6B6E" w:rsidR="625DCD59" w:rsidRPr="008249A6" w:rsidRDefault="625DCD59" w:rsidP="0C58EABD">
      <w:pPr>
        <w:spacing w:before="240" w:after="240"/>
      </w:pPr>
      <w:r w:rsidRPr="008249A6">
        <w:rPr>
          <w:rFonts w:cs="Arial"/>
        </w:rPr>
        <w:t>Apesar da melhora, ainda existem algumas oscilações na segunda fase, com quedas pontuais para valores próximos de 70% a 75%. Essas quedas merecem atenção, pois podem indicar fragilidades específicas em determinadas semanas, equipes ou unidades.</w:t>
      </w:r>
    </w:p>
    <w:p w14:paraId="53372403" w14:textId="094D27F3" w:rsidR="625DCD59" w:rsidRPr="008249A6" w:rsidRDefault="625DCD59" w:rsidP="0C58EABD">
      <w:pPr>
        <w:spacing w:before="240" w:after="240"/>
      </w:pPr>
      <w:r w:rsidRPr="008249A6">
        <w:rPr>
          <w:rFonts w:cs="Arial"/>
        </w:rPr>
        <w:t>Mesmo assim, o comportamento geral é positivo, pois o processo parece ter saído de uma média baixa, em torno de 33,69%, para um novo patamar médio próximo de 83,82%.</w:t>
      </w:r>
    </w:p>
    <w:p w14:paraId="213C6392" w14:textId="75368F9F" w:rsidR="625DCD59" w:rsidRPr="008249A6" w:rsidRDefault="625DCD59" w:rsidP="0C58EABD">
      <w:pPr>
        <w:spacing w:before="240" w:after="240"/>
      </w:pPr>
      <w:r w:rsidRPr="008249A6">
        <w:rPr>
          <w:rFonts w:cs="Arial"/>
        </w:rPr>
        <w:t>O indicador de adesão ao RI de Sepse apresentou melhora significativa e sustentada ao longo da série histórica. A mudança da média da fase 1 para a fase 2 demonstra que houve ganho de desempenho e maior adesão ao protocolo.</w:t>
      </w:r>
    </w:p>
    <w:p w14:paraId="1415B80F" w14:textId="3D82F9AA" w:rsidR="625DCD59" w:rsidRDefault="625DCD59" w:rsidP="0C58EABD">
      <w:pPr>
        <w:spacing w:before="240" w:after="240"/>
      </w:pPr>
      <w:r w:rsidRPr="008249A6">
        <w:rPr>
          <w:rFonts w:cs="Arial"/>
        </w:rPr>
        <w:t>A análise sugere presença de causa especial de variação positiva, com deslocamento do processo para um patamar superior. O próximo passo é manter a sustentação dos resultados, investigar as semanas com queda e</w:t>
      </w:r>
      <w:r w:rsidRPr="0C58EABD">
        <w:rPr>
          <w:rFonts w:cs="Arial"/>
        </w:rPr>
        <w:t xml:space="preserve"> garantir que a adesão ao protocolo seja confiável em todos os turnos e unidades.</w:t>
      </w:r>
    </w:p>
    <w:p w14:paraId="100D1327" w14:textId="665B1B62" w:rsidR="0C58EABD" w:rsidRDefault="0C58EABD" w:rsidP="0C58EABD">
      <w:pPr>
        <w:spacing w:before="240" w:after="240" w:line="360" w:lineRule="auto"/>
      </w:pPr>
    </w:p>
    <w:p w14:paraId="7AEE15C2" w14:textId="0B8F5157" w:rsidR="4C6433EE" w:rsidRPr="008249A6" w:rsidRDefault="4C6433EE" w:rsidP="0C58EABD">
      <w:pPr>
        <w:spacing w:before="240" w:after="240"/>
      </w:pPr>
      <w:r>
        <w:rPr>
          <w:noProof/>
        </w:rPr>
        <w:drawing>
          <wp:inline distT="0" distB="0" distL="0" distR="0" wp14:anchorId="18A90CE6" wp14:editId="1F56D22D">
            <wp:extent cx="4482478" cy="2520000"/>
            <wp:effectExtent l="0" t="0" r="0" b="0"/>
            <wp:docPr id="209171831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718314" name="Picture 2091718314"/>
                    <pic:cNvPicPr/>
                  </pic:nvPicPr>
                  <pic:blipFill>
                    <a:blip r:embed="rId51">
                      <a:extLst>
                        <a:ext uri="{28A0092B-C50C-407E-A947-70E740481C1C}">
                          <a14:useLocalDpi xmlns:a14="http://schemas.microsoft.com/office/drawing/2010/main"/>
                        </a:ext>
                      </a:extLst>
                    </a:blip>
                    <a:stretch>
                      <a:fillRect/>
                    </a:stretch>
                  </pic:blipFill>
                  <pic:spPr>
                    <a:xfrm>
                      <a:off x="0" y="0"/>
                      <a:ext cx="4482478" cy="2520000"/>
                    </a:xfrm>
                    <a:prstGeom prst="rect">
                      <a:avLst/>
                    </a:prstGeom>
                  </pic:spPr>
                </pic:pic>
              </a:graphicData>
            </a:graphic>
          </wp:inline>
        </w:drawing>
      </w:r>
      <w:r w:rsidR="52E70976" w:rsidRPr="0C58EABD">
        <w:rPr>
          <w:rFonts w:cs="Arial"/>
          <w:b/>
          <w:bCs/>
        </w:rPr>
        <w:t>Indicador:</w:t>
      </w:r>
      <w:r w:rsidR="52E70976" w:rsidRPr="0C58EABD">
        <w:rPr>
          <w:rFonts w:cs="Arial"/>
        </w:rPr>
        <w:t xml:space="preserve"> Percentual de </w:t>
      </w:r>
      <w:r w:rsidR="52E70976" w:rsidRPr="008249A6">
        <w:rPr>
          <w:rFonts w:cs="Arial"/>
        </w:rPr>
        <w:t>adesão ao R3 — Pacote de Reavaliação de Sepse</w:t>
      </w:r>
    </w:p>
    <w:p w14:paraId="3683C876" w14:textId="6969644E" w:rsidR="52E70976" w:rsidRPr="008249A6" w:rsidRDefault="52E70976" w:rsidP="0C58EABD">
      <w:pPr>
        <w:spacing w:before="240" w:after="240"/>
      </w:pPr>
      <w:r w:rsidRPr="008249A6">
        <w:rPr>
          <w:rFonts w:cs="Arial"/>
        </w:rPr>
        <w:t>O gráfico demonstra que o indicador está melhorando, porém ainda apresenta baixa confiabilidade e grande variação ao longo do tempo. Há presença de causas especiais de variação, com marcação de ponto astronômico e deslocamento, o que indica que o processo sofreu mudanças importantes, mas ainda não está plenamente estabilizado.</w:t>
      </w:r>
    </w:p>
    <w:p w14:paraId="7079FCFD" w14:textId="1C26F509" w:rsidR="52E70976" w:rsidRPr="008249A6" w:rsidRDefault="52E70976" w:rsidP="0C58EABD">
      <w:pPr>
        <w:spacing w:before="240" w:after="240"/>
      </w:pPr>
      <w:r w:rsidRPr="008249A6">
        <w:rPr>
          <w:rFonts w:cs="Arial"/>
        </w:rPr>
        <w:t>Na fase 1, o desempenho já era baixo, com mediana em torno de 27,94%. Isso indica que menos de um terço dos pacientes elegíveis recebiam ou tinham registro adequado do pacote de reavaliação.</w:t>
      </w:r>
    </w:p>
    <w:p w14:paraId="5B944D40" w14:textId="70E5D39B" w:rsidR="52E70976" w:rsidRPr="008249A6" w:rsidRDefault="52E70976" w:rsidP="0C58EABD">
      <w:pPr>
        <w:spacing w:before="240" w:after="240"/>
      </w:pPr>
      <w:r w:rsidRPr="008249A6">
        <w:rPr>
          <w:rFonts w:cs="Arial"/>
        </w:rPr>
        <w:t>Na fase 2, há piora do indicador, com mediana aproximada de 13,01%, além de vários pontos próximos de 0%. Esse comportamento sugere falha importante na execução, no registro ou na incorporação do R3 à rotina assistencial.</w:t>
      </w:r>
    </w:p>
    <w:p w14:paraId="08B2835D" w14:textId="25960BE6" w:rsidR="52E70976" w:rsidRDefault="52E70976" w:rsidP="0C58EABD">
      <w:pPr>
        <w:spacing w:before="240" w:after="240"/>
      </w:pPr>
      <w:r w:rsidRPr="008249A6">
        <w:rPr>
          <w:rFonts w:cs="Arial"/>
        </w:rPr>
        <w:t>Na fase 3, ocorre melhora significativa, com mediana em torno de 51,14%. Apesar</w:t>
      </w:r>
      <w:r w:rsidRPr="0C58EABD">
        <w:rPr>
          <w:rFonts w:cs="Arial"/>
        </w:rPr>
        <w:t xml:space="preserve"> do avanço, o resultado ainda mostra que cerca de metade dos pacientes pode não estar recebendo a reavaliação conforme esperado.</w:t>
      </w:r>
    </w:p>
    <w:p w14:paraId="0D6CA1D9" w14:textId="390A8878" w:rsidR="52E70976" w:rsidRDefault="52E70976" w:rsidP="0C58EABD">
      <w:pPr>
        <w:spacing w:before="240" w:after="240"/>
      </w:pPr>
      <w:r w:rsidRPr="0C58EABD">
        <w:rPr>
          <w:rFonts w:cs="Arial"/>
        </w:rPr>
        <w:t xml:space="preserve">R3 é uma etapa muito </w:t>
      </w:r>
      <w:r w:rsidRPr="008249A6">
        <w:rPr>
          <w:rFonts w:cs="Arial"/>
        </w:rPr>
        <w:t>importante do protocolo de sepse, porque representa a reavaliação clínica após as primeiras condutas. Não basta abrir o protocolo, coletar lactato ou iniciar antibiótico. O paciente precisa ser reavaliado para verificar resposta ao tratamento e necessidade de escalonamento</w:t>
      </w:r>
      <w:r w:rsidRPr="0C58EABD">
        <w:rPr>
          <w:rFonts w:cs="Arial"/>
        </w:rPr>
        <w:t xml:space="preserve"> do cuidado.</w:t>
      </w:r>
    </w:p>
    <w:p w14:paraId="58A705FD" w14:textId="56004D97" w:rsidR="52E70976" w:rsidRDefault="52E70976" w:rsidP="0C58EABD">
      <w:pPr>
        <w:spacing w:before="240" w:after="240"/>
      </w:pPr>
      <w:r w:rsidRPr="0C58EABD">
        <w:rPr>
          <w:rFonts w:cs="Arial"/>
        </w:rPr>
        <w:lastRenderedPageBreak/>
        <w:t>A baixa adesão ao R3 pode representar risco para:</w:t>
      </w:r>
    </w:p>
    <w:p w14:paraId="637ECEEC" w14:textId="7E16F8D7" w:rsidR="52E70976" w:rsidRDefault="52E70976" w:rsidP="0C58EABD">
      <w:pPr>
        <w:pStyle w:val="PargrafodaLista"/>
        <w:numPr>
          <w:ilvl w:val="0"/>
          <w:numId w:val="34"/>
        </w:numPr>
        <w:spacing w:after="0"/>
        <w:rPr>
          <w:rFonts w:cs="Arial"/>
        </w:rPr>
      </w:pPr>
      <w:r w:rsidRPr="0C58EABD">
        <w:rPr>
          <w:rFonts w:cs="Arial"/>
        </w:rPr>
        <w:t xml:space="preserve">atraso na identificação de choque séptico; </w:t>
      </w:r>
    </w:p>
    <w:p w14:paraId="367A3D88" w14:textId="53C7D2CB" w:rsidR="52E70976" w:rsidRDefault="52E70976" w:rsidP="0C58EABD">
      <w:pPr>
        <w:pStyle w:val="PargrafodaLista"/>
        <w:numPr>
          <w:ilvl w:val="0"/>
          <w:numId w:val="34"/>
        </w:numPr>
        <w:spacing w:after="0"/>
        <w:rPr>
          <w:rFonts w:cs="Arial"/>
        </w:rPr>
      </w:pPr>
      <w:r w:rsidRPr="0C58EABD">
        <w:rPr>
          <w:rFonts w:cs="Arial"/>
        </w:rPr>
        <w:t xml:space="preserve">manutenção de hipoperfusão não reconhecida; </w:t>
      </w:r>
    </w:p>
    <w:p w14:paraId="64466DC8" w14:textId="395A190F" w:rsidR="52E70976" w:rsidRDefault="52E70976" w:rsidP="0C58EABD">
      <w:pPr>
        <w:pStyle w:val="PargrafodaLista"/>
        <w:numPr>
          <w:ilvl w:val="0"/>
          <w:numId w:val="34"/>
        </w:numPr>
        <w:spacing w:after="0"/>
        <w:rPr>
          <w:rFonts w:cs="Arial"/>
        </w:rPr>
      </w:pPr>
      <w:r w:rsidRPr="0C58EABD">
        <w:rPr>
          <w:rFonts w:cs="Arial"/>
        </w:rPr>
        <w:t xml:space="preserve">atraso na transferência para UTI; </w:t>
      </w:r>
    </w:p>
    <w:p w14:paraId="4BC0A2B8" w14:textId="4C381FA5" w:rsidR="52E70976" w:rsidRDefault="52E70976" w:rsidP="0C58EABD">
      <w:pPr>
        <w:pStyle w:val="PargrafodaLista"/>
        <w:numPr>
          <w:ilvl w:val="0"/>
          <w:numId w:val="34"/>
        </w:numPr>
        <w:spacing w:after="0"/>
        <w:rPr>
          <w:rFonts w:cs="Arial"/>
        </w:rPr>
      </w:pPr>
      <w:r w:rsidRPr="0C58EABD">
        <w:rPr>
          <w:rFonts w:cs="Arial"/>
        </w:rPr>
        <w:t xml:space="preserve">falha na reavaliação de lactato; </w:t>
      </w:r>
    </w:p>
    <w:p w14:paraId="768C373C" w14:textId="408973AB" w:rsidR="52E70976" w:rsidRDefault="52E70976" w:rsidP="0C58EABD">
      <w:pPr>
        <w:pStyle w:val="PargrafodaLista"/>
        <w:numPr>
          <w:ilvl w:val="0"/>
          <w:numId w:val="34"/>
        </w:numPr>
        <w:spacing w:after="0"/>
        <w:rPr>
          <w:rFonts w:cs="Arial"/>
        </w:rPr>
      </w:pPr>
      <w:r w:rsidRPr="0C58EABD">
        <w:rPr>
          <w:rFonts w:cs="Arial"/>
        </w:rPr>
        <w:t xml:space="preserve">ausência de ajuste terapêutico; </w:t>
      </w:r>
    </w:p>
    <w:p w14:paraId="2F5B1997" w14:textId="0F43323A" w:rsidR="52E70976" w:rsidRDefault="52E70976" w:rsidP="0C58EABD">
      <w:pPr>
        <w:pStyle w:val="PargrafodaLista"/>
        <w:numPr>
          <w:ilvl w:val="0"/>
          <w:numId w:val="34"/>
        </w:numPr>
        <w:spacing w:after="0"/>
        <w:rPr>
          <w:rFonts w:cs="Arial"/>
        </w:rPr>
      </w:pPr>
      <w:r w:rsidRPr="0C58EABD">
        <w:rPr>
          <w:rFonts w:cs="Arial"/>
        </w:rPr>
        <w:t xml:space="preserve">piora clínica não percebida oportunamente; </w:t>
      </w:r>
    </w:p>
    <w:p w14:paraId="248B0DA5" w14:textId="4AA9F17A" w:rsidR="52E70976" w:rsidRDefault="52E70976" w:rsidP="0C58EABD">
      <w:pPr>
        <w:pStyle w:val="PargrafodaLista"/>
        <w:numPr>
          <w:ilvl w:val="0"/>
          <w:numId w:val="34"/>
        </w:numPr>
        <w:spacing w:after="0"/>
        <w:rPr>
          <w:rFonts w:cs="Arial"/>
        </w:rPr>
      </w:pPr>
      <w:r w:rsidRPr="0C58EABD">
        <w:rPr>
          <w:rFonts w:cs="Arial"/>
        </w:rPr>
        <w:t xml:space="preserve">aumento de PCR inesperada e mortalidade. </w:t>
      </w:r>
    </w:p>
    <w:p w14:paraId="59A04377" w14:textId="136D9D6C" w:rsidR="52E70976" w:rsidRPr="008249A6" w:rsidRDefault="52E70976" w:rsidP="0C58EABD">
      <w:pPr>
        <w:spacing w:before="240" w:after="240"/>
      </w:pPr>
      <w:r w:rsidRPr="0C58EABD">
        <w:rPr>
          <w:rFonts w:cs="Arial"/>
        </w:rPr>
        <w:t xml:space="preserve">Portanto, embora o gráfico </w:t>
      </w:r>
      <w:r w:rsidRPr="008249A6">
        <w:rPr>
          <w:rFonts w:cs="Arial"/>
        </w:rPr>
        <w:t>mostre melhora, o indicador ainda é crítico porque envolve uma barreira de segurança essencial: reavaliar se o paciente está melhorando ou piorando após a intervenção inicial.</w:t>
      </w:r>
    </w:p>
    <w:p w14:paraId="6DDF1D7F" w14:textId="23BB31B8" w:rsidR="52E70976" w:rsidRPr="008249A6" w:rsidRDefault="52E70976" w:rsidP="0C58EABD">
      <w:pPr>
        <w:spacing w:before="240" w:after="240"/>
      </w:pPr>
      <w:r w:rsidRPr="008249A6">
        <w:rPr>
          <w:rFonts w:cs="Arial"/>
        </w:rPr>
        <w:t>O principal ponto positivo é a melhora da mediana na fase 3, chegando a aproximadamente 51,14%. Isso sugere que houve alguma intervenção capaz de aumentar a adesão ao pacote de reavaliação.</w:t>
      </w:r>
    </w:p>
    <w:p w14:paraId="096CC794" w14:textId="37A19160" w:rsidR="52E70976" w:rsidRDefault="52E70976" w:rsidP="0C58EABD">
      <w:pPr>
        <w:spacing w:before="240" w:after="240"/>
      </w:pPr>
      <w:r w:rsidRPr="008249A6">
        <w:rPr>
          <w:rFonts w:cs="Arial"/>
        </w:rPr>
        <w:t>Também se observa maior concentração de pontos entre 50% e 70% nas semanas finais, indicando que o processo começou a ganhar mais consistência</w:t>
      </w:r>
      <w:r w:rsidRPr="0C58EABD">
        <w:rPr>
          <w:rFonts w:cs="Arial"/>
        </w:rPr>
        <w:t>.</w:t>
      </w:r>
    </w:p>
    <w:p w14:paraId="3C638B3E" w14:textId="0F986A0C" w:rsidR="52E70976" w:rsidRDefault="52E70976" w:rsidP="0C58EABD">
      <w:pPr>
        <w:spacing w:before="240" w:after="240"/>
      </w:pPr>
      <w:r w:rsidRPr="0C58EABD">
        <w:rPr>
          <w:rFonts w:cs="Arial"/>
        </w:rPr>
        <w:t>Esse resultado pode estar relacionado a:</w:t>
      </w:r>
    </w:p>
    <w:p w14:paraId="4201347B" w14:textId="3CEA68F4" w:rsidR="52E70976" w:rsidRDefault="52E70976" w:rsidP="0C58EABD">
      <w:pPr>
        <w:pStyle w:val="PargrafodaLista"/>
        <w:numPr>
          <w:ilvl w:val="0"/>
          <w:numId w:val="33"/>
        </w:numPr>
        <w:spacing w:after="0"/>
        <w:rPr>
          <w:rFonts w:cs="Arial"/>
        </w:rPr>
      </w:pPr>
      <w:r w:rsidRPr="0C58EABD">
        <w:rPr>
          <w:rFonts w:cs="Arial"/>
        </w:rPr>
        <w:t xml:space="preserve">reforço do protocolo de sepse; </w:t>
      </w:r>
    </w:p>
    <w:p w14:paraId="787AAB3C" w14:textId="2595AD8B" w:rsidR="52E70976" w:rsidRDefault="52E70976" w:rsidP="0C58EABD">
      <w:pPr>
        <w:pStyle w:val="PargrafodaLista"/>
        <w:numPr>
          <w:ilvl w:val="0"/>
          <w:numId w:val="33"/>
        </w:numPr>
        <w:spacing w:after="0"/>
        <w:rPr>
          <w:rFonts w:cs="Arial"/>
        </w:rPr>
      </w:pPr>
      <w:r w:rsidRPr="0C58EABD">
        <w:rPr>
          <w:rFonts w:cs="Arial"/>
        </w:rPr>
        <w:t xml:space="preserve">melhor uso do NEWS2; </w:t>
      </w:r>
    </w:p>
    <w:p w14:paraId="75FBDA81" w14:textId="4D665EB4" w:rsidR="52E70976" w:rsidRDefault="52E70976" w:rsidP="0C58EABD">
      <w:pPr>
        <w:pStyle w:val="PargrafodaLista"/>
        <w:numPr>
          <w:ilvl w:val="0"/>
          <w:numId w:val="33"/>
        </w:numPr>
        <w:spacing w:after="0"/>
        <w:rPr>
          <w:rFonts w:cs="Arial"/>
        </w:rPr>
      </w:pPr>
      <w:r w:rsidRPr="0C58EABD">
        <w:rPr>
          <w:rFonts w:cs="Arial"/>
        </w:rPr>
        <w:t xml:space="preserve">auditoria e feedback; </w:t>
      </w:r>
    </w:p>
    <w:p w14:paraId="295B7200" w14:textId="2A6D0084" w:rsidR="52E70976" w:rsidRDefault="52E70976" w:rsidP="0C58EABD">
      <w:pPr>
        <w:pStyle w:val="PargrafodaLista"/>
        <w:numPr>
          <w:ilvl w:val="0"/>
          <w:numId w:val="33"/>
        </w:numPr>
        <w:spacing w:after="0"/>
        <w:rPr>
          <w:rFonts w:cs="Arial"/>
        </w:rPr>
      </w:pPr>
      <w:r w:rsidRPr="0C58EABD">
        <w:rPr>
          <w:rFonts w:cs="Arial"/>
        </w:rPr>
        <w:t xml:space="preserve">maior sensibilização da equipe; </w:t>
      </w:r>
    </w:p>
    <w:p w14:paraId="5DD9ACA2" w14:textId="34EDC27D" w:rsidR="52E70976" w:rsidRDefault="52E70976" w:rsidP="0C58EABD">
      <w:pPr>
        <w:pStyle w:val="PargrafodaLista"/>
        <w:numPr>
          <w:ilvl w:val="0"/>
          <w:numId w:val="33"/>
        </w:numPr>
        <w:spacing w:after="0"/>
        <w:rPr>
          <w:rFonts w:cs="Arial"/>
        </w:rPr>
      </w:pPr>
      <w:r w:rsidRPr="0C58EABD">
        <w:rPr>
          <w:rFonts w:cs="Arial"/>
        </w:rPr>
        <w:t xml:space="preserve">acompanhamento do pacote de sepse; </w:t>
      </w:r>
    </w:p>
    <w:p w14:paraId="61A8B34B" w14:textId="70902475" w:rsidR="52E70976" w:rsidRDefault="52E70976" w:rsidP="0C58EABD">
      <w:pPr>
        <w:pStyle w:val="PargrafodaLista"/>
        <w:numPr>
          <w:ilvl w:val="0"/>
          <w:numId w:val="33"/>
        </w:numPr>
        <w:spacing w:after="0"/>
        <w:rPr>
          <w:rFonts w:cs="Arial"/>
        </w:rPr>
      </w:pPr>
      <w:r w:rsidRPr="0C58EABD">
        <w:rPr>
          <w:rFonts w:cs="Arial"/>
        </w:rPr>
        <w:t xml:space="preserve">envolvimento da liderança assistencial; </w:t>
      </w:r>
    </w:p>
    <w:p w14:paraId="2B86E0A0" w14:textId="20640AD0" w:rsidR="52E70976" w:rsidRDefault="52E70976" w:rsidP="0C58EABD">
      <w:pPr>
        <w:pStyle w:val="PargrafodaLista"/>
        <w:numPr>
          <w:ilvl w:val="0"/>
          <w:numId w:val="33"/>
        </w:numPr>
        <w:spacing w:after="0"/>
        <w:rPr>
          <w:rFonts w:cs="Arial"/>
        </w:rPr>
      </w:pPr>
      <w:r w:rsidRPr="0C58EABD">
        <w:rPr>
          <w:rFonts w:cs="Arial"/>
        </w:rPr>
        <w:t>revisão do fluxo de abertura e acompanhamento do protocolo.</w:t>
      </w:r>
    </w:p>
    <w:p w14:paraId="449A41B4" w14:textId="63521CF3" w:rsidR="52E70976" w:rsidRDefault="52E70976" w:rsidP="0C58EABD">
      <w:pPr>
        <w:spacing w:before="240" w:after="240"/>
      </w:pPr>
      <w:r w:rsidRPr="0C58EABD">
        <w:rPr>
          <w:rFonts w:cs="Arial"/>
        </w:rPr>
        <w:t>Apesar da melhora, o indicador ainda apresenta fragilidades importantes.</w:t>
      </w:r>
    </w:p>
    <w:p w14:paraId="4CB29B78" w14:textId="4E26FE87" w:rsidR="52E70976" w:rsidRPr="008249A6" w:rsidRDefault="52E70976" w:rsidP="0C58EABD">
      <w:pPr>
        <w:spacing w:before="240" w:after="240"/>
      </w:pPr>
      <w:r w:rsidRPr="0C58EABD">
        <w:rPr>
          <w:rFonts w:cs="Arial"/>
        </w:rPr>
        <w:t xml:space="preserve">A primeira fragilidade é a </w:t>
      </w:r>
      <w:r w:rsidRPr="008249A6">
        <w:rPr>
          <w:rFonts w:cs="Arial"/>
        </w:rPr>
        <w:t>instabilidade do processo. Mesmo na fase de melhora, há queda acentuada em uma das semanas, chegando próximo de 10%, seguida de</w:t>
      </w:r>
      <w:r w:rsidRPr="0C58EABD">
        <w:rPr>
          <w:rFonts w:cs="Arial"/>
        </w:rPr>
        <w:t xml:space="preserve"> </w:t>
      </w:r>
      <w:r w:rsidRPr="008249A6">
        <w:rPr>
          <w:rFonts w:cs="Arial"/>
        </w:rPr>
        <w:t>recuperação. Isso sugere que a adesão ainda depende muito de pessoas, plantões ou circunstâncias específicas.</w:t>
      </w:r>
    </w:p>
    <w:p w14:paraId="2D8F1533" w14:textId="7F2AA775" w:rsidR="52E70976" w:rsidRPr="008249A6" w:rsidRDefault="52E70976" w:rsidP="0C58EABD">
      <w:pPr>
        <w:spacing w:before="240" w:after="240"/>
      </w:pPr>
      <w:r w:rsidRPr="008249A6">
        <w:rPr>
          <w:rFonts w:cs="Arial"/>
        </w:rPr>
        <w:t xml:space="preserve">A segunda fragilidade é que a mediana final de 51,14% ainda é baixa para um pacote de reavaliação de sepse. Em um processo crítico, espera-se alta confiabilidade, </w:t>
      </w:r>
      <w:r w:rsidRPr="008249A6">
        <w:rPr>
          <w:rFonts w:cs="Arial"/>
        </w:rPr>
        <w:lastRenderedPageBreak/>
        <w:t>idealmente acima de 80% ou 90%, especialmente porque a ausência de reavaliação pode atrasar decisões clínicas importantes.</w:t>
      </w:r>
    </w:p>
    <w:p w14:paraId="3F9C0B06" w14:textId="2127C078" w:rsidR="52E70976" w:rsidRPr="008249A6" w:rsidRDefault="52E70976" w:rsidP="0C58EABD">
      <w:pPr>
        <w:spacing w:before="240" w:after="240"/>
      </w:pPr>
      <w:r w:rsidRPr="008249A6">
        <w:rPr>
          <w:rFonts w:cs="Arial"/>
        </w:rPr>
        <w:t>A terceira fragilidade é a possibilidade de haver diferença entre realizar a reavaliação e registrar a reavaliação. O indicador pode estar baixo porque a equipe não realiza a etapa, ou porque realiza, mas não registra adequadamente. As duas situações precisam de ações diferentes.</w:t>
      </w:r>
    </w:p>
    <w:p w14:paraId="22646940" w14:textId="2ACEDE77" w:rsidR="52E70976" w:rsidRDefault="52E70976" w:rsidP="0C58EABD">
      <w:pPr>
        <w:spacing w:before="240" w:after="240"/>
      </w:pPr>
      <w:r w:rsidRPr="0C58EABD">
        <w:rPr>
          <w:rFonts w:cs="Arial"/>
        </w:rPr>
        <w:t>As principais ações sugeridas são:</w:t>
      </w:r>
    </w:p>
    <w:p w14:paraId="065E882C" w14:textId="7148AFFB" w:rsidR="52E70976" w:rsidRDefault="52E70976" w:rsidP="0C58EABD">
      <w:pPr>
        <w:pStyle w:val="PargrafodaLista"/>
        <w:numPr>
          <w:ilvl w:val="0"/>
          <w:numId w:val="32"/>
        </w:numPr>
        <w:spacing w:after="0"/>
        <w:rPr>
          <w:rFonts w:cs="Arial"/>
        </w:rPr>
      </w:pPr>
      <w:r w:rsidRPr="0C58EABD">
        <w:rPr>
          <w:rFonts w:cs="Arial"/>
          <w:b/>
          <w:bCs/>
        </w:rPr>
        <w:t>Padronizar o conteúdo mínimo da reavaliação</w:t>
      </w:r>
      <w:r w:rsidRPr="0C58EABD">
        <w:rPr>
          <w:rFonts w:cs="Arial"/>
        </w:rPr>
        <w:t xml:space="preserve">, incluindo sinais vitais, pressão arterial, perfusão, nível de consciência, diurese, necessidade de oxigênio, lactato e resposta ao antibiótico/volume. </w:t>
      </w:r>
    </w:p>
    <w:p w14:paraId="78A30377" w14:textId="433736C5" w:rsidR="52E70976" w:rsidRDefault="52E70976" w:rsidP="0C58EABD">
      <w:pPr>
        <w:pStyle w:val="PargrafodaLista"/>
        <w:numPr>
          <w:ilvl w:val="0"/>
          <w:numId w:val="32"/>
        </w:numPr>
        <w:spacing w:after="0"/>
        <w:rPr>
          <w:rFonts w:cs="Arial"/>
        </w:rPr>
      </w:pPr>
      <w:r w:rsidRPr="0C58EABD">
        <w:rPr>
          <w:rFonts w:cs="Arial"/>
          <w:b/>
          <w:bCs/>
        </w:rPr>
        <w:t>Definir tempo-alvo para o R3</w:t>
      </w:r>
      <w:r w:rsidRPr="0C58EABD">
        <w:rPr>
          <w:rFonts w:cs="Arial"/>
        </w:rPr>
        <w:t xml:space="preserve">, por exemplo, reavaliação em até 3 ou 6 horas, conforme protocolo institucional. </w:t>
      </w:r>
    </w:p>
    <w:p w14:paraId="1FD34217" w14:textId="5A430816" w:rsidR="52E70976" w:rsidRDefault="52E70976" w:rsidP="0C58EABD">
      <w:pPr>
        <w:pStyle w:val="PargrafodaLista"/>
        <w:numPr>
          <w:ilvl w:val="0"/>
          <w:numId w:val="32"/>
        </w:numPr>
        <w:spacing w:after="0"/>
        <w:rPr>
          <w:rFonts w:cs="Arial"/>
        </w:rPr>
      </w:pPr>
      <w:r w:rsidRPr="0C58EABD">
        <w:rPr>
          <w:rFonts w:cs="Arial"/>
          <w:b/>
          <w:bCs/>
        </w:rPr>
        <w:t>Criar campo específico no prontuário ou formulário</w:t>
      </w:r>
      <w:r w:rsidRPr="0C58EABD">
        <w:rPr>
          <w:rFonts w:cs="Arial"/>
        </w:rPr>
        <w:t xml:space="preserve">, facilitando o registro padronizado da reavaliação. </w:t>
      </w:r>
    </w:p>
    <w:p w14:paraId="05585EA1" w14:textId="775753B8" w:rsidR="52E70976" w:rsidRDefault="52E70976" w:rsidP="0C58EABD">
      <w:pPr>
        <w:pStyle w:val="PargrafodaLista"/>
        <w:numPr>
          <w:ilvl w:val="0"/>
          <w:numId w:val="32"/>
        </w:numPr>
        <w:spacing w:after="0"/>
        <w:rPr>
          <w:rFonts w:cs="Arial"/>
        </w:rPr>
      </w:pPr>
      <w:r w:rsidRPr="0C58EABD">
        <w:rPr>
          <w:rFonts w:cs="Arial"/>
          <w:b/>
          <w:bCs/>
        </w:rPr>
        <w:t>Definir responsável pelo acionamento e registro</w:t>
      </w:r>
      <w:r w:rsidRPr="0C58EABD">
        <w:rPr>
          <w:rFonts w:cs="Arial"/>
        </w:rPr>
        <w:t xml:space="preserve">, evitando que a etapa fique sem dono. </w:t>
      </w:r>
    </w:p>
    <w:p w14:paraId="7654AA5D" w14:textId="762A16DD" w:rsidR="52E70976" w:rsidRDefault="52E70976" w:rsidP="0C58EABD">
      <w:pPr>
        <w:pStyle w:val="PargrafodaLista"/>
        <w:numPr>
          <w:ilvl w:val="0"/>
          <w:numId w:val="32"/>
        </w:numPr>
        <w:spacing w:after="0"/>
        <w:rPr>
          <w:rFonts w:cs="Arial"/>
        </w:rPr>
      </w:pPr>
      <w:r w:rsidRPr="0C58EABD">
        <w:rPr>
          <w:rFonts w:cs="Arial"/>
          <w:b/>
          <w:bCs/>
        </w:rPr>
        <w:t>Auditar casos de sepse com baixa adesão ao R3</w:t>
      </w:r>
      <w:r w:rsidRPr="0C58EABD">
        <w:rPr>
          <w:rFonts w:cs="Arial"/>
        </w:rPr>
        <w:t xml:space="preserve">, principalmente pacientes que evoluíram com UTI, choque, PCR ou óbito. </w:t>
      </w:r>
    </w:p>
    <w:p w14:paraId="1503FA23" w14:textId="535856F2" w:rsidR="52E70976" w:rsidRDefault="52E70976" w:rsidP="0C58EABD">
      <w:pPr>
        <w:pStyle w:val="PargrafodaLista"/>
        <w:numPr>
          <w:ilvl w:val="0"/>
          <w:numId w:val="32"/>
        </w:numPr>
        <w:spacing w:after="0"/>
        <w:rPr>
          <w:rFonts w:cs="Arial"/>
        </w:rPr>
      </w:pPr>
      <w:r w:rsidRPr="0C58EABD">
        <w:rPr>
          <w:rFonts w:cs="Arial"/>
          <w:b/>
          <w:bCs/>
        </w:rPr>
        <w:t>Dar feedback semanal às unidades</w:t>
      </w:r>
      <w:r w:rsidRPr="0C58EABD">
        <w:rPr>
          <w:rFonts w:cs="Arial"/>
        </w:rPr>
        <w:t xml:space="preserve">, mostrando adesão por setor, turno e equipe. </w:t>
      </w:r>
    </w:p>
    <w:p w14:paraId="15747113" w14:textId="41C223AA" w:rsidR="52E70976" w:rsidRDefault="52E70976" w:rsidP="0C58EABD">
      <w:pPr>
        <w:pStyle w:val="PargrafodaLista"/>
        <w:numPr>
          <w:ilvl w:val="0"/>
          <w:numId w:val="32"/>
        </w:numPr>
        <w:spacing w:after="0"/>
        <w:rPr>
          <w:rFonts w:cs="Arial"/>
        </w:rPr>
      </w:pPr>
      <w:r w:rsidRPr="0C58EABD">
        <w:rPr>
          <w:rFonts w:cs="Arial"/>
          <w:b/>
          <w:bCs/>
        </w:rPr>
        <w:t>Conectar o R3 aos desfechos clínicos</w:t>
      </w:r>
      <w:r w:rsidRPr="0C58EABD">
        <w:rPr>
          <w:rFonts w:cs="Arial"/>
        </w:rPr>
        <w:t>, como mortalidade, transferência para UTI, choque séptico, PCR inesperada e tempo de permanência.</w:t>
      </w:r>
    </w:p>
    <w:p w14:paraId="44F3F321" w14:textId="564C5ED7" w:rsidR="52E70976" w:rsidRDefault="52E70976" w:rsidP="0C58EABD">
      <w:pPr>
        <w:spacing w:before="240" w:after="240"/>
      </w:pPr>
      <w:r w:rsidRPr="0C58EABD">
        <w:rPr>
          <w:rFonts w:cs="Arial"/>
        </w:rPr>
        <w:t xml:space="preserve">O indicador de adesão </w:t>
      </w:r>
      <w:r w:rsidRPr="008249A6">
        <w:rPr>
          <w:rFonts w:cs="Arial"/>
        </w:rPr>
        <w:t>ao R3 — pacote de reavaliação de sepse apresenta melhora significativa, com mudança de mediana de 13,01% na fase 2 para 51,14% na fase 3. Isso sugere avanço real do processo e presença</w:t>
      </w:r>
      <w:r w:rsidRPr="0C58EABD">
        <w:rPr>
          <w:rFonts w:cs="Arial"/>
        </w:rPr>
        <w:t xml:space="preserve"> de causa especial positiva.</w:t>
      </w:r>
    </w:p>
    <w:p w14:paraId="7A25E363" w14:textId="568C968C" w:rsidR="52E70976" w:rsidRDefault="52E70976" w:rsidP="0C58EABD">
      <w:pPr>
        <w:spacing w:before="240" w:after="240"/>
      </w:pPr>
      <w:r w:rsidRPr="0C58EABD">
        <w:rPr>
          <w:rFonts w:cs="Arial"/>
        </w:rPr>
        <w:t xml:space="preserve">Entretanto, a análise crítica mostra que o processo </w:t>
      </w:r>
      <w:r w:rsidRPr="008249A6">
        <w:rPr>
          <w:rFonts w:cs="Arial"/>
        </w:rPr>
        <w:t>ainda está instável e abaixo do nível desejável de segurança. A reavaliação é uma etapa essencial para evitar deterioração não reconhecida. Portanto, o próximo desafio</w:t>
      </w:r>
      <w:r w:rsidRPr="0C58EABD">
        <w:rPr>
          <w:rFonts w:cs="Arial"/>
        </w:rPr>
        <w:t xml:space="preserve"> é transformar a melhora inicial em um processo confiável, com adesão sustentada, registro adequado e impacto nos desfechos dos pacientes com sepse.</w:t>
      </w:r>
    </w:p>
    <w:p w14:paraId="7932BC24" w14:textId="77777777" w:rsidR="00F63B9C" w:rsidRDefault="00F63B9C" w:rsidP="0C58EABD">
      <w:pPr>
        <w:spacing w:before="240" w:after="240" w:line="360" w:lineRule="auto"/>
        <w:rPr>
          <w:b/>
          <w:bCs/>
        </w:rPr>
      </w:pPr>
    </w:p>
    <w:p w14:paraId="0B2107F6" w14:textId="77777777" w:rsidR="00483654" w:rsidRDefault="00483654" w:rsidP="00F63B9C">
      <w:pPr>
        <w:spacing w:before="240" w:after="240" w:line="360" w:lineRule="auto"/>
        <w:rPr>
          <w:b/>
          <w:bCs/>
        </w:rPr>
      </w:pPr>
      <w:r>
        <w:rPr>
          <w:b/>
          <w:bCs/>
        </w:rPr>
        <w:br w:type="page"/>
      </w:r>
    </w:p>
    <w:p w14:paraId="29879FD1" w14:textId="175DF8DE" w:rsidR="00F63B9C" w:rsidRDefault="7395C70C" w:rsidP="00F63B9C">
      <w:pPr>
        <w:spacing w:before="240" w:after="240" w:line="360" w:lineRule="auto"/>
        <w:rPr>
          <w:b/>
          <w:bCs/>
        </w:rPr>
      </w:pPr>
      <w:r w:rsidRPr="0C58EABD">
        <w:rPr>
          <w:b/>
          <w:bCs/>
        </w:rPr>
        <w:lastRenderedPageBreak/>
        <w:t xml:space="preserve">Principais ideias de mudança </w:t>
      </w:r>
    </w:p>
    <w:p w14:paraId="17F1CA8A" w14:textId="77777777" w:rsidR="00483654" w:rsidRDefault="7395C70C" w:rsidP="00F63B9C">
      <w:pPr>
        <w:spacing w:before="240" w:after="240" w:line="360" w:lineRule="auto"/>
      </w:pPr>
      <w:r>
        <w:rPr>
          <w:noProof/>
        </w:rPr>
        <w:drawing>
          <wp:inline distT="0" distB="0" distL="0" distR="0" wp14:anchorId="3C98F823" wp14:editId="26162343">
            <wp:extent cx="3899641" cy="2160000"/>
            <wp:effectExtent l="0" t="0" r="5715" b="0"/>
            <wp:docPr id="10762343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234345" name="Picture 1076234345"/>
                    <pic:cNvPicPr/>
                  </pic:nvPicPr>
                  <pic:blipFill>
                    <a:blip r:embed="rId52">
                      <a:extLst>
                        <a:ext uri="{28A0092B-C50C-407E-A947-70E740481C1C}">
                          <a14:useLocalDpi xmlns:a14="http://schemas.microsoft.com/office/drawing/2010/main"/>
                        </a:ext>
                      </a:extLst>
                    </a:blip>
                    <a:stretch>
                      <a:fillRect/>
                    </a:stretch>
                  </pic:blipFill>
                  <pic:spPr>
                    <a:xfrm>
                      <a:off x="0" y="0"/>
                      <a:ext cx="3899641" cy="2160000"/>
                    </a:xfrm>
                    <a:prstGeom prst="rect">
                      <a:avLst/>
                    </a:prstGeom>
                  </pic:spPr>
                </pic:pic>
              </a:graphicData>
            </a:graphic>
          </wp:inline>
        </w:drawing>
      </w:r>
    </w:p>
    <w:p w14:paraId="2255F930" w14:textId="77777777" w:rsidR="00483654" w:rsidRDefault="7395C70C" w:rsidP="00F63B9C">
      <w:pPr>
        <w:spacing w:before="240" w:after="240" w:line="360" w:lineRule="auto"/>
      </w:pPr>
      <w:r>
        <w:rPr>
          <w:noProof/>
        </w:rPr>
        <w:drawing>
          <wp:inline distT="0" distB="0" distL="0" distR="0" wp14:anchorId="17A51A9B" wp14:editId="37DEB295">
            <wp:extent cx="3899641" cy="2160000"/>
            <wp:effectExtent l="0" t="0" r="5715" b="0"/>
            <wp:docPr id="2856917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691784" name="Picture 285691784"/>
                    <pic:cNvPicPr/>
                  </pic:nvPicPr>
                  <pic:blipFill>
                    <a:blip r:embed="rId53">
                      <a:extLst>
                        <a:ext uri="{28A0092B-C50C-407E-A947-70E740481C1C}">
                          <a14:useLocalDpi xmlns:a14="http://schemas.microsoft.com/office/drawing/2010/main"/>
                        </a:ext>
                      </a:extLst>
                    </a:blip>
                    <a:stretch>
                      <a:fillRect/>
                    </a:stretch>
                  </pic:blipFill>
                  <pic:spPr>
                    <a:xfrm>
                      <a:off x="0" y="0"/>
                      <a:ext cx="3899641" cy="2160000"/>
                    </a:xfrm>
                    <a:prstGeom prst="rect">
                      <a:avLst/>
                    </a:prstGeom>
                  </pic:spPr>
                </pic:pic>
              </a:graphicData>
            </a:graphic>
          </wp:inline>
        </w:drawing>
      </w:r>
    </w:p>
    <w:p w14:paraId="5D666911" w14:textId="2A3730C0" w:rsidR="00F63B9C" w:rsidRDefault="7395C70C" w:rsidP="00F63B9C">
      <w:pPr>
        <w:spacing w:before="240" w:after="240" w:line="360" w:lineRule="auto"/>
      </w:pPr>
      <w:r>
        <w:rPr>
          <w:noProof/>
        </w:rPr>
        <w:drawing>
          <wp:inline distT="0" distB="0" distL="0" distR="0" wp14:anchorId="062A6BDC" wp14:editId="7CEF6A2D">
            <wp:extent cx="3786276" cy="2160000"/>
            <wp:effectExtent l="0" t="0" r="5080" b="0"/>
            <wp:docPr id="14326768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676833" name="Picture 1432676833"/>
                    <pic:cNvPicPr/>
                  </pic:nvPicPr>
                  <pic:blipFill>
                    <a:blip r:embed="rId54">
                      <a:extLst>
                        <a:ext uri="{28A0092B-C50C-407E-A947-70E740481C1C}">
                          <a14:useLocalDpi xmlns:a14="http://schemas.microsoft.com/office/drawing/2010/main"/>
                        </a:ext>
                      </a:extLst>
                    </a:blip>
                    <a:stretch>
                      <a:fillRect/>
                    </a:stretch>
                  </pic:blipFill>
                  <pic:spPr>
                    <a:xfrm>
                      <a:off x="0" y="0"/>
                      <a:ext cx="3786276" cy="2160000"/>
                    </a:xfrm>
                    <a:prstGeom prst="rect">
                      <a:avLst/>
                    </a:prstGeom>
                  </pic:spPr>
                </pic:pic>
              </a:graphicData>
            </a:graphic>
          </wp:inline>
        </w:drawing>
      </w:r>
    </w:p>
    <w:p w14:paraId="07576E70" w14:textId="1DCD05DB" w:rsidR="7395C70C" w:rsidRDefault="7395C70C" w:rsidP="1D16C0ED">
      <w:pPr>
        <w:spacing w:before="240" w:after="240" w:line="360" w:lineRule="auto"/>
        <w:jc w:val="left"/>
      </w:pPr>
      <w:r>
        <w:rPr>
          <w:noProof/>
        </w:rPr>
        <w:lastRenderedPageBreak/>
        <w:drawing>
          <wp:inline distT="0" distB="0" distL="0" distR="0" wp14:anchorId="094DE396" wp14:editId="6430956E">
            <wp:extent cx="3876429" cy="2160000"/>
            <wp:effectExtent l="0" t="0" r="0" b="0"/>
            <wp:docPr id="12537158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715882" name="Picture 1253715882"/>
                    <pic:cNvPicPr/>
                  </pic:nvPicPr>
                  <pic:blipFill>
                    <a:blip r:embed="rId55">
                      <a:extLst>
                        <a:ext uri="{28A0092B-C50C-407E-A947-70E740481C1C}">
                          <a14:useLocalDpi xmlns:a14="http://schemas.microsoft.com/office/drawing/2010/main"/>
                        </a:ext>
                      </a:extLst>
                    </a:blip>
                    <a:stretch>
                      <a:fillRect/>
                    </a:stretch>
                  </pic:blipFill>
                  <pic:spPr>
                    <a:xfrm>
                      <a:off x="0" y="0"/>
                      <a:ext cx="3876429" cy="2160000"/>
                    </a:xfrm>
                    <a:prstGeom prst="rect">
                      <a:avLst/>
                    </a:prstGeom>
                  </pic:spPr>
                </pic:pic>
              </a:graphicData>
            </a:graphic>
          </wp:inline>
        </w:drawing>
      </w:r>
      <w:r>
        <w:rPr>
          <w:noProof/>
        </w:rPr>
        <w:drawing>
          <wp:inline distT="0" distB="0" distL="0" distR="0" wp14:anchorId="4F380D96" wp14:editId="0831C79D">
            <wp:extent cx="3888000" cy="2160000"/>
            <wp:effectExtent l="0" t="0" r="0" b="0"/>
            <wp:docPr id="20765958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595899" name="Picture 2076595899"/>
                    <pic:cNvPicPr/>
                  </pic:nvPicPr>
                  <pic:blipFill>
                    <a:blip r:embed="rId56">
                      <a:extLst>
                        <a:ext uri="{28A0092B-C50C-407E-A947-70E740481C1C}">
                          <a14:useLocalDpi xmlns:a14="http://schemas.microsoft.com/office/drawing/2010/main"/>
                        </a:ext>
                      </a:extLst>
                    </a:blip>
                    <a:stretch>
                      <a:fillRect/>
                    </a:stretch>
                  </pic:blipFill>
                  <pic:spPr>
                    <a:xfrm>
                      <a:off x="0" y="0"/>
                      <a:ext cx="3888000" cy="2160000"/>
                    </a:xfrm>
                    <a:prstGeom prst="rect">
                      <a:avLst/>
                    </a:prstGeom>
                  </pic:spPr>
                </pic:pic>
              </a:graphicData>
            </a:graphic>
          </wp:inline>
        </w:drawing>
      </w:r>
    </w:p>
    <w:p w14:paraId="0749EAEB" w14:textId="519548D3" w:rsidR="46039F49" w:rsidRPr="00DE5669" w:rsidRDefault="1ED5AF28" w:rsidP="29A44731">
      <w:pPr>
        <w:pStyle w:val="Ttulo3"/>
        <w:spacing w:before="281" w:after="281"/>
      </w:pPr>
      <w:bookmarkStart w:id="63" w:name="_Toc229241797"/>
      <w:bookmarkStart w:id="64" w:name="_Toc231974392"/>
      <w:bookmarkStart w:id="65" w:name="_Toc234254713"/>
      <w:bookmarkStart w:id="66" w:name="_Toc234260349"/>
      <w:r w:rsidRPr="1A6EC8B6">
        <w:rPr>
          <w:rFonts w:eastAsiaTheme="minorEastAsia" w:cs="Arial"/>
          <w:b/>
          <w:bCs/>
          <w:color w:val="2E75B6"/>
        </w:rPr>
        <w:t>Trilha AVC</w:t>
      </w:r>
      <w:bookmarkEnd w:id="63"/>
      <w:bookmarkEnd w:id="64"/>
      <w:bookmarkEnd w:id="65"/>
      <w:bookmarkEnd w:id="66"/>
    </w:p>
    <w:p w14:paraId="4A0E7FDF" w14:textId="1504FC63" w:rsidR="353E5483" w:rsidRDefault="353E5483" w:rsidP="6B237D87">
      <w:pPr>
        <w:spacing w:before="240" w:after="240"/>
        <w:rPr>
          <w:rFonts w:cs="Arial"/>
        </w:rPr>
      </w:pPr>
      <w:r w:rsidRPr="5B0307B0">
        <w:rPr>
          <w:rFonts w:cs="Arial"/>
        </w:rPr>
        <w:t>A Trilha do AVC é uma estratégia assistencial organizada para garantir o reconhecimento rápido, o acionamento oportuno e a condução segura dos pacientes com suspeita de Acidente Vascular Cerebral. Por se tratar de uma condição tempo-dependente, cada minuto é decisivo para reduzir sequelas, preservar funcionalidade e aumentar a chance de melhor desfecho clínico.</w:t>
      </w:r>
    </w:p>
    <w:p w14:paraId="48790BC8" w14:textId="123F047C" w:rsidR="353E5483" w:rsidRDefault="353E5483" w:rsidP="6B237D87">
      <w:pPr>
        <w:spacing w:before="240" w:after="240"/>
        <w:rPr>
          <w:rFonts w:cs="Arial"/>
        </w:rPr>
      </w:pPr>
      <w:r w:rsidRPr="5B0307B0">
        <w:rPr>
          <w:rFonts w:cs="Arial"/>
        </w:rPr>
        <w:t>A proposta da trilha é transformar o cuidado ao paciente com suspeita de AVC em um processo padronizado, visual, rastreável e integrado, envolvendo desde a porta de entrada até a definição terapêutica e o monitoramento após a conduta. O objetivo é que o paciente não dependa apenas da percepção individual de um profissional, mas de um sistema organizado, com etapas claras e responsabilidades bem definidas.</w:t>
      </w:r>
    </w:p>
    <w:p w14:paraId="172143AA" w14:textId="53C3691C" w:rsidR="353E5483" w:rsidRDefault="353E5483" w:rsidP="6B237D87">
      <w:pPr>
        <w:spacing w:before="240" w:after="240"/>
      </w:pPr>
      <w:r w:rsidRPr="6B237D87">
        <w:rPr>
          <w:rFonts w:cs="Arial"/>
        </w:rPr>
        <w:lastRenderedPageBreak/>
        <w:t xml:space="preserve">A trilha deve iniciar </w:t>
      </w:r>
      <w:proofErr w:type="gramStart"/>
      <w:r w:rsidRPr="6B237D87">
        <w:rPr>
          <w:rFonts w:cs="Arial"/>
        </w:rPr>
        <w:t>no momento em que</w:t>
      </w:r>
      <w:proofErr w:type="gramEnd"/>
      <w:r w:rsidRPr="6B237D87">
        <w:rPr>
          <w:rFonts w:cs="Arial"/>
        </w:rPr>
        <w:t xml:space="preserve"> a equipe identifica sinais sugestivos de AVC, como alteração súbita da fala, perda de força em um lado do corpo, assimetria facial, alteração visual, tontura intensa, confusão mental ou rebaixamento do nível de consciência. A partir dessa suspeita, o protocolo precisa ser imediatamente acionado, com priorização do atendimento médico, avaliação neurológica, identificação do horário de início dos sintomas e encaminhamento rápido para exame de imagem.</w:t>
      </w:r>
    </w:p>
    <w:p w14:paraId="3C697120" w14:textId="1EADFB9D" w:rsidR="353E5483" w:rsidRDefault="353E5483" w:rsidP="6B237D87">
      <w:pPr>
        <w:spacing w:before="240" w:after="240"/>
      </w:pPr>
      <w:r w:rsidRPr="6B237D87">
        <w:rPr>
          <w:rFonts w:cs="Arial"/>
        </w:rPr>
        <w:t xml:space="preserve">Um dos pontos centrais da Trilha do AVC é a </w:t>
      </w:r>
      <w:r w:rsidRPr="6E4A34C4">
        <w:rPr>
          <w:rFonts w:cs="Arial"/>
        </w:rPr>
        <w:t>redução dos atrasos evitáveis</w:t>
      </w:r>
      <w:r w:rsidRPr="6B237D87">
        <w:rPr>
          <w:rFonts w:cs="Arial"/>
        </w:rPr>
        <w:t xml:space="preserve">. Para isso, é fundamental monitorar tempos críticos, como </w:t>
      </w:r>
      <w:proofErr w:type="spellStart"/>
      <w:r w:rsidRPr="6B237D87">
        <w:rPr>
          <w:rFonts w:cs="Arial"/>
        </w:rPr>
        <w:t>porta-médico</w:t>
      </w:r>
      <w:proofErr w:type="spellEnd"/>
      <w:r w:rsidRPr="6B237D87">
        <w:rPr>
          <w:rFonts w:cs="Arial"/>
        </w:rPr>
        <w:t>, porta-tomografia, porta-laudo, porta-agulha e tempo até decisão terapêutica. Esses indicadores permitem identificar gargalos no processo e orientar ações de melhoria.</w:t>
      </w:r>
    </w:p>
    <w:p w14:paraId="5E8A7B54" w14:textId="77777777" w:rsidR="00711CD0" w:rsidRDefault="5ECD9882" w:rsidP="0C58EABD">
      <w:r>
        <w:rPr>
          <w:noProof/>
        </w:rPr>
        <w:drawing>
          <wp:inline distT="0" distB="0" distL="0" distR="0" wp14:anchorId="7D1916F5" wp14:editId="2498403A">
            <wp:extent cx="4646972" cy="2520000"/>
            <wp:effectExtent l="0" t="0" r="1270" b="0"/>
            <wp:docPr id="10236365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636524" name="Picture 1023636524"/>
                    <pic:cNvPicPr/>
                  </pic:nvPicPr>
                  <pic:blipFill>
                    <a:blip r:embed="rId57">
                      <a:extLst>
                        <a:ext uri="{28A0092B-C50C-407E-A947-70E740481C1C}">
                          <a14:useLocalDpi xmlns:a14="http://schemas.microsoft.com/office/drawing/2010/main"/>
                        </a:ext>
                      </a:extLst>
                    </a:blip>
                    <a:stretch>
                      <a:fillRect/>
                    </a:stretch>
                  </pic:blipFill>
                  <pic:spPr>
                    <a:xfrm>
                      <a:off x="0" y="0"/>
                      <a:ext cx="4646972" cy="2520000"/>
                    </a:xfrm>
                    <a:prstGeom prst="rect">
                      <a:avLst/>
                    </a:prstGeom>
                  </pic:spPr>
                </pic:pic>
              </a:graphicData>
            </a:graphic>
          </wp:inline>
        </w:drawing>
      </w:r>
    </w:p>
    <w:p w14:paraId="2637C858" w14:textId="15079276" w:rsidR="5ECD9882" w:rsidRDefault="5ECD9882" w:rsidP="0C58EABD">
      <w:r>
        <w:rPr>
          <w:noProof/>
        </w:rPr>
        <w:drawing>
          <wp:inline distT="0" distB="0" distL="0" distR="0" wp14:anchorId="3370335A" wp14:editId="772B5019">
            <wp:extent cx="4618723" cy="2520000"/>
            <wp:effectExtent l="0" t="0" r="0" b="0"/>
            <wp:docPr id="13925805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580546" name="Picture 1392580546"/>
                    <pic:cNvPicPr/>
                  </pic:nvPicPr>
                  <pic:blipFill>
                    <a:blip r:embed="rId58">
                      <a:extLst>
                        <a:ext uri="{28A0092B-C50C-407E-A947-70E740481C1C}">
                          <a14:useLocalDpi xmlns:a14="http://schemas.microsoft.com/office/drawing/2010/main"/>
                        </a:ext>
                      </a:extLst>
                    </a:blip>
                    <a:stretch>
                      <a:fillRect/>
                    </a:stretch>
                  </pic:blipFill>
                  <pic:spPr>
                    <a:xfrm>
                      <a:off x="0" y="0"/>
                      <a:ext cx="4618723" cy="2520000"/>
                    </a:xfrm>
                    <a:prstGeom prst="rect">
                      <a:avLst/>
                    </a:prstGeom>
                  </pic:spPr>
                </pic:pic>
              </a:graphicData>
            </a:graphic>
          </wp:inline>
        </w:drawing>
      </w:r>
    </w:p>
    <w:p w14:paraId="7628F3D4" w14:textId="47F42A65" w:rsidR="5ECD9882" w:rsidRDefault="03F52B36" w:rsidP="30A532F5">
      <w:pPr>
        <w:rPr>
          <w:rFonts w:cs="Arial"/>
        </w:rPr>
      </w:pPr>
      <w:r w:rsidRPr="30A532F5">
        <w:rPr>
          <w:rFonts w:cs="Arial"/>
        </w:rPr>
        <w:lastRenderedPageBreak/>
        <w:t xml:space="preserve">No início da série, o indicador apresenta variação entre aproximadamente </w:t>
      </w:r>
      <w:r w:rsidRPr="3DFAD953">
        <w:rPr>
          <w:rFonts w:cs="Arial"/>
        </w:rPr>
        <w:t>9% e 21%</w:t>
      </w:r>
      <w:r w:rsidRPr="30A532F5">
        <w:rPr>
          <w:rFonts w:cs="Arial"/>
        </w:rPr>
        <w:t xml:space="preserve">, com um aumento pontual em </w:t>
      </w:r>
      <w:r w:rsidRPr="3DFAD953">
        <w:rPr>
          <w:rFonts w:cs="Arial"/>
        </w:rPr>
        <w:t>05/04/2026</w:t>
      </w:r>
      <w:r w:rsidRPr="30A532F5">
        <w:rPr>
          <w:rFonts w:cs="Arial"/>
        </w:rPr>
        <w:t xml:space="preserve">, quando atinge cerca de </w:t>
      </w:r>
      <w:r w:rsidRPr="3DFAD953">
        <w:rPr>
          <w:rFonts w:cs="Arial"/>
        </w:rPr>
        <w:t>39%</w:t>
      </w:r>
      <w:r w:rsidRPr="30A532F5">
        <w:rPr>
          <w:rFonts w:cs="Arial"/>
        </w:rPr>
        <w:t>. Esse ponto representa o melhor resultado do período.</w:t>
      </w:r>
    </w:p>
    <w:p w14:paraId="6E0E5A7A" w14:textId="12C0D266" w:rsidR="5ECD9882" w:rsidRDefault="03F52B36" w:rsidP="30A532F5">
      <w:pPr>
        <w:spacing w:before="240" w:after="240"/>
        <w:rPr>
          <w:rFonts w:cs="Arial"/>
        </w:rPr>
      </w:pPr>
      <w:r w:rsidRPr="30A532F5">
        <w:rPr>
          <w:rFonts w:cs="Arial"/>
        </w:rPr>
        <w:t xml:space="preserve">O gráfico mostra um </w:t>
      </w:r>
      <w:r w:rsidRPr="3DFAD953">
        <w:rPr>
          <w:rFonts w:cs="Arial"/>
        </w:rPr>
        <w:t>ponto astronômico</w:t>
      </w:r>
      <w:r w:rsidRPr="30A532F5">
        <w:rPr>
          <w:rFonts w:cs="Arial"/>
        </w:rPr>
        <w:t xml:space="preserve"> em 05/04/2026, quando o indicador sobe para quase 40%, muito acima dos demais pontos da série. Porém, como esse resultado não se mantém nas semanas seguintes, ele deve ser interpretado com cautela.</w:t>
      </w:r>
    </w:p>
    <w:p w14:paraId="25E90736" w14:textId="6DF51648" w:rsidR="5ECD9882" w:rsidRDefault="03F52B36" w:rsidP="30A532F5">
      <w:pPr>
        <w:spacing w:before="240" w:after="240"/>
        <w:rPr>
          <w:rFonts w:cs="Arial"/>
        </w:rPr>
      </w:pPr>
      <w:r w:rsidRPr="30A532F5">
        <w:rPr>
          <w:rFonts w:cs="Arial"/>
        </w:rPr>
        <w:t xml:space="preserve">A partir de 12/04/2026, há um </w:t>
      </w:r>
      <w:r w:rsidRPr="3DFAD953">
        <w:rPr>
          <w:rFonts w:cs="Arial"/>
        </w:rPr>
        <w:t>deslocamento para baixo</w:t>
      </w:r>
      <w:r w:rsidRPr="30A532F5">
        <w:rPr>
          <w:rFonts w:cs="Arial"/>
        </w:rPr>
        <w:t xml:space="preserve">, com vários pontos consecutivos abaixo da mediana geral. Isso sugere que o processo pode estar </w:t>
      </w:r>
      <w:r w:rsidRPr="3DFAD953">
        <w:rPr>
          <w:rFonts w:cs="Arial"/>
        </w:rPr>
        <w:t>piorando</w:t>
      </w:r>
      <w:r w:rsidRPr="30A532F5">
        <w:rPr>
          <w:rFonts w:cs="Arial"/>
        </w:rPr>
        <w:t xml:space="preserve"> ou que houve alguma mudança operacional que reduziu a adesão ao RI de AVC.</w:t>
      </w:r>
    </w:p>
    <w:p w14:paraId="3E29B7F2" w14:textId="5D3B52E5" w:rsidR="5ECD9882" w:rsidRDefault="03F52B36" w:rsidP="30A532F5">
      <w:pPr>
        <w:spacing w:before="240" w:after="240"/>
        <w:rPr>
          <w:rFonts w:cs="Arial"/>
        </w:rPr>
      </w:pPr>
      <w:r w:rsidRPr="30A532F5">
        <w:rPr>
          <w:rFonts w:cs="Arial"/>
        </w:rPr>
        <w:t xml:space="preserve">Não há evidência clara de melhoria sustentada. O comportamento mais provável é de </w:t>
      </w:r>
      <w:r w:rsidRPr="3DFAD953">
        <w:rPr>
          <w:rFonts w:cs="Arial"/>
        </w:rPr>
        <w:t>piora do indicador</w:t>
      </w:r>
      <w:r w:rsidRPr="30A532F5">
        <w:rPr>
          <w:rFonts w:cs="Arial"/>
        </w:rPr>
        <w:t>, com instabilidade e baixa confiabilidade do processo.</w:t>
      </w:r>
    </w:p>
    <w:p w14:paraId="7A362B43" w14:textId="0D002E92" w:rsidR="5ECD9882" w:rsidRDefault="03F52B36" w:rsidP="30A532F5">
      <w:pPr>
        <w:spacing w:before="240" w:after="240"/>
        <w:rPr>
          <w:rFonts w:cs="Arial"/>
        </w:rPr>
      </w:pPr>
      <w:r w:rsidRPr="30A532F5">
        <w:rPr>
          <w:rFonts w:cs="Arial"/>
        </w:rPr>
        <w:t>A adesão ao RI de AVC está muito abaixo do esperado para uma linha de cuidado tempo-dependente. Em pacientes com suspeita de AVC, a baixa adesão ao protocolo pode gerar atraso em etapas críticas, como:</w:t>
      </w:r>
    </w:p>
    <w:p w14:paraId="1B595AC5" w14:textId="4B400880" w:rsidR="5ECD9882" w:rsidRDefault="03F52B36" w:rsidP="30A532F5">
      <w:pPr>
        <w:pStyle w:val="PargrafodaLista"/>
        <w:numPr>
          <w:ilvl w:val="0"/>
          <w:numId w:val="42"/>
        </w:numPr>
        <w:spacing w:after="0"/>
        <w:rPr>
          <w:rFonts w:cs="Arial"/>
        </w:rPr>
      </w:pPr>
      <w:r w:rsidRPr="30A532F5">
        <w:rPr>
          <w:rFonts w:cs="Arial"/>
        </w:rPr>
        <w:t xml:space="preserve">reconhecimento precoce dos sinais de AVC; </w:t>
      </w:r>
    </w:p>
    <w:p w14:paraId="033B2AD7" w14:textId="01925BC3" w:rsidR="5ECD9882" w:rsidRDefault="03F52B36" w:rsidP="30A532F5">
      <w:pPr>
        <w:pStyle w:val="PargrafodaLista"/>
        <w:numPr>
          <w:ilvl w:val="0"/>
          <w:numId w:val="42"/>
        </w:numPr>
        <w:spacing w:after="0"/>
        <w:rPr>
          <w:rFonts w:cs="Arial"/>
        </w:rPr>
      </w:pPr>
      <w:r w:rsidRPr="30A532F5">
        <w:rPr>
          <w:rFonts w:cs="Arial"/>
        </w:rPr>
        <w:t xml:space="preserve">acionamento do código AVC; </w:t>
      </w:r>
    </w:p>
    <w:p w14:paraId="76039FB3" w14:textId="62FE518C" w:rsidR="5ECD9882" w:rsidRDefault="03F52B36" w:rsidP="30A532F5">
      <w:pPr>
        <w:pStyle w:val="PargrafodaLista"/>
        <w:numPr>
          <w:ilvl w:val="0"/>
          <w:numId w:val="42"/>
        </w:numPr>
        <w:spacing w:after="0"/>
        <w:rPr>
          <w:rFonts w:cs="Arial"/>
        </w:rPr>
      </w:pPr>
      <w:r w:rsidRPr="30A532F5">
        <w:rPr>
          <w:rFonts w:cs="Arial"/>
        </w:rPr>
        <w:t xml:space="preserve">priorização da tomografia; </w:t>
      </w:r>
    </w:p>
    <w:p w14:paraId="34496F51" w14:textId="58E5F843" w:rsidR="5ECD9882" w:rsidRDefault="03F52B36" w:rsidP="30A532F5">
      <w:pPr>
        <w:pStyle w:val="PargrafodaLista"/>
        <w:numPr>
          <w:ilvl w:val="0"/>
          <w:numId w:val="42"/>
        </w:numPr>
        <w:spacing w:after="0"/>
        <w:rPr>
          <w:rFonts w:cs="Arial"/>
        </w:rPr>
      </w:pPr>
      <w:r w:rsidRPr="30A532F5">
        <w:rPr>
          <w:rFonts w:cs="Arial"/>
        </w:rPr>
        <w:t xml:space="preserve">avaliação médica e neurológica; </w:t>
      </w:r>
    </w:p>
    <w:p w14:paraId="09919F88" w14:textId="4785DAFA" w:rsidR="5ECD9882" w:rsidRDefault="03F52B36" w:rsidP="30A532F5">
      <w:pPr>
        <w:pStyle w:val="PargrafodaLista"/>
        <w:numPr>
          <w:ilvl w:val="0"/>
          <w:numId w:val="42"/>
        </w:numPr>
        <w:spacing w:after="0"/>
        <w:rPr>
          <w:rFonts w:cs="Arial"/>
        </w:rPr>
      </w:pPr>
      <w:r w:rsidRPr="30A532F5">
        <w:rPr>
          <w:rFonts w:cs="Arial"/>
        </w:rPr>
        <w:t xml:space="preserve">definição de janela terapêutica; </w:t>
      </w:r>
    </w:p>
    <w:p w14:paraId="4FEAB039" w14:textId="790C1476" w:rsidR="5ECD9882" w:rsidRDefault="03F52B36" w:rsidP="30A532F5">
      <w:pPr>
        <w:pStyle w:val="PargrafodaLista"/>
        <w:numPr>
          <w:ilvl w:val="0"/>
          <w:numId w:val="42"/>
        </w:numPr>
        <w:spacing w:after="0"/>
        <w:rPr>
          <w:rFonts w:cs="Arial"/>
        </w:rPr>
      </w:pPr>
      <w:r w:rsidRPr="30A532F5">
        <w:rPr>
          <w:rFonts w:cs="Arial"/>
        </w:rPr>
        <w:t xml:space="preserve">indicação de trombólise ou trombectomia; </w:t>
      </w:r>
    </w:p>
    <w:p w14:paraId="691DE7F3" w14:textId="65BCBB6B" w:rsidR="5ECD9882" w:rsidRDefault="03F52B36" w:rsidP="30A532F5">
      <w:pPr>
        <w:pStyle w:val="PargrafodaLista"/>
        <w:numPr>
          <w:ilvl w:val="0"/>
          <w:numId w:val="42"/>
        </w:numPr>
        <w:spacing w:after="0"/>
        <w:rPr>
          <w:rFonts w:cs="Arial"/>
        </w:rPr>
      </w:pPr>
      <w:r w:rsidRPr="30A532F5">
        <w:rPr>
          <w:rFonts w:cs="Arial"/>
        </w:rPr>
        <w:t xml:space="preserve">monitoramento pós-conduta; </w:t>
      </w:r>
    </w:p>
    <w:p w14:paraId="7CAC1513" w14:textId="5DC76834" w:rsidR="5ECD9882" w:rsidRDefault="03F52B36" w:rsidP="30A532F5">
      <w:pPr>
        <w:pStyle w:val="PargrafodaLista"/>
        <w:numPr>
          <w:ilvl w:val="0"/>
          <w:numId w:val="42"/>
        </w:numPr>
        <w:spacing w:after="0"/>
        <w:rPr>
          <w:rFonts w:cs="Arial"/>
        </w:rPr>
      </w:pPr>
      <w:r w:rsidRPr="30A532F5">
        <w:rPr>
          <w:rFonts w:cs="Arial"/>
        </w:rPr>
        <w:t xml:space="preserve">comunicação entre emergência, diagnóstico e equipe médica. </w:t>
      </w:r>
    </w:p>
    <w:p w14:paraId="67F21114" w14:textId="0D8E16C1" w:rsidR="5ECD9882" w:rsidRDefault="03F52B36" w:rsidP="30A532F5">
      <w:pPr>
        <w:spacing w:before="240" w:after="240"/>
      </w:pPr>
      <w:r w:rsidRPr="30A532F5">
        <w:rPr>
          <w:rFonts w:cs="Arial"/>
        </w:rPr>
        <w:t xml:space="preserve">O resultado próximo de </w:t>
      </w:r>
      <w:r w:rsidRPr="30A532F5">
        <w:rPr>
          <w:rFonts w:cs="Arial"/>
          <w:b/>
          <w:bCs/>
        </w:rPr>
        <w:t>0%</w:t>
      </w:r>
      <w:r w:rsidRPr="30A532F5">
        <w:rPr>
          <w:rFonts w:cs="Arial"/>
        </w:rPr>
        <w:t xml:space="preserve"> em uma das semanas é especialmente preocupante, pois pode indicar ausência de adesão, falha de registro ou perda de rastreabilidade dos casos.</w:t>
      </w:r>
    </w:p>
    <w:p w14:paraId="10E70A1E" w14:textId="689CBC19" w:rsidR="5ECD9882" w:rsidRDefault="03F52B36" w:rsidP="30A532F5">
      <w:pPr>
        <w:spacing w:before="240" w:after="240"/>
        <w:rPr>
          <w:rFonts w:cs="Arial"/>
        </w:rPr>
      </w:pPr>
      <w:r w:rsidRPr="30A532F5">
        <w:rPr>
          <w:rFonts w:cs="Arial"/>
        </w:rPr>
        <w:t xml:space="preserve">O indicador de adesão ao RI de AVC apresenta </w:t>
      </w:r>
      <w:r w:rsidRPr="3DFAD953">
        <w:rPr>
          <w:rFonts w:cs="Arial"/>
        </w:rPr>
        <w:t>baixo desempenho, alta instabilidade e provável piora no período analisado</w:t>
      </w:r>
      <w:r w:rsidRPr="30A532F5">
        <w:rPr>
          <w:rFonts w:cs="Arial"/>
        </w:rPr>
        <w:t>. O pico de abril não representa melhoria sustentada, pois foi seguido por queda acentuada e resultados próximos de zero. Estamos trabalhando a abertura das trilhas junto com time assistencial.</w:t>
      </w:r>
    </w:p>
    <w:p w14:paraId="12DB71C0" w14:textId="7FD8698A" w:rsidR="5ECD9882" w:rsidRDefault="5ECD9882" w:rsidP="30A532F5">
      <w:pPr>
        <w:rPr>
          <w:rFonts w:cs="Arial"/>
        </w:rPr>
      </w:pPr>
    </w:p>
    <w:p w14:paraId="74DBADFE" w14:textId="1F1CFC5D" w:rsidR="5ECD9882" w:rsidRDefault="5ECD9882" w:rsidP="0C58EABD">
      <w:r>
        <w:rPr>
          <w:noProof/>
        </w:rPr>
        <w:lastRenderedPageBreak/>
        <w:drawing>
          <wp:inline distT="0" distB="0" distL="0" distR="0" wp14:anchorId="4DE440BB" wp14:editId="259677E2">
            <wp:extent cx="4536000" cy="2520000"/>
            <wp:effectExtent l="0" t="0" r="0" b="0"/>
            <wp:docPr id="20385884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588417" name="Picture 2038588417"/>
                    <pic:cNvPicPr/>
                  </pic:nvPicPr>
                  <pic:blipFill>
                    <a:blip r:embed="rId59">
                      <a:extLst>
                        <a:ext uri="{28A0092B-C50C-407E-A947-70E740481C1C}">
                          <a14:useLocalDpi xmlns:a14="http://schemas.microsoft.com/office/drawing/2010/main"/>
                        </a:ext>
                      </a:extLst>
                    </a:blip>
                    <a:stretch>
                      <a:fillRect/>
                    </a:stretch>
                  </pic:blipFill>
                  <pic:spPr>
                    <a:xfrm>
                      <a:off x="0" y="0"/>
                      <a:ext cx="4536000" cy="2520000"/>
                    </a:xfrm>
                    <a:prstGeom prst="rect">
                      <a:avLst/>
                    </a:prstGeom>
                  </pic:spPr>
                </pic:pic>
              </a:graphicData>
            </a:graphic>
          </wp:inline>
        </w:drawing>
      </w:r>
    </w:p>
    <w:p w14:paraId="5534077E" w14:textId="31DA9745" w:rsidR="5ECD9882" w:rsidRDefault="30CC8011" w:rsidP="30A532F5">
      <w:r w:rsidRPr="30A532F5">
        <w:rPr>
          <w:rFonts w:cs="Arial"/>
        </w:rPr>
        <w:t xml:space="preserve">O gráfico apresenta um indicador </w:t>
      </w:r>
      <w:r w:rsidRPr="00711CD0">
        <w:rPr>
          <w:rFonts w:cs="Arial"/>
        </w:rPr>
        <w:t>com baixo desempenho e grande instabilidade, com resultados iniciais entre aproximadamente 33% e 45%, seguidos de queda abrupta para valores próximos de 0% nas semanas posteriores. Apesar do formulário indicar “nenhuma causa especial” e classificar o indicador como “só variando”, a leitura crítica sugere que o processo merece</w:t>
      </w:r>
      <w:r w:rsidRPr="30A532F5">
        <w:rPr>
          <w:rFonts w:cs="Arial"/>
        </w:rPr>
        <w:t xml:space="preserve"> atenção, pois há perda importante de desempenho ao longo da série.</w:t>
      </w:r>
    </w:p>
    <w:p w14:paraId="08438723" w14:textId="401FF4EE" w:rsidR="5ECD9882" w:rsidRDefault="30CC8011" w:rsidP="30A532F5">
      <w:pPr>
        <w:spacing w:before="240" w:after="240"/>
      </w:pPr>
      <w:r w:rsidRPr="30A532F5">
        <w:rPr>
          <w:rFonts w:cs="Arial"/>
        </w:rPr>
        <w:t>O R2 provavelmente representa uma etapa intermediária da trilha de AVC, associada à continuidade do protocolo após o reconhecimento inicial. Em uma linha de cuidado tempo-dependente, como AVC, baixa adesão a qualquer etapa do fluxo pode comprometer o desfecho do paciente.</w:t>
      </w:r>
    </w:p>
    <w:p w14:paraId="35F6C55A" w14:textId="58FB6316" w:rsidR="5ECD9882" w:rsidRDefault="30CC8011" w:rsidP="30A532F5">
      <w:pPr>
        <w:spacing w:before="240" w:after="240"/>
      </w:pPr>
      <w:r w:rsidRPr="30A532F5">
        <w:rPr>
          <w:rFonts w:cs="Arial"/>
        </w:rPr>
        <w:t xml:space="preserve">A queda para valores próximos </w:t>
      </w:r>
      <w:r w:rsidRPr="00711CD0">
        <w:rPr>
          <w:rFonts w:cs="Arial"/>
        </w:rPr>
        <w:t>de 0%</w:t>
      </w:r>
      <w:r w:rsidRPr="30A532F5">
        <w:rPr>
          <w:rFonts w:cs="Arial"/>
        </w:rPr>
        <w:t xml:space="preserve"> é preocupante porque pode indicar:</w:t>
      </w:r>
    </w:p>
    <w:p w14:paraId="4DF31A79" w14:textId="416237C0" w:rsidR="5ECD9882" w:rsidRDefault="30CC8011" w:rsidP="30A532F5">
      <w:pPr>
        <w:pStyle w:val="PargrafodaLista"/>
        <w:numPr>
          <w:ilvl w:val="0"/>
          <w:numId w:val="41"/>
        </w:numPr>
        <w:spacing w:after="0"/>
        <w:rPr>
          <w:rFonts w:cs="Arial"/>
        </w:rPr>
      </w:pPr>
      <w:r w:rsidRPr="30A532F5">
        <w:rPr>
          <w:rFonts w:cs="Arial"/>
        </w:rPr>
        <w:t xml:space="preserve">falha na continuidade do protocolo após a entrada do paciente na trilha; </w:t>
      </w:r>
    </w:p>
    <w:p w14:paraId="4D5A646F" w14:textId="1E3A91C7" w:rsidR="5ECD9882" w:rsidRDefault="30CC8011" w:rsidP="30A532F5">
      <w:pPr>
        <w:pStyle w:val="PargrafodaLista"/>
        <w:numPr>
          <w:ilvl w:val="0"/>
          <w:numId w:val="41"/>
        </w:numPr>
        <w:spacing w:after="0"/>
        <w:rPr>
          <w:rFonts w:cs="Arial"/>
        </w:rPr>
      </w:pPr>
      <w:r w:rsidRPr="30A532F5">
        <w:rPr>
          <w:rFonts w:cs="Arial"/>
        </w:rPr>
        <w:t xml:space="preserve">ausência de registro adequado do R2; </w:t>
      </w:r>
    </w:p>
    <w:p w14:paraId="79BC0716" w14:textId="014E7B40" w:rsidR="5ECD9882" w:rsidRDefault="30CC8011" w:rsidP="30A532F5">
      <w:pPr>
        <w:pStyle w:val="PargrafodaLista"/>
        <w:numPr>
          <w:ilvl w:val="0"/>
          <w:numId w:val="41"/>
        </w:numPr>
        <w:spacing w:after="0"/>
        <w:rPr>
          <w:rFonts w:cs="Arial"/>
        </w:rPr>
      </w:pPr>
      <w:r w:rsidRPr="30A532F5">
        <w:rPr>
          <w:rFonts w:cs="Arial"/>
        </w:rPr>
        <w:t xml:space="preserve">desconhecimento da equipe sobre a etapa; </w:t>
      </w:r>
    </w:p>
    <w:p w14:paraId="166976E1" w14:textId="44653A59" w:rsidR="5ECD9882" w:rsidRDefault="30CC8011" w:rsidP="30A532F5">
      <w:pPr>
        <w:pStyle w:val="PargrafodaLista"/>
        <w:numPr>
          <w:ilvl w:val="0"/>
          <w:numId w:val="41"/>
        </w:numPr>
        <w:spacing w:after="0"/>
        <w:rPr>
          <w:rFonts w:cs="Arial"/>
        </w:rPr>
      </w:pPr>
      <w:r w:rsidRPr="30A532F5">
        <w:rPr>
          <w:rFonts w:cs="Arial"/>
        </w:rPr>
        <w:t xml:space="preserve">baixa integração entre emergência, imagem, neurologia e equipe assistencial; </w:t>
      </w:r>
    </w:p>
    <w:p w14:paraId="19F83B6A" w14:textId="68F7FAE1" w:rsidR="5ECD9882" w:rsidRDefault="30CC8011" w:rsidP="30A532F5">
      <w:pPr>
        <w:pStyle w:val="PargrafodaLista"/>
        <w:numPr>
          <w:ilvl w:val="0"/>
          <w:numId w:val="41"/>
        </w:numPr>
        <w:spacing w:after="0"/>
        <w:rPr>
          <w:rFonts w:cs="Arial"/>
        </w:rPr>
      </w:pPr>
      <w:r w:rsidRPr="30A532F5">
        <w:rPr>
          <w:rFonts w:cs="Arial"/>
        </w:rPr>
        <w:t xml:space="preserve">falha no acionamento do fluxo; </w:t>
      </w:r>
    </w:p>
    <w:p w14:paraId="0DA3FBB1" w14:textId="6EA97ED4" w:rsidR="5ECD9882" w:rsidRDefault="30CC8011" w:rsidP="30A532F5">
      <w:pPr>
        <w:pStyle w:val="PargrafodaLista"/>
        <w:numPr>
          <w:ilvl w:val="0"/>
          <w:numId w:val="41"/>
        </w:numPr>
        <w:spacing w:after="0"/>
        <w:rPr>
          <w:rFonts w:cs="Arial"/>
        </w:rPr>
      </w:pPr>
      <w:r w:rsidRPr="30A532F5">
        <w:rPr>
          <w:rFonts w:cs="Arial"/>
        </w:rPr>
        <w:t>pacientes conduzidos clinicamente, mas sem rastreabilidade no indicador.</w:t>
      </w:r>
    </w:p>
    <w:p w14:paraId="48FB2E43" w14:textId="33CF510E" w:rsidR="5ECD9882" w:rsidRDefault="30CC8011" w:rsidP="30A532F5">
      <w:pPr>
        <w:spacing w:before="240" w:after="240"/>
        <w:rPr>
          <w:rFonts w:cs="Arial"/>
        </w:rPr>
      </w:pPr>
      <w:r w:rsidRPr="30A532F5">
        <w:rPr>
          <w:rFonts w:cs="Arial"/>
        </w:rPr>
        <w:t>O indicador de adesão ao R2 de AVC apresenta desempenho baixo, instável e sem evidência de melhoria sustentada. Embora o gráfico esteja classificado como “só variando”, a queda para resultados próximos de zero representa uma fragilidade relevante na linha de cuidado.</w:t>
      </w:r>
    </w:p>
    <w:p w14:paraId="78D8A457" w14:textId="0F37E0FB" w:rsidR="5ECD9882" w:rsidRDefault="30CC8011" w:rsidP="30A532F5">
      <w:pPr>
        <w:spacing w:before="240" w:after="240"/>
        <w:rPr>
          <w:rFonts w:cs="Arial"/>
        </w:rPr>
      </w:pPr>
      <w:r w:rsidRPr="30A532F5">
        <w:rPr>
          <w:rFonts w:cs="Arial"/>
        </w:rPr>
        <w:lastRenderedPageBreak/>
        <w:t>A prioridade deve ser verificar se a falha está na execução da etapa R2, no registro do processo ou na definição dos pacientes elegíveis. Para uma condição tempo-dependente como AVC, a trilha precisa ser confiável, rastreável e sustentada em todas as semanas.</w:t>
      </w:r>
    </w:p>
    <w:p w14:paraId="5A56BBEE" w14:textId="1B89A63E" w:rsidR="5ECD9882" w:rsidRDefault="5ECD9882" w:rsidP="30A532F5">
      <w:pPr>
        <w:rPr>
          <w:rFonts w:cs="Arial"/>
        </w:rPr>
      </w:pPr>
    </w:p>
    <w:p w14:paraId="20C12921" w14:textId="08ECFDCE" w:rsidR="5ECD9882" w:rsidRDefault="5ECD9882" w:rsidP="0C58EABD">
      <w:r>
        <w:rPr>
          <w:noProof/>
        </w:rPr>
        <w:drawing>
          <wp:inline distT="0" distB="0" distL="0" distR="0" wp14:anchorId="01AA4716" wp14:editId="06703E2A">
            <wp:extent cx="4536000" cy="2520000"/>
            <wp:effectExtent l="0" t="0" r="0" b="0"/>
            <wp:docPr id="641511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51104" name="Picture 64151104"/>
                    <pic:cNvPicPr/>
                  </pic:nvPicPr>
                  <pic:blipFill>
                    <a:blip r:embed="rId60">
                      <a:extLst>
                        <a:ext uri="{28A0092B-C50C-407E-A947-70E740481C1C}">
                          <a14:useLocalDpi xmlns:a14="http://schemas.microsoft.com/office/drawing/2010/main"/>
                        </a:ext>
                      </a:extLst>
                    </a:blip>
                    <a:stretch>
                      <a:fillRect/>
                    </a:stretch>
                  </pic:blipFill>
                  <pic:spPr>
                    <a:xfrm>
                      <a:off x="0" y="0"/>
                      <a:ext cx="4536000" cy="2520000"/>
                    </a:xfrm>
                    <a:prstGeom prst="rect">
                      <a:avLst/>
                    </a:prstGeom>
                  </pic:spPr>
                </pic:pic>
              </a:graphicData>
            </a:graphic>
          </wp:inline>
        </w:drawing>
      </w:r>
    </w:p>
    <w:p w14:paraId="0C20338A" w14:textId="627AB406" w:rsidR="0F1A0939" w:rsidRDefault="0F1A0939" w:rsidP="19521CAD">
      <w:r w:rsidRPr="0F905E28">
        <w:rPr>
          <w:rFonts w:eastAsiaTheme="minorEastAsia" w:cs="Arial"/>
          <w:b/>
          <w:color w:val="2E75B6"/>
        </w:rPr>
        <w:t xml:space="preserve">Trilha trauma </w:t>
      </w:r>
    </w:p>
    <w:p w14:paraId="36ADF16A" w14:textId="06852CEB" w:rsidR="0F1A0939" w:rsidRDefault="31DB899D" w:rsidP="6477F83C">
      <w:pPr>
        <w:spacing w:before="240" w:after="240"/>
      </w:pPr>
      <w:r w:rsidRPr="6477F83C">
        <w:rPr>
          <w:rFonts w:cs="Arial"/>
        </w:rPr>
        <w:t xml:space="preserve">A </w:t>
      </w:r>
      <w:r w:rsidRPr="2D1A4D3B">
        <w:rPr>
          <w:rFonts w:cs="Arial"/>
        </w:rPr>
        <w:t>Trilha do Trauma</w:t>
      </w:r>
      <w:r w:rsidRPr="6477F83C">
        <w:rPr>
          <w:rFonts w:cs="Arial"/>
        </w:rPr>
        <w:t xml:space="preserve"> é um fluxo assistencial estruturado para garantir atendimento rápido, seguro e coordenado ao paciente vítima de trauma. Em hospitais de urgência e emergência, especialmente em unidades referência em trauma, essa trilha é essencial para reduzir atrasos, organizar a equipe multiprofissional, priorizar riscos e prevenir eventos adversos evitáveis.</w:t>
      </w:r>
    </w:p>
    <w:p w14:paraId="7A2FB1BA" w14:textId="7E9EA0D2" w:rsidR="0F1A0939" w:rsidRDefault="31DB899D" w:rsidP="6477F83C">
      <w:pPr>
        <w:spacing w:before="240" w:after="240"/>
      </w:pPr>
      <w:r w:rsidRPr="6477F83C">
        <w:rPr>
          <w:rFonts w:cs="Arial"/>
        </w:rPr>
        <w:t>O trauma é uma condição tempo-dependente. Isso significa que o desfecho do paciente pode ser diretamente impactado pela rapidez do reconhecimento, pela organização da sala de emergência, pela comunicação entre equipes e pela execução correta das primeiras condutas.</w:t>
      </w:r>
    </w:p>
    <w:p w14:paraId="0B5A1D83" w14:textId="193CD137" w:rsidR="0F1A0939" w:rsidRDefault="31DB899D" w:rsidP="37DD5389">
      <w:pPr>
        <w:spacing w:before="240" w:after="240"/>
        <w:rPr>
          <w:rFonts w:cs="Arial"/>
        </w:rPr>
      </w:pPr>
      <w:r w:rsidRPr="37DD5389">
        <w:rPr>
          <w:rFonts w:cs="Arial"/>
        </w:rPr>
        <w:t>A Trilha do Trauma tem como objetivo principal garantir que todo paciente vítima de trauma grave ou potencialmente grave seja rapidamente:</w:t>
      </w:r>
      <w:r w:rsidRPr="2D1A4D3B">
        <w:rPr>
          <w:rFonts w:cs="Arial"/>
        </w:rPr>
        <w:t xml:space="preserve"> identificado, classificado, estabilizado, investigado, tratado e encaminhado para o cuidado definitivo.</w:t>
      </w:r>
    </w:p>
    <w:p w14:paraId="20C12D8F" w14:textId="05B7663C" w:rsidR="0F1A0939" w:rsidRDefault="31DB899D" w:rsidP="37DD5389">
      <w:pPr>
        <w:spacing w:before="240" w:after="240"/>
      </w:pPr>
      <w:r w:rsidRPr="37DD5389">
        <w:rPr>
          <w:rFonts w:cs="Arial"/>
        </w:rPr>
        <w:t xml:space="preserve">A trilha deve reduzir a variabilidade do atendimento e evitar que etapas críticas dependam apenas da experiência individual dos profissionais. Ela transforma o </w:t>
      </w:r>
      <w:r w:rsidRPr="37DD5389">
        <w:rPr>
          <w:rFonts w:cs="Arial"/>
        </w:rPr>
        <w:lastRenderedPageBreak/>
        <w:t>cuidado em um processo padronizado, com papéis definidos e sequência lógica de ações.</w:t>
      </w:r>
    </w:p>
    <w:p w14:paraId="47B0D519" w14:textId="17D6A6C6" w:rsidR="0F1A0939" w:rsidRDefault="0F1A0939" w:rsidP="19521CAD">
      <w:pPr>
        <w:rPr>
          <w:rFonts w:eastAsiaTheme="minorEastAsia" w:cs="Arial"/>
          <w:b/>
          <w:bCs/>
          <w:color w:val="2E75B6"/>
        </w:rPr>
      </w:pPr>
    </w:p>
    <w:p w14:paraId="6275884E" w14:textId="4C8D9E36" w:rsidR="0F1A0939" w:rsidRDefault="134FEF78" w:rsidP="0F905E28">
      <w:r>
        <w:rPr>
          <w:noProof/>
        </w:rPr>
        <w:drawing>
          <wp:inline distT="0" distB="0" distL="0" distR="0" wp14:anchorId="332F8AD9" wp14:editId="3C45E82A">
            <wp:extent cx="5743575" cy="1895475"/>
            <wp:effectExtent l="0" t="0" r="0" b="0"/>
            <wp:docPr id="16657511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751143" name="Picture 1665751143"/>
                    <pic:cNvPicPr/>
                  </pic:nvPicPr>
                  <pic:blipFill>
                    <a:blip r:embed="rId61">
                      <a:extLst>
                        <a:ext uri="{28A0092B-C50C-407E-A947-70E740481C1C}">
                          <a14:useLocalDpi xmlns:a14="http://schemas.microsoft.com/office/drawing/2010/main"/>
                        </a:ext>
                      </a:extLst>
                    </a:blip>
                    <a:stretch>
                      <a:fillRect/>
                    </a:stretch>
                  </pic:blipFill>
                  <pic:spPr>
                    <a:xfrm>
                      <a:off x="0" y="0"/>
                      <a:ext cx="5743575" cy="1895475"/>
                    </a:xfrm>
                    <a:prstGeom prst="rect">
                      <a:avLst/>
                    </a:prstGeom>
                  </pic:spPr>
                </pic:pic>
              </a:graphicData>
            </a:graphic>
          </wp:inline>
        </w:drawing>
      </w:r>
    </w:p>
    <w:p w14:paraId="2132B889" w14:textId="7601D4A5" w:rsidR="173852C4" w:rsidRPr="00924867" w:rsidRDefault="7F4703F4" w:rsidP="173852C4">
      <w:r w:rsidRPr="2E12B008">
        <w:rPr>
          <w:rFonts w:cs="Arial"/>
        </w:rPr>
        <w:t xml:space="preserve">O gráfico demonstra </w:t>
      </w:r>
      <w:r w:rsidRPr="00924867">
        <w:rPr>
          <w:rFonts w:cs="Arial"/>
        </w:rPr>
        <w:t>uma mudança importante no comportamento do indicador ao longo do tempo. Nas primeiras semanas, a adesão ao R1 de Trauma permaneceu praticamente em 0%, indicando que o processo ainda não estava implantado, não estava sendo registrado ou não era reconhecido pelas equipes. A partir de maio, observa-se uma elevação progressiva, com melhora expressiva nas últimas semanas, chegando próximo de 90% em 21/06/2026.</w:t>
      </w:r>
    </w:p>
    <w:p w14:paraId="43840D17" w14:textId="3A9AE590" w:rsidR="7F4703F4" w:rsidRPr="00924867" w:rsidRDefault="7F4703F4" w:rsidP="047AEC8D">
      <w:pPr>
        <w:spacing w:before="240" w:after="240"/>
      </w:pPr>
      <w:r w:rsidRPr="00924867">
        <w:rPr>
          <w:rFonts w:cs="Arial"/>
        </w:rPr>
        <w:t>A melhora observada é positiva e sugere que alguma intervenção pode ter ocorrido, como implantação da ficha de trauma, reforço da trilha, treinamento das equipes, auditoria, feedback ou definição mais clara dos critérios de abertura do R1.</w:t>
      </w:r>
    </w:p>
    <w:p w14:paraId="05AAFDF1" w14:textId="2C257DC0" w:rsidR="7F4703F4" w:rsidRPr="00924867" w:rsidRDefault="7F4703F4" w:rsidP="047AEC8D">
      <w:pPr>
        <w:spacing w:before="240" w:after="240"/>
      </w:pPr>
      <w:r w:rsidRPr="00924867">
        <w:rPr>
          <w:rFonts w:cs="Arial"/>
        </w:rPr>
        <w:t>Entretanto, a análise deve ser cautelosa. A queda em 14/06/2026, após atingir cerca de 65%, mostra que o processo ainda pode estar vulnerável a variações entre turnos, equipes, dias da semana, volume de pacientes ou falhas de registro.</w:t>
      </w:r>
    </w:p>
    <w:p w14:paraId="3400F00D" w14:textId="475AF21A" w:rsidR="7F4703F4" w:rsidRDefault="7F4703F4" w:rsidP="047AEC8D">
      <w:pPr>
        <w:spacing w:before="240" w:after="240"/>
      </w:pPr>
      <w:r w:rsidRPr="00924867">
        <w:rPr>
          <w:rFonts w:cs="Arial"/>
        </w:rPr>
        <w:t>Portanto, o indicador está melhorando, mas</w:t>
      </w:r>
      <w:r w:rsidRPr="047AEC8D">
        <w:rPr>
          <w:rFonts w:cs="Arial"/>
        </w:rPr>
        <w:t xml:space="preserve"> ainda precisa de sustentação para confirmar que a mudança representa uma melhoria real e não apenas um efeito temporário de implantação.</w:t>
      </w:r>
    </w:p>
    <w:p w14:paraId="6CABB528" w14:textId="1E62E0A3" w:rsidR="7F4703F4" w:rsidRDefault="7F4703F4" w:rsidP="047AEC8D">
      <w:pPr>
        <w:spacing w:before="240" w:after="240"/>
      </w:pPr>
      <w:r w:rsidRPr="047AEC8D">
        <w:rPr>
          <w:rFonts w:cs="Arial"/>
        </w:rPr>
        <w:t xml:space="preserve">Há evidência sugestiva </w:t>
      </w:r>
      <w:r w:rsidRPr="00924867">
        <w:rPr>
          <w:rFonts w:cs="Arial"/>
        </w:rPr>
        <w:t>de causa especial de variação positiva,</w:t>
      </w:r>
      <w:r w:rsidRPr="047AEC8D">
        <w:rPr>
          <w:rFonts w:cs="Arial"/>
        </w:rPr>
        <w:t xml:space="preserve"> principalmente por:</w:t>
      </w:r>
    </w:p>
    <w:p w14:paraId="56D38300" w14:textId="30A29A5A" w:rsidR="7F4703F4" w:rsidRDefault="7F4703F4" w:rsidP="047AEC8D">
      <w:pPr>
        <w:spacing w:before="240" w:after="240"/>
      </w:pPr>
      <w:r w:rsidRPr="047AEC8D">
        <w:rPr>
          <w:rFonts w:cs="Arial"/>
          <w:b/>
          <w:bCs/>
        </w:rPr>
        <w:t>Deslocamento:</w:t>
      </w:r>
      <w:r w:rsidRPr="047AEC8D">
        <w:rPr>
          <w:rFonts w:cs="Arial"/>
        </w:rPr>
        <w:t xml:space="preserve"> após várias semanas próximas de zero, o indicador passa para um novo patamar acima de 40% e depois alcança quase 90%.</w:t>
      </w:r>
    </w:p>
    <w:p w14:paraId="10FBF71E" w14:textId="706E18A3" w:rsidR="7F4703F4" w:rsidRDefault="7F4703F4" w:rsidP="047AEC8D">
      <w:pPr>
        <w:spacing w:before="240" w:after="240"/>
      </w:pPr>
      <w:r w:rsidRPr="047AEC8D">
        <w:rPr>
          <w:rFonts w:cs="Arial"/>
          <w:b/>
          <w:bCs/>
        </w:rPr>
        <w:t>Tendência de melhora:</w:t>
      </w:r>
      <w:r w:rsidRPr="047AEC8D">
        <w:rPr>
          <w:rFonts w:cs="Arial"/>
        </w:rPr>
        <w:t xml:space="preserve"> há sequência ascendente entre 24/05, 31/05 e 07/06.</w:t>
      </w:r>
    </w:p>
    <w:p w14:paraId="67FF2873" w14:textId="6FD160B1" w:rsidR="7F4703F4" w:rsidRDefault="7F4703F4" w:rsidP="047AEC8D">
      <w:pPr>
        <w:spacing w:before="240" w:after="240"/>
      </w:pPr>
      <w:r w:rsidRPr="047AEC8D">
        <w:rPr>
          <w:rFonts w:cs="Arial"/>
          <w:b/>
          <w:bCs/>
        </w:rPr>
        <w:lastRenderedPageBreak/>
        <w:t>Ponto alto/astronômico:</w:t>
      </w:r>
      <w:r w:rsidRPr="047AEC8D">
        <w:rPr>
          <w:rFonts w:cs="Arial"/>
        </w:rPr>
        <w:t xml:space="preserve"> o resultado de 21/06, próximo de 90%, é muito superior ao padrão inicial da série.</w:t>
      </w:r>
    </w:p>
    <w:p w14:paraId="6328EE50" w14:textId="4C303DDB" w:rsidR="7F4703F4" w:rsidRPr="00924867" w:rsidRDefault="7F4703F4" w:rsidP="047AEC8D">
      <w:pPr>
        <w:spacing w:before="240" w:after="240"/>
      </w:pPr>
      <w:r w:rsidRPr="047AEC8D">
        <w:rPr>
          <w:rFonts w:cs="Arial"/>
        </w:rPr>
        <w:t xml:space="preserve">O principal ponto positivo é que o indicador saiu de um cenário </w:t>
      </w:r>
      <w:r w:rsidRPr="00924867">
        <w:rPr>
          <w:rFonts w:cs="Arial"/>
        </w:rPr>
        <w:t>de adesão praticamente inexistente para um patamar muito mais alto. Isso sugere que a Trilha do Trauma começou a ser incorporada à rotina.</w:t>
      </w:r>
    </w:p>
    <w:p w14:paraId="2E771E4B" w14:textId="2B443C2F" w:rsidR="7F4703F4" w:rsidRDefault="7F4703F4" w:rsidP="047AEC8D">
      <w:pPr>
        <w:spacing w:before="240" w:after="240"/>
      </w:pPr>
      <w:r w:rsidRPr="047AEC8D">
        <w:rPr>
          <w:rFonts w:cs="Arial"/>
        </w:rPr>
        <w:t>Também há sinal de maior rastreabilidade, pois o aumento do indicador pode representar melhor abertura formal do R1, melhor registro e maior reconhecimento dos pacientes elegíveis.</w:t>
      </w:r>
    </w:p>
    <w:p w14:paraId="35E55E36" w14:textId="22FAE2C4" w:rsidR="7F4703F4" w:rsidRDefault="7F4703F4" w:rsidP="047AEC8D">
      <w:pPr>
        <w:spacing w:before="240" w:after="240"/>
      </w:pPr>
      <w:r w:rsidRPr="047AEC8D">
        <w:rPr>
          <w:rFonts w:cs="Arial"/>
        </w:rPr>
        <w:t>Esse avanço é relevante porque o trauma é uma condição tempo-dependente. Quanto mais rápido o paciente entra na trilha correta, maior a chance de organização do atendimento, acionamento de equipes e redução de atrasos.</w:t>
      </w:r>
    </w:p>
    <w:p w14:paraId="2B74AFD9" w14:textId="1D1C1EEF" w:rsidR="7F4703F4" w:rsidRDefault="7F4703F4" w:rsidP="5B563204">
      <w:pPr>
        <w:spacing w:before="240" w:after="240"/>
      </w:pPr>
      <w:r w:rsidRPr="5B563204">
        <w:rPr>
          <w:rFonts w:cs="Arial"/>
        </w:rPr>
        <w:t xml:space="preserve">O indicador de adesão ao </w:t>
      </w:r>
      <w:r w:rsidRPr="00924867">
        <w:rPr>
          <w:rFonts w:cs="Arial"/>
        </w:rPr>
        <w:t>R1 de Trauma apresenta melhora importante e clinicamente relevante, saind</w:t>
      </w:r>
      <w:r w:rsidRPr="5B563204">
        <w:rPr>
          <w:rFonts w:cs="Arial"/>
        </w:rPr>
        <w:t>o de resultados próximos de 0% para quase 90% no final da série. Há sinais de causa especial positiva, com deslocamento e tendência de melhora.</w:t>
      </w:r>
    </w:p>
    <w:p w14:paraId="6FBAC328" w14:textId="6EB281C4" w:rsidR="7F4703F4" w:rsidRDefault="7F4703F4" w:rsidP="5B563204">
      <w:pPr>
        <w:spacing w:before="240" w:after="240"/>
      </w:pPr>
      <w:r w:rsidRPr="5B563204">
        <w:rPr>
          <w:rFonts w:cs="Arial"/>
        </w:rPr>
        <w:t>No entanto, a queda intermediária mostra que o processo ainda precisa ser consolidado. O próximo passo é transformar essa melhora inicial em um processo confiável, sustentado e independente de pessoas específicas.</w:t>
      </w:r>
    </w:p>
    <w:p w14:paraId="42D5D250" w14:textId="5B284A06" w:rsidR="7F4703F4" w:rsidRDefault="7F4703F4" w:rsidP="5B563204">
      <w:pPr>
        <w:spacing w:before="240" w:after="240"/>
      </w:pPr>
      <w:r w:rsidRPr="5B563204">
        <w:rPr>
          <w:rFonts w:cs="Arial"/>
        </w:rPr>
        <w:t>A</w:t>
      </w:r>
      <w:r w:rsidRPr="5B563204">
        <w:rPr>
          <w:rFonts w:cs="Arial"/>
          <w:b/>
          <w:bCs/>
        </w:rPr>
        <w:t xml:space="preserve"> </w:t>
      </w:r>
      <w:r w:rsidRPr="5B563204">
        <w:rPr>
          <w:rFonts w:cs="Arial"/>
        </w:rPr>
        <w:t>Trilha do Trauma está em fase de evolução positiva, mas precisa de padronização, monitoramento e auditoria contínua para garantir que todo paciente elegível entre rapidamente no fluxo correto e receba cuidado seguro, coordenado e oportuno.</w:t>
      </w:r>
    </w:p>
    <w:p w14:paraId="45F420EA" w14:textId="35A0DA45" w:rsidR="0F905E28" w:rsidRDefault="54D95778" w:rsidP="0F905E28">
      <w:r>
        <w:rPr>
          <w:noProof/>
        </w:rPr>
        <w:drawing>
          <wp:inline distT="0" distB="0" distL="0" distR="0" wp14:anchorId="3AE7E343" wp14:editId="0C0DC9C7">
            <wp:extent cx="4576988" cy="2520000"/>
            <wp:effectExtent l="0" t="0" r="0" b="0"/>
            <wp:docPr id="731398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39830" name="Picture 73139830"/>
                    <pic:cNvPicPr/>
                  </pic:nvPicPr>
                  <pic:blipFill>
                    <a:blip r:embed="rId62">
                      <a:extLst>
                        <a:ext uri="{28A0092B-C50C-407E-A947-70E740481C1C}">
                          <a14:useLocalDpi xmlns:a14="http://schemas.microsoft.com/office/drawing/2010/main"/>
                        </a:ext>
                      </a:extLst>
                    </a:blip>
                    <a:stretch>
                      <a:fillRect/>
                    </a:stretch>
                  </pic:blipFill>
                  <pic:spPr>
                    <a:xfrm>
                      <a:off x="0" y="0"/>
                      <a:ext cx="4576988" cy="2520000"/>
                    </a:xfrm>
                    <a:prstGeom prst="rect">
                      <a:avLst/>
                    </a:prstGeom>
                  </pic:spPr>
                </pic:pic>
              </a:graphicData>
            </a:graphic>
          </wp:inline>
        </w:drawing>
      </w:r>
    </w:p>
    <w:p w14:paraId="49F7002E" w14:textId="786AF81E" w:rsidR="00A4224E" w:rsidRPr="00DE5669" w:rsidRDefault="03E2A0D5" w:rsidP="000476DF">
      <w:pPr>
        <w:pStyle w:val="Ttulo2"/>
        <w:spacing w:before="299" w:after="299" w:line="249" w:lineRule="auto"/>
        <w:ind w:left="0" w:firstLine="0"/>
      </w:pPr>
      <w:bookmarkStart w:id="67" w:name="_Toc229241799"/>
      <w:bookmarkStart w:id="68" w:name="_Toc231974393"/>
      <w:bookmarkStart w:id="69" w:name="_Toc234260350"/>
      <w:r>
        <w:lastRenderedPageBreak/>
        <w:t>6.4</w:t>
      </w:r>
      <w:r w:rsidR="1B29E55A">
        <w:t>. Governança Clínica e Sustentabilidade</w:t>
      </w:r>
      <w:bookmarkEnd w:id="67"/>
      <w:bookmarkEnd w:id="68"/>
      <w:bookmarkEnd w:id="69"/>
    </w:p>
    <w:p w14:paraId="5FDEB6DB" w14:textId="7A564338" w:rsidR="47AABE8C" w:rsidRDefault="47AABE8C" w:rsidP="21EBFC03">
      <w:pPr>
        <w:spacing w:before="240" w:after="240"/>
      </w:pPr>
      <w:r w:rsidRPr="21EBFC03">
        <w:rPr>
          <w:rFonts w:cs="Arial"/>
        </w:rPr>
        <w:t>A governança clínica e a sustentabilidade assistencial foram fortalecidas como eixos estratégicos para a qualificação do cuidado, a redução de riscos e a melhoria dos resultados institucionais. Ao longo do período, as ações foram direcionadas para estruturar processos mais seguros, ampliar a confiabilidade das práticas assistenciais e consolidar uma cultura organizacional orientada por dados, transparência, aprendizado e responsabilização compartilhada.</w:t>
      </w:r>
    </w:p>
    <w:p w14:paraId="7A38FB45" w14:textId="3A766A08" w:rsidR="47AABE8C" w:rsidRDefault="47AABE8C" w:rsidP="21EBFC03">
      <w:pPr>
        <w:spacing w:before="240" w:after="240"/>
      </w:pPr>
      <w:r w:rsidRPr="21EBFC03">
        <w:rPr>
          <w:rFonts w:cs="Arial"/>
        </w:rPr>
        <w:t xml:space="preserve">No campo da </w:t>
      </w:r>
      <w:r w:rsidRPr="2989FC19">
        <w:rPr>
          <w:rFonts w:cs="Arial"/>
        </w:rPr>
        <w:t>governança clínica</w:t>
      </w:r>
      <w:r w:rsidRPr="21EBFC03">
        <w:rPr>
          <w:rFonts w:cs="Arial"/>
        </w:rPr>
        <w:t xml:space="preserve">, avançamos na organização de linhas de cuidado prioritárias, com destaque para as trilhas assistenciais de </w:t>
      </w:r>
      <w:r w:rsidRPr="2989FC19">
        <w:rPr>
          <w:rFonts w:cs="Arial"/>
        </w:rPr>
        <w:t>sepse, AVC e trauma</w:t>
      </w:r>
      <w:r w:rsidRPr="21EBFC03">
        <w:rPr>
          <w:rFonts w:cs="Arial"/>
        </w:rPr>
        <w:t>, considerando o perfil do hospital como referência em urgência e emergência. Essas trilhas têm como objetivo reduzir variações indesejadas, padronizar condutas, melhorar a comunicação entre equipes e garantir resposta oportuna a condições tempo-dependentes.</w:t>
      </w:r>
    </w:p>
    <w:p w14:paraId="2B1B75A7" w14:textId="7475CEEA" w:rsidR="47AABE8C" w:rsidRDefault="47AABE8C" w:rsidP="21EBFC03">
      <w:pPr>
        <w:spacing w:before="240" w:after="240"/>
      </w:pPr>
      <w:r w:rsidRPr="21EBFC03">
        <w:rPr>
          <w:rFonts w:cs="Arial"/>
        </w:rPr>
        <w:t>A implantação e o monitoramento dos indicadores permitiram identificar oportunidades de melhoria, reconhecer avanços e direcionar intervenções com maior precisão. A análise sistemática dos dados possibilitou diferenciar variação comum de causas especiais, apoiando decisões mais qualificadas e evitando interpretações baseadas apenas em percepções isoladas.</w:t>
      </w:r>
    </w:p>
    <w:p w14:paraId="02C9E05B" w14:textId="7E53079E" w:rsidR="47AABE8C" w:rsidRDefault="47AABE8C" w:rsidP="21EBFC03">
      <w:pPr>
        <w:spacing w:before="240" w:after="240"/>
      </w:pPr>
      <w:r w:rsidRPr="21EBFC03">
        <w:rPr>
          <w:rFonts w:cs="Arial"/>
        </w:rPr>
        <w:t>Entre as principais estratégias adotadas, destacam-se o fortalecimento dos protocolos assistenciais, o uso de ferramentas de reconhecimento precoce da deterioração clínica, como o NEWS2, a estruturação de fluxos para comunicação segura, a realização de auditorias, o acompanhamento das metas internacionais de segurança do paciente e a devolutiva dos resultados às lideranças e equipes assistenciais.</w:t>
      </w:r>
    </w:p>
    <w:p w14:paraId="1376C664" w14:textId="5198FEEC" w:rsidR="47AABE8C" w:rsidRDefault="47AABE8C" w:rsidP="21EBFC03">
      <w:pPr>
        <w:spacing w:before="240" w:after="240"/>
      </w:pPr>
      <w:r w:rsidRPr="21EBFC03">
        <w:rPr>
          <w:rFonts w:cs="Arial"/>
        </w:rPr>
        <w:t>A governança clínica também foi fortalecida por meio da integração entre áreas assistenciais e de apoio, como emergência, unidades de internação, centro cirúrgico, diagnóstico, farmácia, qualidade, segurança do paciente, SCIH e gestão de leitos. Essa articulação contribui para uma visão sistêmica do cuidado, favorecendo decisões mais rápidas e alinhadas às necessidades dos pacientes.</w:t>
      </w:r>
    </w:p>
    <w:p w14:paraId="6D49D9F6" w14:textId="1812D41F" w:rsidR="47AABE8C" w:rsidRDefault="47AABE8C" w:rsidP="21EBFC03">
      <w:pPr>
        <w:spacing w:before="240" w:after="240"/>
      </w:pPr>
      <w:r w:rsidRPr="21EBFC03">
        <w:rPr>
          <w:rFonts w:cs="Arial"/>
        </w:rPr>
        <w:t xml:space="preserve">No eixo da </w:t>
      </w:r>
      <w:r w:rsidRPr="2989FC19">
        <w:rPr>
          <w:rFonts w:cs="Arial"/>
        </w:rPr>
        <w:t>segurança do paciente</w:t>
      </w:r>
      <w:r w:rsidRPr="21EBFC03">
        <w:rPr>
          <w:rFonts w:cs="Arial"/>
        </w:rPr>
        <w:t xml:space="preserve">, foram monitoradas metas essenciais, como identificação correta, comunicação efetiva, segurança na administração de medicamentos de alta vigilância, cirurgia segura, higiene das mãos e prevenção de quedas. A análise dos resultados evidenciou avanços em alguns processos, mas também apontou fragilidades que exigem continuidade das ações, especialmente nos </w:t>
      </w:r>
      <w:r w:rsidRPr="21EBFC03">
        <w:rPr>
          <w:rFonts w:cs="Arial"/>
        </w:rPr>
        <w:lastRenderedPageBreak/>
        <w:t>temas relacionados à adesão às práticas básicas de segurança e à sustentabilidade dos resultados ao longo do tempo.</w:t>
      </w:r>
    </w:p>
    <w:p w14:paraId="50134760" w14:textId="6834808A" w:rsidR="47AABE8C" w:rsidRDefault="47AABE8C" w:rsidP="21EBFC03">
      <w:pPr>
        <w:spacing w:before="240" w:after="240"/>
      </w:pPr>
      <w:r w:rsidRPr="21EBFC03">
        <w:rPr>
          <w:rFonts w:cs="Arial"/>
        </w:rPr>
        <w:t>A sustentabilidade das melhorias foi tratada como prioridade. Não basta implantar protocolos; é necessário garantir que eles sejam incorporados à rotina, mantidos em todos os turnos e acompanhados de forma contínua. Para isso, foram utilizadas estratégias como ciclos de melhoria, auditorias à beira-leito, feedback às equipes, discussão de casos, acompanhamento semanal de indicadores e definição de responsáveis pelos processos críticos.</w:t>
      </w:r>
    </w:p>
    <w:p w14:paraId="48C4CA4A" w14:textId="15637AD5" w:rsidR="47AABE8C" w:rsidRDefault="47AABE8C" w:rsidP="21EBFC03">
      <w:pPr>
        <w:spacing w:before="240" w:after="240"/>
      </w:pPr>
      <w:r w:rsidRPr="21EBFC03">
        <w:rPr>
          <w:rFonts w:cs="Arial"/>
        </w:rPr>
        <w:t>Outro ponto relevante foi o fortalecimento da cultura de aprendizado. A análise de eventos adversos, quase falhas e oportunidades de melhoria contribuiu para transformar incidentes em conhecimento institucional. A utilização de ferramentas como análise de causa, rounds de segurança, visitas de segurança e discussões multiprofissionais favoreceu a identificação de barreiras frágeis e a construção de planos de ação mais efetivos.</w:t>
      </w:r>
    </w:p>
    <w:p w14:paraId="78B3CB79" w14:textId="51954414" w:rsidR="47AABE8C" w:rsidRDefault="47AABE8C" w:rsidP="21EBFC03">
      <w:pPr>
        <w:spacing w:before="240" w:after="240"/>
      </w:pPr>
      <w:r w:rsidRPr="21EBFC03">
        <w:rPr>
          <w:rFonts w:cs="Arial"/>
        </w:rPr>
        <w:t>A sustentabilidade também se relaciona ao uso racional de recursos e à melhoria da eficiência dos processos. Trilhas assistenciais bem estruturadas reduzem retrabalho, evitam atrasos, melhoram o fluxo do paciente e contribuem para desfechos mais seguros. Ao organizar melhor o cuidado, reduzimos desperdícios, tempo de espera, falhas de comunicação e eventos evitáveis.</w:t>
      </w:r>
    </w:p>
    <w:p w14:paraId="6ABC7C5D" w14:textId="4C05D1C6" w:rsidR="47AABE8C" w:rsidRDefault="47AABE8C" w:rsidP="21EBFC03">
      <w:pPr>
        <w:spacing w:before="240" w:after="240"/>
      </w:pPr>
      <w:r w:rsidRPr="21EBFC03">
        <w:rPr>
          <w:rFonts w:cs="Arial"/>
        </w:rPr>
        <w:t>Apesar dos avanços, os resultados demonstram que ainda há desafios importantes. A adesão aos protocolos precisa ser mantida de forma consistente, com maior confiabilidade operacional. Também é necessário fortalecer o registro assistencial, a clareza dos papéis, o engajamento das equipes e o acompanhamento dos indicadores de processo e desfecho.</w:t>
      </w:r>
    </w:p>
    <w:p w14:paraId="340CC713" w14:textId="4F6D6557" w:rsidR="47AABE8C" w:rsidRDefault="47AABE8C" w:rsidP="21EBFC03">
      <w:pPr>
        <w:spacing w:before="240" w:after="240"/>
      </w:pPr>
      <w:r w:rsidRPr="21EBFC03">
        <w:rPr>
          <w:rFonts w:cs="Arial"/>
        </w:rPr>
        <w:t>Como próximos passos, recomenda-se manter o monitoramento das trilhas prioritárias, ampliar a análise crítica dos indicadores, fortalecer a devolutiva para as áreas, consolidar os planos de ação por unidade e intensificar estratégias de capacitação e sensibilização das equipes. A meta é evoluir de ações pontuais para um modelo de governança clínica maduro, sustentável e orientado para resultados.</w:t>
      </w:r>
    </w:p>
    <w:p w14:paraId="0A5344B6" w14:textId="0541D3CC" w:rsidR="5B563204" w:rsidRDefault="5B563204" w:rsidP="5B563204"/>
    <w:p w14:paraId="0814318F" w14:textId="4ED3BD38" w:rsidR="004E57E8" w:rsidRPr="00DE5669" w:rsidRDefault="03E2A0D5" w:rsidP="000476DF">
      <w:pPr>
        <w:pStyle w:val="Ttulo2"/>
        <w:spacing w:before="299" w:after="299" w:line="249" w:lineRule="auto"/>
        <w:ind w:left="0" w:firstLine="0"/>
      </w:pPr>
      <w:bookmarkStart w:id="70" w:name="_Toc229241800"/>
      <w:bookmarkStart w:id="71" w:name="_Toc231974394"/>
      <w:bookmarkStart w:id="72" w:name="_Toc234260351"/>
      <w:r>
        <w:lastRenderedPageBreak/>
        <w:t>6.5</w:t>
      </w:r>
      <w:r w:rsidR="1B29E55A">
        <w:t>. Cronograma Estratégico</w:t>
      </w:r>
      <w:bookmarkEnd w:id="70"/>
      <w:bookmarkEnd w:id="71"/>
      <w:bookmarkEnd w:id="72"/>
    </w:p>
    <w:p w14:paraId="3A2157D0" w14:textId="3207EA31" w:rsidR="2989FC19" w:rsidRDefault="75B3A51F" w:rsidP="2989FC19">
      <w:r>
        <w:rPr>
          <w:noProof/>
        </w:rPr>
        <w:drawing>
          <wp:inline distT="0" distB="0" distL="0" distR="0" wp14:anchorId="630E6333" wp14:editId="7FC600FC">
            <wp:extent cx="4456188" cy="2520000"/>
            <wp:effectExtent l="0" t="0" r="1905" b="0"/>
            <wp:docPr id="14387606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760689" name="Picture 1438760689"/>
                    <pic:cNvPicPr/>
                  </pic:nvPicPr>
                  <pic:blipFill>
                    <a:blip r:embed="rId63">
                      <a:extLst>
                        <a:ext uri="{28A0092B-C50C-407E-A947-70E740481C1C}">
                          <a14:useLocalDpi xmlns:a14="http://schemas.microsoft.com/office/drawing/2010/main"/>
                        </a:ext>
                      </a:extLst>
                    </a:blip>
                    <a:stretch>
                      <a:fillRect/>
                    </a:stretch>
                  </pic:blipFill>
                  <pic:spPr>
                    <a:xfrm>
                      <a:off x="0" y="0"/>
                      <a:ext cx="4456188" cy="2520000"/>
                    </a:xfrm>
                    <a:prstGeom prst="rect">
                      <a:avLst/>
                    </a:prstGeom>
                  </pic:spPr>
                </pic:pic>
              </a:graphicData>
            </a:graphic>
          </wp:inline>
        </w:drawing>
      </w:r>
    </w:p>
    <w:p w14:paraId="330F18B2" w14:textId="4F0841D7" w:rsidR="03D20D0A" w:rsidRDefault="75B3A51F" w:rsidP="03D20D0A">
      <w:r>
        <w:rPr>
          <w:noProof/>
        </w:rPr>
        <w:drawing>
          <wp:inline distT="0" distB="0" distL="0" distR="0" wp14:anchorId="5B8CE02E" wp14:editId="059DD2F4">
            <wp:extent cx="4443158" cy="2520000"/>
            <wp:effectExtent l="0" t="0" r="0" b="0"/>
            <wp:docPr id="20864352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435206" name="Picture 2086435206"/>
                    <pic:cNvPicPr/>
                  </pic:nvPicPr>
                  <pic:blipFill>
                    <a:blip r:embed="rId64">
                      <a:extLst>
                        <a:ext uri="{28A0092B-C50C-407E-A947-70E740481C1C}">
                          <a14:useLocalDpi xmlns:a14="http://schemas.microsoft.com/office/drawing/2010/main"/>
                        </a:ext>
                      </a:extLst>
                    </a:blip>
                    <a:stretch>
                      <a:fillRect/>
                    </a:stretch>
                  </pic:blipFill>
                  <pic:spPr>
                    <a:xfrm>
                      <a:off x="0" y="0"/>
                      <a:ext cx="4443158" cy="2520000"/>
                    </a:xfrm>
                    <a:prstGeom prst="rect">
                      <a:avLst/>
                    </a:prstGeom>
                  </pic:spPr>
                </pic:pic>
              </a:graphicData>
            </a:graphic>
          </wp:inline>
        </w:drawing>
      </w:r>
    </w:p>
    <w:p w14:paraId="7F6A2B33" w14:textId="2FE27D69" w:rsidR="74BDFE25" w:rsidRDefault="74BDFE25" w:rsidP="6B5F7B5C">
      <w:pPr>
        <w:spacing w:before="240" w:after="240"/>
        <w:rPr>
          <w:rFonts w:cs="Arial"/>
        </w:rPr>
      </w:pPr>
      <w:r w:rsidRPr="6B5F7B5C">
        <w:rPr>
          <w:rFonts w:cs="Arial"/>
        </w:rPr>
        <w:t>O cronograma apresentado organiza as frentes priorizadas de atuação integrada entre Qualidade e Segurança do Paciente — QSP e Serviço de Controle de Infecção Hospitalar — SCIH, com definição de processos críticos, linhas de cuidado, facilitadores por área assistencial e temas transversais.</w:t>
      </w:r>
    </w:p>
    <w:p w14:paraId="16ADCEC0" w14:textId="70ECA3A2" w:rsidR="74BDFE25" w:rsidRDefault="74BDFE25" w:rsidP="6B5F7B5C">
      <w:pPr>
        <w:spacing w:before="240" w:after="240"/>
        <w:rPr>
          <w:rFonts w:cs="Arial"/>
        </w:rPr>
      </w:pPr>
      <w:r w:rsidRPr="6B5F7B5C">
        <w:rPr>
          <w:rFonts w:cs="Arial"/>
        </w:rPr>
        <w:t xml:space="preserve">A proposta evidencia uma estratégia de governança clínica integrada, com atuação programada ao longo dos meses, envolvendo áreas assistenciais prioritárias como PA, UTI, CMC, Centro Cirúrgico e Medicina Diagnóstica e Ambulatorial — MDA. A </w:t>
      </w:r>
      <w:r w:rsidRPr="6B5F7B5C">
        <w:rPr>
          <w:rFonts w:cs="Arial"/>
        </w:rPr>
        <w:lastRenderedPageBreak/>
        <w:t>organização permite maior clareza sobre responsabilidades, sequência de implantação, acompanhamento das ações e sustentabilidade das melhorias.</w:t>
      </w:r>
    </w:p>
    <w:p w14:paraId="4BA34769" w14:textId="00AC1E29" w:rsidR="74BDFE25" w:rsidRDefault="74BDFE25" w:rsidP="6B5F7B5C">
      <w:pPr>
        <w:spacing w:before="240" w:after="240"/>
      </w:pPr>
      <w:r w:rsidRPr="6B5F7B5C">
        <w:rPr>
          <w:rFonts w:cs="Arial"/>
        </w:rPr>
        <w:t>O cronograma tem como objetivo estruturar uma agenda integrada de melhoria assistencial, com foco em:</w:t>
      </w:r>
    </w:p>
    <w:p w14:paraId="03D0A11C" w14:textId="3012C946" w:rsidR="74BDFE25" w:rsidRDefault="74BDFE25" w:rsidP="6B5F7B5C">
      <w:pPr>
        <w:pStyle w:val="PargrafodaLista"/>
        <w:numPr>
          <w:ilvl w:val="0"/>
          <w:numId w:val="43"/>
        </w:numPr>
        <w:spacing w:after="0"/>
        <w:rPr>
          <w:rFonts w:cs="Arial"/>
        </w:rPr>
      </w:pPr>
      <w:r w:rsidRPr="6B5F7B5C">
        <w:rPr>
          <w:rFonts w:cs="Arial"/>
        </w:rPr>
        <w:t xml:space="preserve">fortalecer processos essenciais de segurança do paciente; </w:t>
      </w:r>
    </w:p>
    <w:p w14:paraId="1D3262BE" w14:textId="2689B938" w:rsidR="74BDFE25" w:rsidRDefault="74BDFE25" w:rsidP="6B5F7B5C">
      <w:pPr>
        <w:pStyle w:val="PargrafodaLista"/>
        <w:numPr>
          <w:ilvl w:val="0"/>
          <w:numId w:val="43"/>
        </w:numPr>
        <w:spacing w:after="0"/>
        <w:rPr>
          <w:rFonts w:cs="Arial"/>
        </w:rPr>
      </w:pPr>
      <w:r w:rsidRPr="6B5F7B5C">
        <w:rPr>
          <w:rFonts w:cs="Arial"/>
        </w:rPr>
        <w:t xml:space="preserve">apoiar a implantação e sustentação das linhas de cuidado prioritárias; </w:t>
      </w:r>
    </w:p>
    <w:p w14:paraId="2E609B7B" w14:textId="37C6E2C4" w:rsidR="74BDFE25" w:rsidRDefault="74BDFE25" w:rsidP="6B5F7B5C">
      <w:pPr>
        <w:pStyle w:val="PargrafodaLista"/>
        <w:numPr>
          <w:ilvl w:val="0"/>
          <w:numId w:val="43"/>
        </w:numPr>
        <w:spacing w:after="0"/>
        <w:rPr>
          <w:rFonts w:cs="Arial"/>
        </w:rPr>
      </w:pPr>
      <w:r w:rsidRPr="6B5F7B5C">
        <w:rPr>
          <w:rFonts w:cs="Arial"/>
        </w:rPr>
        <w:t xml:space="preserve">integrar ações de QSP e SCIH nas áreas assistenciais; </w:t>
      </w:r>
    </w:p>
    <w:p w14:paraId="7C0A7883" w14:textId="7E953AF6" w:rsidR="74BDFE25" w:rsidRDefault="74BDFE25" w:rsidP="6B5F7B5C">
      <w:pPr>
        <w:pStyle w:val="PargrafodaLista"/>
        <w:numPr>
          <w:ilvl w:val="0"/>
          <w:numId w:val="43"/>
        </w:numPr>
        <w:spacing w:after="0"/>
        <w:rPr>
          <w:rFonts w:cs="Arial"/>
        </w:rPr>
      </w:pPr>
      <w:r w:rsidRPr="6B5F7B5C">
        <w:rPr>
          <w:rFonts w:cs="Arial"/>
        </w:rPr>
        <w:t xml:space="preserve">definir facilitadores responsáveis por apoiar as equipes; </w:t>
      </w:r>
    </w:p>
    <w:p w14:paraId="1A32BA1A" w14:textId="4255AEEE" w:rsidR="74BDFE25" w:rsidRDefault="74BDFE25" w:rsidP="6B5F7B5C">
      <w:pPr>
        <w:pStyle w:val="PargrafodaLista"/>
        <w:numPr>
          <w:ilvl w:val="0"/>
          <w:numId w:val="43"/>
        </w:numPr>
        <w:spacing w:after="0"/>
        <w:rPr>
          <w:rFonts w:cs="Arial"/>
        </w:rPr>
      </w:pPr>
      <w:r w:rsidRPr="6B5F7B5C">
        <w:rPr>
          <w:rFonts w:cs="Arial"/>
        </w:rPr>
        <w:t xml:space="preserve">monitorar temas transversais de risco institucional; </w:t>
      </w:r>
    </w:p>
    <w:p w14:paraId="6E5F3BDF" w14:textId="3B9F2A8F" w:rsidR="74BDFE25" w:rsidRDefault="74BDFE25" w:rsidP="6B5F7B5C">
      <w:pPr>
        <w:pStyle w:val="PargrafodaLista"/>
        <w:numPr>
          <w:ilvl w:val="0"/>
          <w:numId w:val="43"/>
        </w:numPr>
        <w:spacing w:after="0"/>
        <w:rPr>
          <w:rFonts w:cs="Arial"/>
        </w:rPr>
      </w:pPr>
      <w:r w:rsidRPr="6B5F7B5C">
        <w:rPr>
          <w:rFonts w:cs="Arial"/>
        </w:rPr>
        <w:t xml:space="preserve">reduzir variabilidade dos processos assistenciais; </w:t>
      </w:r>
    </w:p>
    <w:p w14:paraId="5C44B9BF" w14:textId="03A05A21" w:rsidR="74BDFE25" w:rsidRDefault="74BDFE25" w:rsidP="6B5F7B5C">
      <w:pPr>
        <w:pStyle w:val="PargrafodaLista"/>
        <w:numPr>
          <w:ilvl w:val="0"/>
          <w:numId w:val="43"/>
        </w:numPr>
        <w:spacing w:after="0"/>
        <w:rPr>
          <w:rFonts w:cs="Arial"/>
        </w:rPr>
      </w:pPr>
      <w:r w:rsidRPr="6B5F7B5C">
        <w:rPr>
          <w:rFonts w:cs="Arial"/>
        </w:rPr>
        <w:t>promover cuidado mais seguro, padronizado e sustentável.</w:t>
      </w:r>
    </w:p>
    <w:p w14:paraId="4F23B569" w14:textId="0081ECEF" w:rsidR="74BDFE25" w:rsidRPr="00924867" w:rsidRDefault="74BDFE25" w:rsidP="1287A5CE">
      <w:pPr>
        <w:spacing w:before="240" w:after="240"/>
      </w:pPr>
      <w:r w:rsidRPr="1287A5CE">
        <w:rPr>
          <w:rFonts w:cs="Arial"/>
        </w:rPr>
        <w:t xml:space="preserve">As ações foram organizadas por bimestres, </w:t>
      </w:r>
      <w:r w:rsidRPr="00924867">
        <w:rPr>
          <w:rFonts w:cs="Arial"/>
        </w:rPr>
        <w:t>articulando processos assistenciais, linhas de cuidado e temas transversais.</w:t>
      </w:r>
    </w:p>
    <w:p w14:paraId="041284A7" w14:textId="7747C20E" w:rsidR="74BDFE25" w:rsidRDefault="74BDFE25" w:rsidP="1287A5CE">
      <w:pPr>
        <w:pStyle w:val="Ttulo3"/>
        <w:spacing w:before="281" w:after="281"/>
      </w:pPr>
      <w:bookmarkStart w:id="73" w:name="_Toc234260352"/>
      <w:r w:rsidRPr="1287A5CE">
        <w:rPr>
          <w:rFonts w:eastAsia="Arial" w:cs="Arial"/>
          <w:b/>
          <w:bCs/>
        </w:rPr>
        <w:t>Janeiro e fevereiro</w:t>
      </w:r>
      <w:bookmarkEnd w:id="73"/>
    </w:p>
    <w:p w14:paraId="01BB5B9C" w14:textId="2098C922" w:rsidR="74BDFE25" w:rsidRDefault="74BDFE25" w:rsidP="1287A5CE">
      <w:pPr>
        <w:spacing w:before="240" w:after="240"/>
      </w:pPr>
      <w:r w:rsidRPr="1287A5CE">
        <w:rPr>
          <w:rFonts w:cs="Arial"/>
        </w:rPr>
        <w:t xml:space="preserve">Foram priorizados os processos </w:t>
      </w:r>
      <w:r w:rsidRPr="00924867">
        <w:rPr>
          <w:rFonts w:cs="Arial"/>
        </w:rPr>
        <w:t>de sinais vitais, NEWS e identificação do paciente, associados à linha de cuidado de sepse.</w:t>
      </w:r>
    </w:p>
    <w:p w14:paraId="0C5F499D" w14:textId="79629684" w:rsidR="74BDFE25" w:rsidRDefault="74BDFE25" w:rsidP="1287A5CE">
      <w:pPr>
        <w:spacing w:before="240" w:after="240"/>
      </w:pPr>
      <w:r w:rsidRPr="1287A5CE">
        <w:rPr>
          <w:rFonts w:cs="Arial"/>
        </w:rPr>
        <w:t>Essa escolha é estratégica, pois o reconhecimento precoce da deterioração clínica depende diretamente da aferição adequada dos sinais vitais, da aplicação correta do NEWS e da identificação segura do paciente. Esses elementos são fundamentais para o acionamento oportuno do protocolo de sepse e para prevenção de eventos graves.</w:t>
      </w:r>
    </w:p>
    <w:p w14:paraId="229BBD81" w14:textId="6AB751C5" w:rsidR="74BDFE25" w:rsidRPr="00924867" w:rsidRDefault="74BDFE25" w:rsidP="1287A5CE">
      <w:pPr>
        <w:spacing w:before="240" w:after="240"/>
      </w:pPr>
      <w:r w:rsidRPr="1287A5CE">
        <w:rPr>
          <w:rFonts w:cs="Arial"/>
        </w:rPr>
        <w:t xml:space="preserve">Como tema transversal, foram </w:t>
      </w:r>
      <w:r w:rsidRPr="00924867">
        <w:rPr>
          <w:rFonts w:cs="Arial"/>
        </w:rPr>
        <w:t>incluídos os cuidados com acessos, dispositivos, ICS e ITU, com atuação relacionada à prevenção de infecções associadas à assistência à saúde.</w:t>
      </w:r>
    </w:p>
    <w:p w14:paraId="4A6751C2" w14:textId="502CDF4D" w:rsidR="74BDFE25" w:rsidRDefault="74BDFE25" w:rsidP="633D7DBF">
      <w:pPr>
        <w:pStyle w:val="Ttulo3"/>
        <w:spacing w:before="281" w:after="281"/>
      </w:pPr>
      <w:bookmarkStart w:id="74" w:name="_Toc234260353"/>
      <w:r w:rsidRPr="633D7DBF">
        <w:rPr>
          <w:rFonts w:eastAsia="Arial" w:cs="Arial"/>
          <w:b/>
          <w:bCs/>
        </w:rPr>
        <w:t>Março e abril</w:t>
      </w:r>
      <w:bookmarkEnd w:id="74"/>
    </w:p>
    <w:p w14:paraId="0D0460A8" w14:textId="5C674EA6" w:rsidR="74BDFE25" w:rsidRPr="00924867" w:rsidRDefault="74BDFE25" w:rsidP="633D7DBF">
      <w:pPr>
        <w:spacing w:before="240" w:after="240"/>
      </w:pPr>
      <w:r w:rsidRPr="633D7DBF">
        <w:rPr>
          <w:rFonts w:cs="Arial"/>
        </w:rPr>
        <w:t xml:space="preserve">O foco definido </w:t>
      </w:r>
      <w:r w:rsidRPr="00924867">
        <w:rPr>
          <w:rFonts w:cs="Arial"/>
        </w:rPr>
        <w:t>foi higiene das mãos</w:t>
      </w:r>
      <w:r w:rsidRPr="633D7DBF">
        <w:rPr>
          <w:rFonts w:cs="Arial"/>
        </w:rPr>
        <w:t xml:space="preserve">, vinculada à linha de cuidado </w:t>
      </w:r>
      <w:r w:rsidRPr="00924867">
        <w:rPr>
          <w:rFonts w:cs="Arial"/>
        </w:rPr>
        <w:t>de trauma.</w:t>
      </w:r>
    </w:p>
    <w:p w14:paraId="023E9AAE" w14:textId="0A261F78" w:rsidR="74BDFE25" w:rsidRDefault="74BDFE25" w:rsidP="633D7DBF">
      <w:pPr>
        <w:spacing w:before="240" w:after="240"/>
      </w:pPr>
      <w:r w:rsidRPr="633D7DBF">
        <w:rPr>
          <w:rFonts w:cs="Arial"/>
        </w:rPr>
        <w:t xml:space="preserve">A higiene das mãos é uma prática básica, porém crítica, para prevenção de infecções e segurança assistencial. A associação com a linha do trauma é relevante, pois pacientes vítimas de trauma frequentemente necessitam de múltiplos dispositivos, </w:t>
      </w:r>
      <w:r w:rsidRPr="633D7DBF">
        <w:rPr>
          <w:rFonts w:cs="Arial"/>
        </w:rPr>
        <w:lastRenderedPageBreak/>
        <w:t>procedimentos invasivos, cirurgias e internação prolongada, aumentando o risco de infecção.</w:t>
      </w:r>
    </w:p>
    <w:p w14:paraId="48CB078C" w14:textId="3B3DF23A" w:rsidR="74BDFE25" w:rsidRDefault="74BDFE25" w:rsidP="633D7DBF">
      <w:pPr>
        <w:spacing w:before="240" w:after="240"/>
      </w:pPr>
      <w:r w:rsidRPr="633D7DBF">
        <w:rPr>
          <w:rFonts w:cs="Arial"/>
        </w:rPr>
        <w:t xml:space="preserve">Também foi contemplado o tema transversal de </w:t>
      </w:r>
      <w:r w:rsidRPr="00924867">
        <w:rPr>
          <w:rFonts w:cs="Arial"/>
        </w:rPr>
        <w:t>lesão por pressão — LPP</w:t>
      </w:r>
      <w:r w:rsidRPr="633D7DBF">
        <w:rPr>
          <w:rFonts w:cs="Arial"/>
        </w:rPr>
        <w:t>, com participação de profissionais de referência, reforçando a necessidade de cuidado preventivo em pacientes críticos, imobilizados ou com maior vulnerabilidade.</w:t>
      </w:r>
    </w:p>
    <w:p w14:paraId="4B4059D6" w14:textId="0A0FF19A" w:rsidR="74BDFE25" w:rsidRDefault="74BDFE25" w:rsidP="633D7DBF">
      <w:pPr>
        <w:pStyle w:val="Ttulo3"/>
        <w:spacing w:before="281" w:after="281"/>
      </w:pPr>
      <w:bookmarkStart w:id="75" w:name="_Toc234260354"/>
      <w:r w:rsidRPr="633D7DBF">
        <w:rPr>
          <w:rFonts w:eastAsia="Arial" w:cs="Arial"/>
          <w:b/>
          <w:bCs/>
        </w:rPr>
        <w:t>Abril e maio</w:t>
      </w:r>
      <w:bookmarkEnd w:id="75"/>
    </w:p>
    <w:p w14:paraId="4CA821AE" w14:textId="59A189C7" w:rsidR="74BDFE25" w:rsidRPr="00924867" w:rsidRDefault="74BDFE25" w:rsidP="633D7DBF">
      <w:pPr>
        <w:spacing w:before="240" w:after="240"/>
      </w:pPr>
      <w:r w:rsidRPr="633D7DBF">
        <w:rPr>
          <w:rFonts w:cs="Arial"/>
        </w:rPr>
        <w:t xml:space="preserve">A frente </w:t>
      </w:r>
      <w:r w:rsidRPr="00924867">
        <w:rPr>
          <w:rFonts w:cs="Arial"/>
        </w:rPr>
        <w:t>priorizada foi checagem medicamentosa, vinculada à linha de cuidado de AVC.</w:t>
      </w:r>
    </w:p>
    <w:p w14:paraId="71252132" w14:textId="32AD3B43" w:rsidR="74BDFE25" w:rsidRPr="00924867" w:rsidRDefault="74BDFE25" w:rsidP="633D7DBF">
      <w:pPr>
        <w:spacing w:before="240" w:after="240"/>
      </w:pPr>
      <w:r w:rsidRPr="00924867">
        <w:rPr>
          <w:rFonts w:cs="Arial"/>
        </w:rPr>
        <w:t>Essa priorização é importante porque pacientes com AVC podem demandar medicamentos de alto risco, anticoagulantes, anti-hipertensivos, trombolíticos e outras terapias tempo-dependentes. A checagem medicamentosa adequada reduz risco de erro de medicação, dose incorreta, duplicidade terapêutica e atrasos na administração.</w:t>
      </w:r>
    </w:p>
    <w:p w14:paraId="48EE6AFE" w14:textId="7B68440F" w:rsidR="74BDFE25" w:rsidRDefault="74BDFE25" w:rsidP="633D7DBF">
      <w:pPr>
        <w:spacing w:before="240" w:after="240"/>
      </w:pPr>
      <w:r w:rsidRPr="00924867">
        <w:rPr>
          <w:rFonts w:cs="Arial"/>
        </w:rPr>
        <w:t xml:space="preserve">Como tema transversal, foi incluída a cirurgia segura, envolvendo cuidados </w:t>
      </w:r>
      <w:proofErr w:type="spellStart"/>
      <w:r w:rsidRPr="00924867">
        <w:rPr>
          <w:rFonts w:cs="Arial"/>
        </w:rPr>
        <w:t>pré</w:t>
      </w:r>
      <w:proofErr w:type="spellEnd"/>
      <w:r w:rsidRPr="00924867">
        <w:rPr>
          <w:rFonts w:cs="Arial"/>
        </w:rPr>
        <w:t xml:space="preserve"> e pós-operatórios, além de prevenção de infecção</w:t>
      </w:r>
      <w:r w:rsidRPr="633D7DBF">
        <w:rPr>
          <w:rFonts w:cs="Arial"/>
        </w:rPr>
        <w:t xml:space="preserve"> de sítio cirúrgico — ISC.</w:t>
      </w:r>
    </w:p>
    <w:p w14:paraId="38C89C99" w14:textId="488DF372" w:rsidR="74BDFE25" w:rsidRDefault="74BDFE25" w:rsidP="633D7DBF">
      <w:pPr>
        <w:pStyle w:val="Ttulo3"/>
        <w:spacing w:before="281" w:after="281"/>
      </w:pPr>
      <w:bookmarkStart w:id="76" w:name="_Toc234260355"/>
      <w:r w:rsidRPr="633D7DBF">
        <w:rPr>
          <w:rFonts w:eastAsia="Arial" w:cs="Arial"/>
          <w:b/>
          <w:bCs/>
        </w:rPr>
        <w:t>Maio e junho</w:t>
      </w:r>
      <w:bookmarkEnd w:id="76"/>
    </w:p>
    <w:p w14:paraId="1EEFAD05" w14:textId="7F95C3C5" w:rsidR="74BDFE25" w:rsidRPr="00924867" w:rsidRDefault="74BDFE25" w:rsidP="633D7DBF">
      <w:pPr>
        <w:spacing w:before="240" w:after="240"/>
      </w:pPr>
      <w:r w:rsidRPr="633D7DBF">
        <w:rPr>
          <w:rFonts w:cs="Arial"/>
        </w:rPr>
        <w:t xml:space="preserve">O processo </w:t>
      </w:r>
      <w:r w:rsidRPr="00924867">
        <w:rPr>
          <w:rFonts w:cs="Arial"/>
        </w:rPr>
        <w:t>priorizado foi comunicação na transição do cuidado, associado à linha de cuidado do Código H.</w:t>
      </w:r>
    </w:p>
    <w:p w14:paraId="37431605" w14:textId="2E38BA76" w:rsidR="74BDFE25" w:rsidRDefault="74BDFE25" w:rsidP="633D7DBF">
      <w:pPr>
        <w:spacing w:before="240" w:after="240"/>
      </w:pPr>
      <w:r w:rsidRPr="00924867">
        <w:rPr>
          <w:rFonts w:cs="Arial"/>
        </w:rPr>
        <w:t>A comunicação segura é uma barreira essencial para reduzir falhas na passagem de informações entre equipes, setores e turnos. A transição do cuidado é um momento de alto risco para perda</w:t>
      </w:r>
      <w:r w:rsidRPr="633D7DBF">
        <w:rPr>
          <w:rFonts w:cs="Arial"/>
        </w:rPr>
        <w:t xml:space="preserve"> de informações críticas, principalmente em pacientes graves, instáveis ou em mudança de nível assistencial.</w:t>
      </w:r>
    </w:p>
    <w:p w14:paraId="231FEF85" w14:textId="514FEEDF" w:rsidR="74BDFE25" w:rsidRDefault="74BDFE25" w:rsidP="633D7DBF">
      <w:pPr>
        <w:spacing w:before="240" w:after="240"/>
      </w:pPr>
      <w:r w:rsidRPr="633D7DBF">
        <w:rPr>
          <w:rFonts w:cs="Arial"/>
        </w:rPr>
        <w:t xml:space="preserve">Como tema </w:t>
      </w:r>
      <w:r w:rsidRPr="00924867">
        <w:rPr>
          <w:rFonts w:cs="Arial"/>
        </w:rPr>
        <w:t>transversal, foi incluída a pneumonia associada à ventilação mecânica — PAV, reforçando o foco em pacientes críticos e em prevenção de infecções relacionadas à assistência</w:t>
      </w:r>
      <w:r w:rsidRPr="633D7DBF">
        <w:rPr>
          <w:rFonts w:cs="Arial"/>
        </w:rPr>
        <w:t>.</w:t>
      </w:r>
    </w:p>
    <w:p w14:paraId="3229E10E" w14:textId="60A91740" w:rsidR="74BDFE25" w:rsidRDefault="74BDFE25" w:rsidP="60EB68C9">
      <w:pPr>
        <w:pStyle w:val="Ttulo3"/>
        <w:spacing w:before="281" w:after="281"/>
      </w:pPr>
      <w:bookmarkStart w:id="77" w:name="_Toc234260356"/>
      <w:r w:rsidRPr="60EB68C9">
        <w:rPr>
          <w:rFonts w:eastAsia="Arial" w:cs="Arial"/>
          <w:b/>
          <w:bCs/>
        </w:rPr>
        <w:t>Julho e agosto</w:t>
      </w:r>
      <w:bookmarkEnd w:id="77"/>
    </w:p>
    <w:p w14:paraId="56133826" w14:textId="3A412D1A" w:rsidR="74BDFE25" w:rsidRPr="00924867" w:rsidRDefault="74BDFE25" w:rsidP="60EB68C9">
      <w:pPr>
        <w:spacing w:before="240" w:after="240"/>
      </w:pPr>
      <w:r w:rsidRPr="00924867">
        <w:rPr>
          <w:rFonts w:cs="Arial"/>
        </w:rPr>
        <w:t>Foram priorizados os processos de prevenção de quedas, vinculados ao manejo de TEP/TEV.</w:t>
      </w:r>
    </w:p>
    <w:p w14:paraId="64FC25A0" w14:textId="2A95A10D" w:rsidR="74BDFE25" w:rsidRDefault="74BDFE25" w:rsidP="60EB68C9">
      <w:pPr>
        <w:spacing w:before="240" w:after="240"/>
      </w:pPr>
      <w:r w:rsidRPr="60EB68C9">
        <w:rPr>
          <w:rFonts w:cs="Arial"/>
        </w:rPr>
        <w:lastRenderedPageBreak/>
        <w:t>A prevenção de quedas é uma meta essencial de segurança do paciente e exige atuação multiprofissional, avaliação de risco, sinalização, orientação ao paciente e acompanhante, adequação do ambiente e vigilância ativa.</w:t>
      </w:r>
    </w:p>
    <w:p w14:paraId="2BD0A5E1" w14:textId="30C77674" w:rsidR="74BDFE25" w:rsidRDefault="74BDFE25" w:rsidP="60EB68C9">
      <w:pPr>
        <w:spacing w:before="240" w:after="240"/>
      </w:pPr>
      <w:r w:rsidRPr="60EB68C9">
        <w:rPr>
          <w:rFonts w:cs="Arial"/>
        </w:rPr>
        <w:t>A associação com TEP/TEV amplia a abordagem de segurança, pois envolve mobilidade, prevenção de eventos tromboembólicos, avaliação de risco clínico e condutas preventivas.</w:t>
      </w:r>
    </w:p>
    <w:p w14:paraId="02415B9E" w14:textId="0EFB6C94" w:rsidR="74BDFE25" w:rsidRDefault="74BDFE25" w:rsidP="60EB68C9">
      <w:pPr>
        <w:spacing w:before="240" w:after="240"/>
      </w:pPr>
      <w:r w:rsidRPr="60EB68C9">
        <w:rPr>
          <w:rFonts w:cs="Arial"/>
        </w:rPr>
        <w:t>Além das linhas de cuidado e processos priorizados por período, o cronograma contempla temas transversais de grande relevância institucional:</w:t>
      </w:r>
    </w:p>
    <w:p w14:paraId="1F963120" w14:textId="3B69249B" w:rsidR="74BDFE25" w:rsidRDefault="74BDFE25" w:rsidP="60EB68C9">
      <w:pPr>
        <w:pStyle w:val="PargrafodaLista"/>
        <w:numPr>
          <w:ilvl w:val="0"/>
          <w:numId w:val="44"/>
        </w:numPr>
        <w:spacing w:after="0"/>
        <w:rPr>
          <w:rFonts w:cs="Arial"/>
        </w:rPr>
      </w:pPr>
      <w:r w:rsidRPr="60EB68C9">
        <w:rPr>
          <w:rFonts w:cs="Arial"/>
        </w:rPr>
        <w:t xml:space="preserve">cuidados com acessos e dispositivos; </w:t>
      </w:r>
    </w:p>
    <w:p w14:paraId="2B77282F" w14:textId="5C88D99E" w:rsidR="74BDFE25" w:rsidRDefault="74BDFE25" w:rsidP="60EB68C9">
      <w:pPr>
        <w:pStyle w:val="PargrafodaLista"/>
        <w:numPr>
          <w:ilvl w:val="0"/>
          <w:numId w:val="44"/>
        </w:numPr>
        <w:spacing w:after="0"/>
        <w:rPr>
          <w:rFonts w:cs="Arial"/>
        </w:rPr>
      </w:pPr>
      <w:r w:rsidRPr="60EB68C9">
        <w:rPr>
          <w:rFonts w:cs="Arial"/>
        </w:rPr>
        <w:t xml:space="preserve">prevenção de infecção de corrente sanguínea — ICS; </w:t>
      </w:r>
    </w:p>
    <w:p w14:paraId="54814E5A" w14:textId="5E327008" w:rsidR="74BDFE25" w:rsidRDefault="74BDFE25" w:rsidP="60EB68C9">
      <w:pPr>
        <w:pStyle w:val="PargrafodaLista"/>
        <w:numPr>
          <w:ilvl w:val="0"/>
          <w:numId w:val="44"/>
        </w:numPr>
        <w:spacing w:after="0"/>
        <w:rPr>
          <w:rFonts w:cs="Arial"/>
        </w:rPr>
      </w:pPr>
      <w:r w:rsidRPr="60EB68C9">
        <w:rPr>
          <w:rFonts w:cs="Arial"/>
        </w:rPr>
        <w:t xml:space="preserve">prevenção de infecção do trato urinário — ITU; </w:t>
      </w:r>
    </w:p>
    <w:p w14:paraId="11C543BF" w14:textId="50ECBCC2" w:rsidR="74BDFE25" w:rsidRDefault="74BDFE25" w:rsidP="60EB68C9">
      <w:pPr>
        <w:pStyle w:val="PargrafodaLista"/>
        <w:numPr>
          <w:ilvl w:val="0"/>
          <w:numId w:val="44"/>
        </w:numPr>
        <w:spacing w:after="0"/>
        <w:rPr>
          <w:rFonts w:cs="Arial"/>
        </w:rPr>
      </w:pPr>
      <w:r w:rsidRPr="60EB68C9">
        <w:rPr>
          <w:rFonts w:cs="Arial"/>
        </w:rPr>
        <w:t xml:space="preserve">prevenção de lesão por pressão — LPP; </w:t>
      </w:r>
    </w:p>
    <w:p w14:paraId="4DE08305" w14:textId="6665E9CC" w:rsidR="74BDFE25" w:rsidRDefault="74BDFE25" w:rsidP="60EB68C9">
      <w:pPr>
        <w:pStyle w:val="PargrafodaLista"/>
        <w:numPr>
          <w:ilvl w:val="0"/>
          <w:numId w:val="44"/>
        </w:numPr>
        <w:spacing w:after="0"/>
        <w:rPr>
          <w:rFonts w:cs="Arial"/>
        </w:rPr>
      </w:pPr>
      <w:r w:rsidRPr="60EB68C9">
        <w:rPr>
          <w:rFonts w:cs="Arial"/>
        </w:rPr>
        <w:t xml:space="preserve">cirurgia segura; </w:t>
      </w:r>
    </w:p>
    <w:p w14:paraId="70143016" w14:textId="473DF36C" w:rsidR="74BDFE25" w:rsidRDefault="74BDFE25" w:rsidP="60EB68C9">
      <w:pPr>
        <w:pStyle w:val="PargrafodaLista"/>
        <w:numPr>
          <w:ilvl w:val="0"/>
          <w:numId w:val="44"/>
        </w:numPr>
        <w:spacing w:after="0"/>
        <w:rPr>
          <w:rFonts w:cs="Arial"/>
        </w:rPr>
      </w:pPr>
      <w:r w:rsidRPr="60EB68C9">
        <w:rPr>
          <w:rFonts w:cs="Arial"/>
        </w:rPr>
        <w:t xml:space="preserve">prevenção de infecção de sítio cirúrgico — ISC; </w:t>
      </w:r>
    </w:p>
    <w:p w14:paraId="3A82C711" w14:textId="0657C395" w:rsidR="74BDFE25" w:rsidRDefault="74BDFE25" w:rsidP="60EB68C9">
      <w:pPr>
        <w:pStyle w:val="PargrafodaLista"/>
        <w:numPr>
          <w:ilvl w:val="0"/>
          <w:numId w:val="44"/>
        </w:numPr>
        <w:spacing w:after="0"/>
        <w:rPr>
          <w:rFonts w:cs="Arial"/>
        </w:rPr>
      </w:pPr>
      <w:r w:rsidRPr="60EB68C9">
        <w:rPr>
          <w:rFonts w:cs="Arial"/>
        </w:rPr>
        <w:t xml:space="preserve">pneumonia associada à ventilação mecânica — PAV. </w:t>
      </w:r>
    </w:p>
    <w:p w14:paraId="541F31D1" w14:textId="457BB126" w:rsidR="74BDFE25" w:rsidRDefault="74BDFE25" w:rsidP="0250F981">
      <w:pPr>
        <w:spacing w:before="240" w:after="240"/>
      </w:pPr>
      <w:r w:rsidRPr="60EB68C9">
        <w:rPr>
          <w:rFonts w:cs="Arial"/>
        </w:rPr>
        <w:t>Esses temas são considerados transversais porque atravessam diferentes unidades, perfis de pacientes e categorias profissionais. A abordagem integrada favorece maior padronização e evita ações fragmentadas.</w:t>
      </w:r>
    </w:p>
    <w:p w14:paraId="68D9C9AD" w14:textId="696D848B" w:rsidR="74BDFE25" w:rsidRDefault="74BDFE25" w:rsidP="0250F981">
      <w:pPr>
        <w:spacing w:before="240" w:after="240"/>
      </w:pPr>
      <w:r w:rsidRPr="0250F981">
        <w:rPr>
          <w:rFonts w:cs="Arial"/>
        </w:rPr>
        <w:t>O principal desafio será garantir que as ações não ocorram apenas como campanhas pontuais, mas como mudanças incorporadas à rotina das unidades. Para isso, é fundamental que cada frente possua:</w:t>
      </w:r>
    </w:p>
    <w:p w14:paraId="3754DBA3" w14:textId="041E4CAD" w:rsidR="74BDFE25" w:rsidRDefault="74BDFE25" w:rsidP="0250F981">
      <w:pPr>
        <w:pStyle w:val="PargrafodaLista"/>
        <w:numPr>
          <w:ilvl w:val="0"/>
          <w:numId w:val="45"/>
        </w:numPr>
        <w:spacing w:after="0"/>
        <w:rPr>
          <w:rFonts w:cs="Arial"/>
        </w:rPr>
      </w:pPr>
      <w:r w:rsidRPr="0250F981">
        <w:rPr>
          <w:rFonts w:cs="Arial"/>
        </w:rPr>
        <w:t xml:space="preserve">indicador definido; </w:t>
      </w:r>
    </w:p>
    <w:p w14:paraId="51FF7E93" w14:textId="3713B738" w:rsidR="74BDFE25" w:rsidRDefault="74BDFE25" w:rsidP="0250F981">
      <w:pPr>
        <w:pStyle w:val="PargrafodaLista"/>
        <w:numPr>
          <w:ilvl w:val="0"/>
          <w:numId w:val="45"/>
        </w:numPr>
        <w:spacing w:after="0"/>
        <w:rPr>
          <w:rFonts w:cs="Arial"/>
        </w:rPr>
      </w:pPr>
      <w:r w:rsidRPr="0250F981">
        <w:rPr>
          <w:rFonts w:cs="Arial"/>
        </w:rPr>
        <w:t xml:space="preserve">meta esperada; </w:t>
      </w:r>
    </w:p>
    <w:p w14:paraId="5CEA65DE" w14:textId="67C9D6CE" w:rsidR="74BDFE25" w:rsidRDefault="74BDFE25" w:rsidP="0250F981">
      <w:pPr>
        <w:pStyle w:val="PargrafodaLista"/>
        <w:numPr>
          <w:ilvl w:val="0"/>
          <w:numId w:val="45"/>
        </w:numPr>
        <w:spacing w:after="0"/>
        <w:rPr>
          <w:rFonts w:cs="Arial"/>
        </w:rPr>
      </w:pPr>
      <w:r w:rsidRPr="0250F981">
        <w:rPr>
          <w:rFonts w:cs="Arial"/>
        </w:rPr>
        <w:t xml:space="preserve">responsável local; </w:t>
      </w:r>
    </w:p>
    <w:p w14:paraId="2AAACF26" w14:textId="72ACF0A2" w:rsidR="74BDFE25" w:rsidRDefault="74BDFE25" w:rsidP="0250F981">
      <w:pPr>
        <w:pStyle w:val="PargrafodaLista"/>
        <w:numPr>
          <w:ilvl w:val="0"/>
          <w:numId w:val="45"/>
        </w:numPr>
        <w:spacing w:after="0"/>
        <w:rPr>
          <w:rFonts w:cs="Arial"/>
        </w:rPr>
      </w:pPr>
      <w:r w:rsidRPr="0250F981">
        <w:rPr>
          <w:rFonts w:cs="Arial"/>
        </w:rPr>
        <w:t xml:space="preserve">plano de ação; </w:t>
      </w:r>
    </w:p>
    <w:p w14:paraId="7D758E4E" w14:textId="2D22F6F0" w:rsidR="74BDFE25" w:rsidRDefault="74BDFE25" w:rsidP="0250F981">
      <w:pPr>
        <w:pStyle w:val="PargrafodaLista"/>
        <w:numPr>
          <w:ilvl w:val="0"/>
          <w:numId w:val="45"/>
        </w:numPr>
        <w:spacing w:after="0"/>
        <w:rPr>
          <w:rFonts w:cs="Arial"/>
        </w:rPr>
      </w:pPr>
      <w:r w:rsidRPr="0250F981">
        <w:rPr>
          <w:rFonts w:cs="Arial"/>
        </w:rPr>
        <w:t xml:space="preserve">rotina de auditoria; </w:t>
      </w:r>
    </w:p>
    <w:p w14:paraId="5647FC87" w14:textId="0612CD50" w:rsidR="74BDFE25" w:rsidRDefault="74BDFE25" w:rsidP="0250F981">
      <w:pPr>
        <w:pStyle w:val="PargrafodaLista"/>
        <w:numPr>
          <w:ilvl w:val="0"/>
          <w:numId w:val="45"/>
        </w:numPr>
        <w:spacing w:after="0"/>
        <w:rPr>
          <w:rFonts w:cs="Arial"/>
        </w:rPr>
      </w:pPr>
      <w:r w:rsidRPr="0250F981">
        <w:rPr>
          <w:rFonts w:cs="Arial"/>
        </w:rPr>
        <w:t xml:space="preserve">devolutiva para as equipes; </w:t>
      </w:r>
    </w:p>
    <w:p w14:paraId="233F816B" w14:textId="2F65D011" w:rsidR="74BDFE25" w:rsidRDefault="74BDFE25" w:rsidP="0250F981">
      <w:pPr>
        <w:pStyle w:val="PargrafodaLista"/>
        <w:numPr>
          <w:ilvl w:val="0"/>
          <w:numId w:val="45"/>
        </w:numPr>
        <w:spacing w:after="0"/>
        <w:rPr>
          <w:rFonts w:cs="Arial"/>
        </w:rPr>
      </w:pPr>
      <w:r w:rsidRPr="0250F981">
        <w:rPr>
          <w:rFonts w:cs="Arial"/>
        </w:rPr>
        <w:t xml:space="preserve">acompanhamento de resultado; </w:t>
      </w:r>
    </w:p>
    <w:p w14:paraId="5BE05D14" w14:textId="1338C9A6" w:rsidR="74BDFE25" w:rsidRDefault="74BDFE25" w:rsidP="0250F981">
      <w:pPr>
        <w:pStyle w:val="PargrafodaLista"/>
        <w:numPr>
          <w:ilvl w:val="0"/>
          <w:numId w:val="45"/>
        </w:numPr>
        <w:spacing w:after="0"/>
        <w:rPr>
          <w:rFonts w:cs="Arial"/>
        </w:rPr>
      </w:pPr>
      <w:r w:rsidRPr="0250F981">
        <w:rPr>
          <w:rFonts w:cs="Arial"/>
        </w:rPr>
        <w:t xml:space="preserve">evidência de melhoria sustentada. </w:t>
      </w:r>
    </w:p>
    <w:p w14:paraId="7A8DABA2" w14:textId="1B0F8111" w:rsidR="6B71F5C8" w:rsidRDefault="6B71F5C8" w:rsidP="486A98C9">
      <w:pPr>
        <w:spacing w:before="240" w:after="240"/>
        <w:rPr>
          <w:rFonts w:cs="Arial"/>
        </w:rPr>
      </w:pPr>
    </w:p>
    <w:p w14:paraId="56943470" w14:textId="53F08DAB" w:rsidR="25FDAE03" w:rsidRPr="00DE5669" w:rsidRDefault="5860F6CC" w:rsidP="00EB11DE">
      <w:pPr>
        <w:pStyle w:val="Ttulo3"/>
        <w:spacing w:before="240" w:after="240" w:line="360" w:lineRule="auto"/>
        <w:ind w:left="0"/>
      </w:pPr>
      <w:bookmarkStart w:id="78" w:name="_Toc229241814"/>
      <w:bookmarkStart w:id="79" w:name="_Toc231974395"/>
      <w:bookmarkStart w:id="80" w:name="_Toc234260357"/>
      <w:r w:rsidRPr="1A6EC8B6">
        <w:rPr>
          <w:rFonts w:eastAsia="Arial" w:cs="Arial"/>
          <w:b/>
          <w:bCs/>
        </w:rPr>
        <w:lastRenderedPageBreak/>
        <w:t>6.6 Resultados esperados</w:t>
      </w:r>
      <w:bookmarkEnd w:id="78"/>
      <w:bookmarkEnd w:id="79"/>
      <w:bookmarkEnd w:id="80"/>
      <w:r w:rsidRPr="1A6EC8B6">
        <w:rPr>
          <w:rFonts w:eastAsia="Arial" w:cs="Arial"/>
          <w:b/>
          <w:bCs/>
        </w:rPr>
        <w:t xml:space="preserve"> </w:t>
      </w:r>
    </w:p>
    <w:p w14:paraId="15287E45" w14:textId="2FF85B71" w:rsidR="0B788998" w:rsidRDefault="0B788998" w:rsidP="486A98C9">
      <w:pPr>
        <w:spacing w:before="240" w:after="240"/>
      </w:pPr>
      <w:r w:rsidRPr="0E4072D6">
        <w:rPr>
          <w:rFonts w:cs="Arial"/>
        </w:rPr>
        <w:t>O ponto</w:t>
      </w:r>
      <w:r w:rsidRPr="486A98C9">
        <w:rPr>
          <w:rFonts w:cs="Arial"/>
        </w:rPr>
        <w:t xml:space="preserve"> de atenção é a necessidade de garantir que os facilitadores tenham tempo, clareza de papel e apoio das lideranças para atuar nas áreas. Sem essa sustentação, há risco de o cronograma se tornar apenas um instrumento de planejamento, sem impacto real na prática.</w:t>
      </w:r>
    </w:p>
    <w:p w14:paraId="6985A21C" w14:textId="50D9EAE3" w:rsidR="0B788998" w:rsidRDefault="0B788998" w:rsidP="486A98C9">
      <w:pPr>
        <w:spacing w:before="240" w:after="240"/>
      </w:pPr>
      <w:r w:rsidRPr="486A98C9">
        <w:rPr>
          <w:rFonts w:cs="Arial"/>
        </w:rPr>
        <w:t>Também é importante que os resultados sejam estratificados por unidade e turno, pois médias globais podem esconder fragilidades locais.</w:t>
      </w:r>
    </w:p>
    <w:p w14:paraId="25204F9B" w14:textId="59CC92EC" w:rsidR="0B788998" w:rsidRDefault="0B788998" w:rsidP="486A98C9">
      <w:pPr>
        <w:spacing w:before="240" w:after="240"/>
        <w:rPr>
          <w:rFonts w:cs="Arial"/>
        </w:rPr>
      </w:pPr>
      <w:r w:rsidRPr="486A98C9">
        <w:rPr>
          <w:rFonts w:cs="Arial"/>
        </w:rPr>
        <w:t>O cronograma de ações integradas QSP–SCIH representa uma importante estratégia de governança clínica, segurança do paciente e sustentabilidade assistencial. Ele organiza prioridades, define responsáveis, aproxima os facilitadores das áreas e conecta processos fundamentais às linhas de cuidado prioritárias.</w:t>
      </w:r>
    </w:p>
    <w:p w14:paraId="4787205E" w14:textId="00ADC204" w:rsidR="0B788998" w:rsidRDefault="0B788998" w:rsidP="486A98C9">
      <w:pPr>
        <w:spacing w:before="240" w:after="240"/>
        <w:rPr>
          <w:rFonts w:cs="Arial"/>
        </w:rPr>
      </w:pPr>
      <w:r w:rsidRPr="486A98C9">
        <w:rPr>
          <w:rFonts w:cs="Arial"/>
        </w:rPr>
        <w:t>A prestação de contas deve evidenciar que a instituição avançou na estruturação de um modelo integrado de melhoria, com foco em processos críticos, prevenção de eventos adversos e redução de riscos assistenciais.</w:t>
      </w:r>
    </w:p>
    <w:p w14:paraId="0825775F" w14:textId="64A23C4F" w:rsidR="486A98C9" w:rsidRDefault="0B788998" w:rsidP="0E4072D6">
      <w:pPr>
        <w:spacing w:before="240" w:after="240"/>
        <w:rPr>
          <w:rFonts w:cs="Arial"/>
        </w:rPr>
      </w:pPr>
      <w:r w:rsidRPr="486A98C9">
        <w:rPr>
          <w:rFonts w:cs="Arial"/>
        </w:rPr>
        <w:t>O próximo passo é garantir a sustentabilidade das ações, por meio de monitoramento sistemático, auditoria, devolutiva para as equipes e acompanhamento dos indicadores de processo e desfecho</w:t>
      </w:r>
    </w:p>
    <w:p w14:paraId="52FAD85A" w14:textId="074B5603" w:rsidR="5AAF62D5" w:rsidRPr="00950F6A" w:rsidRDefault="7C96F4DA" w:rsidP="00C838E6">
      <w:pPr>
        <w:pStyle w:val="Ttulo3"/>
        <w:spacing w:before="240" w:after="240" w:line="360" w:lineRule="auto"/>
        <w:ind w:left="0"/>
      </w:pPr>
      <w:bookmarkStart w:id="81" w:name="_Toc234260358"/>
      <w:bookmarkStart w:id="82" w:name="_Toc231974396"/>
      <w:r w:rsidRPr="1A6EC8B6">
        <w:rPr>
          <w:rFonts w:eastAsia="Arial" w:cs="Arial"/>
          <w:b/>
          <w:bCs/>
        </w:rPr>
        <w:t xml:space="preserve">6.7 </w:t>
      </w:r>
      <w:r w:rsidR="469F9302" w:rsidRPr="1A6EC8B6">
        <w:rPr>
          <w:rFonts w:eastAsia="Arial" w:cs="Arial"/>
          <w:b/>
          <w:bCs/>
        </w:rPr>
        <w:t>Melhoria dos Processos Assistenciais, Segurança do Paciente</w:t>
      </w:r>
      <w:bookmarkEnd w:id="81"/>
      <w:r w:rsidR="469F9302" w:rsidRPr="1A6EC8B6">
        <w:rPr>
          <w:rFonts w:eastAsia="Arial" w:cs="Arial"/>
          <w:b/>
          <w:bCs/>
        </w:rPr>
        <w:t xml:space="preserve"> </w:t>
      </w:r>
      <w:bookmarkEnd w:id="82"/>
    </w:p>
    <w:p w14:paraId="66DB9405" w14:textId="25669B85" w:rsidR="603FA2EB" w:rsidRDefault="603FA2EB" w:rsidP="09CD08B7">
      <w:pPr>
        <w:spacing w:after="0"/>
      </w:pPr>
      <w:r>
        <w:rPr>
          <w:noProof/>
        </w:rPr>
        <w:drawing>
          <wp:inline distT="0" distB="0" distL="0" distR="0" wp14:anchorId="0D0473E6" wp14:editId="6FE7E070">
            <wp:extent cx="5743575" cy="2447925"/>
            <wp:effectExtent l="0" t="0" r="0" b="0"/>
            <wp:docPr id="20339045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904562" name="Picture 2033904562"/>
                    <pic:cNvPicPr/>
                  </pic:nvPicPr>
                  <pic:blipFill>
                    <a:blip r:embed="rId65">
                      <a:extLst>
                        <a:ext uri="{28A0092B-C50C-407E-A947-70E740481C1C}">
                          <a14:useLocalDpi xmlns:a14="http://schemas.microsoft.com/office/drawing/2010/main"/>
                        </a:ext>
                      </a:extLst>
                    </a:blip>
                    <a:stretch>
                      <a:fillRect/>
                    </a:stretch>
                  </pic:blipFill>
                  <pic:spPr>
                    <a:xfrm>
                      <a:off x="0" y="0"/>
                      <a:ext cx="5743575" cy="2447925"/>
                    </a:xfrm>
                    <a:prstGeom prst="rect">
                      <a:avLst/>
                    </a:prstGeom>
                  </pic:spPr>
                </pic:pic>
              </a:graphicData>
            </a:graphic>
          </wp:inline>
        </w:drawing>
      </w:r>
    </w:p>
    <w:p w14:paraId="6D1E0CFF" w14:textId="558CAB27" w:rsidR="0E4072D6" w:rsidRDefault="61C6C127" w:rsidP="0E4072D6">
      <w:pPr>
        <w:rPr>
          <w:rFonts w:cs="Arial"/>
        </w:rPr>
      </w:pPr>
      <w:r w:rsidRPr="78780EC4">
        <w:rPr>
          <w:rFonts w:cs="Arial"/>
        </w:rPr>
        <w:t xml:space="preserve">O gráfico demonstra uma série histórica com </w:t>
      </w:r>
      <w:r w:rsidRPr="6C10BC95">
        <w:rPr>
          <w:rFonts w:cs="Arial"/>
        </w:rPr>
        <w:t>grande variação no volume de notificações de eventos</w:t>
      </w:r>
      <w:r w:rsidRPr="78780EC4">
        <w:rPr>
          <w:rFonts w:cs="Arial"/>
        </w:rPr>
        <w:t xml:space="preserve">, com momentos de crescimento expressivo, quedas abruptas </w:t>
      </w:r>
      <w:r w:rsidRPr="78780EC4">
        <w:rPr>
          <w:rFonts w:cs="Arial"/>
        </w:rPr>
        <w:lastRenderedPageBreak/>
        <w:t xml:space="preserve">e posterior recuperação parcial. Esse comportamento exige análise cuidadosa, pois o aumento ou redução das notificações </w:t>
      </w:r>
      <w:r w:rsidRPr="6C10BC95">
        <w:rPr>
          <w:rFonts w:cs="Arial"/>
        </w:rPr>
        <w:t>não significa, isoladamente, piora ou melhora da segurança do paciente</w:t>
      </w:r>
      <w:r w:rsidRPr="78780EC4">
        <w:rPr>
          <w:rFonts w:cs="Arial"/>
        </w:rPr>
        <w:t>. Pode refletir tanto mudança real na ocorrência de incidentes quanto mudanças na cultura de notificação, sensibilização das equipes, facilidade de registro ou maturidade do sistema.</w:t>
      </w:r>
    </w:p>
    <w:p w14:paraId="6794EF21" w14:textId="5978E73A" w:rsidR="61C6C127" w:rsidRDefault="61C6C127" w:rsidP="36B2C0F6">
      <w:pPr>
        <w:spacing w:before="240" w:after="240"/>
        <w:rPr>
          <w:rFonts w:cs="Arial"/>
        </w:rPr>
      </w:pPr>
      <w:r w:rsidRPr="36B2C0F6">
        <w:rPr>
          <w:rFonts w:cs="Arial"/>
        </w:rPr>
        <w:t xml:space="preserve">Entre </w:t>
      </w:r>
      <w:proofErr w:type="spellStart"/>
      <w:r w:rsidRPr="6C10BC95">
        <w:rPr>
          <w:rFonts w:cs="Arial"/>
        </w:rPr>
        <w:t>jun</w:t>
      </w:r>
      <w:proofErr w:type="spellEnd"/>
      <w:r w:rsidRPr="6C10BC95">
        <w:rPr>
          <w:rFonts w:cs="Arial"/>
        </w:rPr>
        <w:t xml:space="preserve">/24 e </w:t>
      </w:r>
      <w:proofErr w:type="spellStart"/>
      <w:r w:rsidRPr="6C10BC95">
        <w:rPr>
          <w:rFonts w:cs="Arial"/>
        </w:rPr>
        <w:t>jan</w:t>
      </w:r>
      <w:proofErr w:type="spellEnd"/>
      <w:r w:rsidRPr="6C10BC95">
        <w:rPr>
          <w:rFonts w:cs="Arial"/>
        </w:rPr>
        <w:t>/25</w:t>
      </w:r>
      <w:r w:rsidRPr="36B2C0F6">
        <w:rPr>
          <w:rFonts w:cs="Arial"/>
        </w:rPr>
        <w:t xml:space="preserve">, observa-se crescimento importante das notificações, saindo de </w:t>
      </w:r>
      <w:r w:rsidRPr="6C10BC95">
        <w:rPr>
          <w:rFonts w:cs="Arial"/>
        </w:rPr>
        <w:t xml:space="preserve">219 em </w:t>
      </w:r>
      <w:proofErr w:type="spellStart"/>
      <w:r w:rsidRPr="6C10BC95">
        <w:rPr>
          <w:rFonts w:cs="Arial"/>
        </w:rPr>
        <w:t>jun</w:t>
      </w:r>
      <w:proofErr w:type="spellEnd"/>
      <w:r w:rsidRPr="6C10BC95">
        <w:rPr>
          <w:rFonts w:cs="Arial"/>
        </w:rPr>
        <w:t>/24</w:t>
      </w:r>
      <w:r w:rsidRPr="36B2C0F6">
        <w:rPr>
          <w:rFonts w:cs="Arial"/>
        </w:rPr>
        <w:t xml:space="preserve"> para </w:t>
      </w:r>
      <w:r w:rsidRPr="6C10BC95">
        <w:rPr>
          <w:rFonts w:cs="Arial"/>
        </w:rPr>
        <w:t xml:space="preserve">728 em </w:t>
      </w:r>
      <w:proofErr w:type="spellStart"/>
      <w:r w:rsidRPr="6C10BC95">
        <w:rPr>
          <w:rFonts w:cs="Arial"/>
        </w:rPr>
        <w:t>jan</w:t>
      </w:r>
      <w:proofErr w:type="spellEnd"/>
      <w:r w:rsidRPr="6C10BC95">
        <w:rPr>
          <w:rFonts w:cs="Arial"/>
        </w:rPr>
        <w:t>/25</w:t>
      </w:r>
      <w:r w:rsidRPr="36B2C0F6">
        <w:rPr>
          <w:rFonts w:cs="Arial"/>
        </w:rPr>
        <w:t>, o maior valor da série. Esse aumento pode indicar fortalecimento da cultura de notificação, maior sensibilização das equipes e maior capacidade institucional de identificar riscos e eventos.</w:t>
      </w:r>
    </w:p>
    <w:p w14:paraId="491356B3" w14:textId="79AD7828" w:rsidR="61C6C127" w:rsidRDefault="61C6C127" w:rsidP="36B2C0F6">
      <w:pPr>
        <w:spacing w:before="240" w:after="240"/>
        <w:rPr>
          <w:rFonts w:cs="Arial"/>
        </w:rPr>
      </w:pPr>
      <w:r w:rsidRPr="36B2C0F6">
        <w:rPr>
          <w:rFonts w:cs="Arial"/>
        </w:rPr>
        <w:t xml:space="preserve">Após </w:t>
      </w:r>
      <w:proofErr w:type="spellStart"/>
      <w:r w:rsidRPr="36B2C0F6">
        <w:rPr>
          <w:rFonts w:cs="Arial"/>
        </w:rPr>
        <w:t>jan</w:t>
      </w:r>
      <w:proofErr w:type="spellEnd"/>
      <w:r w:rsidRPr="36B2C0F6">
        <w:rPr>
          <w:rFonts w:cs="Arial"/>
        </w:rPr>
        <w:t xml:space="preserve">/25, há redução progressiva até </w:t>
      </w:r>
      <w:proofErr w:type="spellStart"/>
      <w:r w:rsidRPr="6C10BC95">
        <w:rPr>
          <w:rFonts w:cs="Arial"/>
        </w:rPr>
        <w:t>jun</w:t>
      </w:r>
      <w:proofErr w:type="spellEnd"/>
      <w:r w:rsidRPr="6C10BC95">
        <w:rPr>
          <w:rFonts w:cs="Arial"/>
        </w:rPr>
        <w:t>/25</w:t>
      </w:r>
      <w:r w:rsidRPr="36B2C0F6">
        <w:rPr>
          <w:rFonts w:cs="Arial"/>
        </w:rPr>
        <w:t xml:space="preserve">, quando o número cai para </w:t>
      </w:r>
      <w:r w:rsidRPr="6C10BC95">
        <w:rPr>
          <w:rFonts w:cs="Arial"/>
        </w:rPr>
        <w:t>365 notificações</w:t>
      </w:r>
      <w:r w:rsidRPr="36B2C0F6">
        <w:rPr>
          <w:rFonts w:cs="Arial"/>
        </w:rPr>
        <w:t xml:space="preserve">. Em seguida, ocorre nova elevação em </w:t>
      </w:r>
      <w:proofErr w:type="spellStart"/>
      <w:r w:rsidRPr="6C10BC95">
        <w:rPr>
          <w:rFonts w:cs="Arial"/>
        </w:rPr>
        <w:t>ago</w:t>
      </w:r>
      <w:proofErr w:type="spellEnd"/>
      <w:r w:rsidRPr="6C10BC95">
        <w:rPr>
          <w:rFonts w:cs="Arial"/>
        </w:rPr>
        <w:t>/25</w:t>
      </w:r>
      <w:r w:rsidRPr="36B2C0F6">
        <w:rPr>
          <w:rFonts w:cs="Arial"/>
        </w:rPr>
        <w:t xml:space="preserve">, com </w:t>
      </w:r>
      <w:r w:rsidRPr="6C10BC95">
        <w:rPr>
          <w:rFonts w:cs="Arial"/>
        </w:rPr>
        <w:t>680 notificações</w:t>
      </w:r>
      <w:r w:rsidRPr="36B2C0F6">
        <w:rPr>
          <w:rFonts w:cs="Arial"/>
        </w:rPr>
        <w:t xml:space="preserve">, seguida de queda importante em </w:t>
      </w:r>
      <w:r w:rsidRPr="6C10BC95">
        <w:rPr>
          <w:rFonts w:cs="Arial"/>
        </w:rPr>
        <w:t>out/25</w:t>
      </w:r>
      <w:r w:rsidRPr="36B2C0F6">
        <w:rPr>
          <w:rFonts w:cs="Arial"/>
        </w:rPr>
        <w:t xml:space="preserve">, quando o indicador atinge </w:t>
      </w:r>
      <w:r w:rsidRPr="6C10BC95">
        <w:rPr>
          <w:rFonts w:cs="Arial"/>
        </w:rPr>
        <w:t>171 notificações</w:t>
      </w:r>
      <w:r w:rsidRPr="36B2C0F6">
        <w:rPr>
          <w:rFonts w:cs="Arial"/>
        </w:rPr>
        <w:t>, o menor valor do período.</w:t>
      </w:r>
    </w:p>
    <w:p w14:paraId="27A6DC92" w14:textId="5763AC38" w:rsidR="61C6C127" w:rsidRDefault="61C6C127" w:rsidP="36B2C0F6">
      <w:pPr>
        <w:spacing w:before="240" w:after="240"/>
        <w:rPr>
          <w:rFonts w:cs="Arial"/>
        </w:rPr>
      </w:pPr>
      <w:r w:rsidRPr="36B2C0F6">
        <w:rPr>
          <w:rFonts w:cs="Arial"/>
        </w:rPr>
        <w:t xml:space="preserve">De </w:t>
      </w:r>
      <w:proofErr w:type="spellStart"/>
      <w:r w:rsidRPr="36B2C0F6">
        <w:rPr>
          <w:rFonts w:cs="Arial"/>
        </w:rPr>
        <w:t>nov</w:t>
      </w:r>
      <w:proofErr w:type="spellEnd"/>
      <w:r w:rsidRPr="36B2C0F6">
        <w:rPr>
          <w:rFonts w:cs="Arial"/>
        </w:rPr>
        <w:t xml:space="preserve">/25 a </w:t>
      </w:r>
      <w:proofErr w:type="spellStart"/>
      <w:r w:rsidRPr="36B2C0F6">
        <w:rPr>
          <w:rFonts w:cs="Arial"/>
        </w:rPr>
        <w:t>mai</w:t>
      </w:r>
      <w:proofErr w:type="spellEnd"/>
      <w:r w:rsidRPr="36B2C0F6">
        <w:rPr>
          <w:rFonts w:cs="Arial"/>
        </w:rPr>
        <w:t xml:space="preserve">/26, o indicador volta a oscilar, com recuperação em alguns meses, como </w:t>
      </w:r>
      <w:r w:rsidRPr="6C10BC95">
        <w:rPr>
          <w:rFonts w:cs="Arial"/>
        </w:rPr>
        <w:t>mar/26 com 559 notificações</w:t>
      </w:r>
      <w:r w:rsidRPr="36B2C0F6">
        <w:rPr>
          <w:rFonts w:cs="Arial"/>
        </w:rPr>
        <w:t xml:space="preserve"> e </w:t>
      </w:r>
      <w:proofErr w:type="spellStart"/>
      <w:r w:rsidRPr="6C10BC95">
        <w:rPr>
          <w:rFonts w:cs="Arial"/>
        </w:rPr>
        <w:t>mai</w:t>
      </w:r>
      <w:proofErr w:type="spellEnd"/>
      <w:r w:rsidRPr="6C10BC95">
        <w:rPr>
          <w:rFonts w:cs="Arial"/>
        </w:rPr>
        <w:t>/26 com 510 notificações</w:t>
      </w:r>
      <w:r w:rsidRPr="36B2C0F6">
        <w:rPr>
          <w:rFonts w:cs="Arial"/>
        </w:rPr>
        <w:t>.</w:t>
      </w:r>
    </w:p>
    <w:p w14:paraId="27BD3E74" w14:textId="3FC00810" w:rsidR="61C6C127" w:rsidRDefault="61C6C127" w:rsidP="36B2C0F6">
      <w:pPr>
        <w:spacing w:before="240" w:after="240"/>
        <w:rPr>
          <w:rFonts w:cs="Arial"/>
        </w:rPr>
      </w:pPr>
      <w:r w:rsidRPr="36B2C0F6">
        <w:rPr>
          <w:rFonts w:cs="Arial"/>
        </w:rPr>
        <w:t xml:space="preserve">Os meses de </w:t>
      </w:r>
      <w:r w:rsidRPr="6C10BC95">
        <w:rPr>
          <w:rFonts w:cs="Arial"/>
        </w:rPr>
        <w:t xml:space="preserve">dez/24 e </w:t>
      </w:r>
      <w:proofErr w:type="spellStart"/>
      <w:r w:rsidRPr="6C10BC95">
        <w:rPr>
          <w:rFonts w:cs="Arial"/>
        </w:rPr>
        <w:t>jan</w:t>
      </w:r>
      <w:proofErr w:type="spellEnd"/>
      <w:r w:rsidRPr="6C10BC95">
        <w:rPr>
          <w:rFonts w:cs="Arial"/>
        </w:rPr>
        <w:t>/25</w:t>
      </w:r>
      <w:r w:rsidRPr="36B2C0F6">
        <w:rPr>
          <w:rFonts w:cs="Arial"/>
        </w:rPr>
        <w:t xml:space="preserve"> apresentam volumes muito elevados, com </w:t>
      </w:r>
      <w:r w:rsidRPr="6C10BC95">
        <w:rPr>
          <w:rFonts w:cs="Arial"/>
        </w:rPr>
        <w:t>699 e 728 notificações</w:t>
      </w:r>
      <w:r w:rsidRPr="36B2C0F6">
        <w:rPr>
          <w:rFonts w:cs="Arial"/>
        </w:rPr>
        <w:t>, respectivamente. Esse aumento pode estar relacionado a maior engajamento das equipes, campanhas de segurança, melhoria no processo de registro ou maior exposição assistencial.</w:t>
      </w:r>
    </w:p>
    <w:p w14:paraId="1C61B95D" w14:textId="2C4C8AE1" w:rsidR="61C6C127" w:rsidRDefault="61C6C127" w:rsidP="36B2C0F6">
      <w:pPr>
        <w:spacing w:before="240" w:after="240"/>
        <w:rPr>
          <w:rFonts w:cs="Arial"/>
        </w:rPr>
      </w:pPr>
      <w:r w:rsidRPr="36B2C0F6">
        <w:rPr>
          <w:rFonts w:cs="Arial"/>
        </w:rPr>
        <w:t xml:space="preserve">Esse pico deve ser interpretado de forma positiva se estiver associado ao aumento de notificações de </w:t>
      </w:r>
      <w:r w:rsidRPr="6C10BC95">
        <w:rPr>
          <w:rFonts w:cs="Arial"/>
        </w:rPr>
        <w:t xml:space="preserve">quase falhas, incidentes sem </w:t>
      </w:r>
      <w:proofErr w:type="spellStart"/>
      <w:r w:rsidRPr="6C10BC95">
        <w:rPr>
          <w:rFonts w:cs="Arial"/>
        </w:rPr>
        <w:t>dano</w:t>
      </w:r>
      <w:proofErr w:type="spellEnd"/>
      <w:r w:rsidRPr="6C10BC95">
        <w:rPr>
          <w:rFonts w:cs="Arial"/>
        </w:rPr>
        <w:t xml:space="preserve"> e eventos leves</w:t>
      </w:r>
      <w:r w:rsidRPr="36B2C0F6">
        <w:rPr>
          <w:rFonts w:cs="Arial"/>
        </w:rPr>
        <w:t>, pois indica amadurecimento da cultura de segurança.</w:t>
      </w:r>
    </w:p>
    <w:p w14:paraId="6702DE06" w14:textId="715F4E51" w:rsidR="61C6C127" w:rsidRDefault="61C6C127" w:rsidP="724378DE">
      <w:pPr>
        <w:spacing w:before="240" w:after="240"/>
        <w:rPr>
          <w:rFonts w:cs="Arial"/>
        </w:rPr>
      </w:pPr>
      <w:r w:rsidRPr="724378DE">
        <w:rPr>
          <w:rFonts w:cs="Arial"/>
        </w:rPr>
        <w:t xml:space="preserve">É importante destacar que </w:t>
      </w:r>
      <w:r w:rsidRPr="6C10BC95">
        <w:rPr>
          <w:rFonts w:cs="Arial"/>
        </w:rPr>
        <w:t>mais notificações não significam necessariamente pior assistência</w:t>
      </w:r>
      <w:r w:rsidRPr="724378DE">
        <w:rPr>
          <w:rFonts w:cs="Arial"/>
        </w:rPr>
        <w:t>. Em organizações com cultura de segurança mais madura, o aumento das notificações geralmente representa maior transparência, confiança e aprendizado.</w:t>
      </w:r>
    </w:p>
    <w:p w14:paraId="2BE7D583" w14:textId="1BB4B901" w:rsidR="61C6C127" w:rsidRDefault="61C6C127" w:rsidP="724378DE">
      <w:pPr>
        <w:spacing w:before="240" w:after="240"/>
        <w:rPr>
          <w:rFonts w:cs="Arial"/>
        </w:rPr>
      </w:pPr>
      <w:r w:rsidRPr="724378DE">
        <w:rPr>
          <w:rFonts w:cs="Arial"/>
        </w:rPr>
        <w:t xml:space="preserve">O ponto mais preocupante não é o aumento, mas sim as </w:t>
      </w:r>
      <w:r w:rsidRPr="6C10BC95">
        <w:rPr>
          <w:rFonts w:cs="Arial"/>
        </w:rPr>
        <w:t>quedas abruptas</w:t>
      </w:r>
      <w:r w:rsidRPr="724378DE">
        <w:rPr>
          <w:rFonts w:cs="Arial"/>
        </w:rPr>
        <w:t>, porque podem indicar subnotificação e perda de oportunidades de aprendizado.</w:t>
      </w:r>
    </w:p>
    <w:p w14:paraId="59BE0907" w14:textId="23E95A48" w:rsidR="61C6C127" w:rsidRDefault="61C6C127" w:rsidP="5F8DF37F">
      <w:pPr>
        <w:spacing w:before="240" w:after="240"/>
        <w:rPr>
          <w:rFonts w:cs="Arial"/>
        </w:rPr>
      </w:pPr>
      <w:r w:rsidRPr="5F8DF37F">
        <w:rPr>
          <w:rFonts w:cs="Arial"/>
        </w:rPr>
        <w:t xml:space="preserve">O gráfico mostra um sistema de notificação ativo, com períodos de forte aumento e momentos de queda abrupta. O crescimento observado em alguns meses pode ser positivo, especialmente se relacionado à melhoria da cultura de segurança e aumento de notificações sem </w:t>
      </w:r>
      <w:proofErr w:type="spellStart"/>
      <w:r w:rsidRPr="5F8DF37F">
        <w:rPr>
          <w:rFonts w:cs="Arial"/>
        </w:rPr>
        <w:t>dano</w:t>
      </w:r>
      <w:proofErr w:type="spellEnd"/>
      <w:r w:rsidRPr="5F8DF37F">
        <w:rPr>
          <w:rFonts w:cs="Arial"/>
        </w:rPr>
        <w:t xml:space="preserve"> ou quase falhas.</w:t>
      </w:r>
    </w:p>
    <w:p w14:paraId="4A9D94BA" w14:textId="489A3364" w:rsidR="61C6C127" w:rsidRDefault="61C6C127" w:rsidP="5F8DF37F">
      <w:pPr>
        <w:spacing w:before="240" w:after="240"/>
        <w:rPr>
          <w:rFonts w:cs="Arial"/>
        </w:rPr>
      </w:pPr>
      <w:r w:rsidRPr="5F8DF37F">
        <w:rPr>
          <w:rFonts w:cs="Arial"/>
        </w:rPr>
        <w:lastRenderedPageBreak/>
        <w:t>Entretanto, a grande oscilação do indicador e as quedas expressivas sugerem necessidade de investigação, pois podem indicar fragilidade na sustentabilidade da cultura de notificação. O próximo passo é qualificar o dado, analisando tipo de evento, gravidade, unidade notificadora e desfechos.</w:t>
      </w:r>
    </w:p>
    <w:p w14:paraId="7A592BB5" w14:textId="0E7B505E" w:rsidR="61C6C127" w:rsidRDefault="61C6C127" w:rsidP="5F8DF37F">
      <w:pPr>
        <w:spacing w:before="240" w:after="240"/>
        <w:rPr>
          <w:rFonts w:cs="Arial"/>
        </w:rPr>
      </w:pPr>
      <w:r w:rsidRPr="5F8DF37F">
        <w:rPr>
          <w:rFonts w:cs="Arial"/>
        </w:rPr>
        <w:t>O indicador demonstra avanço na capacidade de notificar, mas ainda apresenta instabilidade. A prioridade deve ser transformar a notificação em ferramenta contínua de aprendizado, com análise crítica, devolutiva às áreas e ações efetivas para redução de riscos assistenciais.</w:t>
      </w:r>
    </w:p>
    <w:p w14:paraId="30CF4196" w14:textId="6CB64D62" w:rsidR="61C6C127" w:rsidRDefault="61C6C127" w:rsidP="25C1F627">
      <w:r>
        <w:rPr>
          <w:noProof/>
        </w:rPr>
        <w:drawing>
          <wp:inline distT="0" distB="0" distL="0" distR="0" wp14:anchorId="6B16F49D" wp14:editId="068AF4CA">
            <wp:extent cx="4366552" cy="2520000"/>
            <wp:effectExtent l="0" t="0" r="0" b="0"/>
            <wp:docPr id="2747468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746880" name="Picture 274746880"/>
                    <pic:cNvPicPr/>
                  </pic:nvPicPr>
                  <pic:blipFill>
                    <a:blip r:embed="rId66">
                      <a:extLst>
                        <a:ext uri="{28A0092B-C50C-407E-A947-70E740481C1C}">
                          <a14:useLocalDpi xmlns:a14="http://schemas.microsoft.com/office/drawing/2010/main"/>
                        </a:ext>
                      </a:extLst>
                    </a:blip>
                    <a:stretch>
                      <a:fillRect/>
                    </a:stretch>
                  </pic:blipFill>
                  <pic:spPr>
                    <a:xfrm>
                      <a:off x="0" y="0"/>
                      <a:ext cx="4366552" cy="2520000"/>
                    </a:xfrm>
                    <a:prstGeom prst="rect">
                      <a:avLst/>
                    </a:prstGeom>
                  </pic:spPr>
                </pic:pic>
              </a:graphicData>
            </a:graphic>
          </wp:inline>
        </w:drawing>
      </w:r>
    </w:p>
    <w:p w14:paraId="33C97A21" w14:textId="12E79803" w:rsidR="5EAE2BDE" w:rsidRPr="00EF59C9" w:rsidRDefault="5EAE2BDE" w:rsidP="00924867">
      <w:pPr>
        <w:pStyle w:val="Ttulo2"/>
        <w:spacing w:before="299" w:after="299"/>
        <w:rPr>
          <w:sz w:val="22"/>
          <w:szCs w:val="18"/>
        </w:rPr>
      </w:pPr>
      <w:bookmarkStart w:id="83" w:name="_Toc234260359"/>
      <w:r w:rsidRPr="00EF59C9">
        <w:rPr>
          <w:bCs/>
          <w:szCs w:val="28"/>
        </w:rPr>
        <w:t>Análise crítica — Pirâmide de Incidentes 2025–2026</w:t>
      </w:r>
      <w:bookmarkEnd w:id="83"/>
    </w:p>
    <w:p w14:paraId="5F3D0C32" w14:textId="01D9F306" w:rsidR="5EAE2BDE" w:rsidRDefault="5EAE2BDE" w:rsidP="00924867">
      <w:pPr>
        <w:spacing w:before="240" w:after="240"/>
        <w:jc w:val="left"/>
      </w:pPr>
      <w:r w:rsidRPr="0B0B1C16">
        <w:rPr>
          <w:rFonts w:cs="Arial"/>
          <w:b/>
          <w:bCs/>
        </w:rPr>
        <w:t>Instituição: HUGO</w:t>
      </w:r>
      <w:r>
        <w:br/>
      </w:r>
      <w:r w:rsidRPr="0B0B1C16">
        <w:rPr>
          <w:rFonts w:cs="Arial"/>
          <w:b/>
          <w:bCs/>
        </w:rPr>
        <w:t>Período 2026 analisado:</w:t>
      </w:r>
      <w:r w:rsidRPr="0B0B1C16">
        <w:rPr>
          <w:rFonts w:cs="Arial"/>
        </w:rPr>
        <w:t xml:space="preserve"> janeiro a maio</w:t>
      </w:r>
      <w:r>
        <w:br/>
      </w:r>
      <w:r w:rsidRPr="0B0B1C16">
        <w:rPr>
          <w:rFonts w:cs="Arial"/>
          <w:b/>
          <w:bCs/>
        </w:rPr>
        <w:t>Total de incidentes 2026:</w:t>
      </w:r>
      <w:r w:rsidRPr="0B0B1C16">
        <w:rPr>
          <w:rFonts w:cs="Arial"/>
        </w:rPr>
        <w:t xml:space="preserve"> 2.040</w:t>
      </w:r>
      <w:r>
        <w:br/>
      </w:r>
      <w:r w:rsidRPr="0B0B1C16">
        <w:rPr>
          <w:rFonts w:cs="Arial"/>
          <w:b/>
          <w:bCs/>
        </w:rPr>
        <w:t>Passagens no período:</w:t>
      </w:r>
      <w:r w:rsidRPr="0B0B1C16">
        <w:rPr>
          <w:rFonts w:cs="Arial"/>
        </w:rPr>
        <w:t xml:space="preserve"> 152.263</w:t>
      </w:r>
      <w:r>
        <w:br/>
      </w:r>
      <w:r w:rsidRPr="0B0B1C16">
        <w:rPr>
          <w:rFonts w:cs="Arial"/>
          <w:b/>
          <w:bCs/>
        </w:rPr>
        <w:t>Taxa:</w:t>
      </w:r>
      <w:r w:rsidRPr="0B0B1C16">
        <w:rPr>
          <w:rFonts w:cs="Arial"/>
        </w:rPr>
        <w:t xml:space="preserve"> 13,39 incidentes a cada 1.000 passagens</w:t>
      </w:r>
    </w:p>
    <w:p w14:paraId="2EA035F5" w14:textId="0C1BC577" w:rsidR="5EAE2BDE" w:rsidRDefault="5EAE2BDE" w:rsidP="0B0B1C16">
      <w:pPr>
        <w:spacing w:before="240" w:after="240"/>
      </w:pPr>
      <w:r w:rsidRPr="0B0B1C16">
        <w:rPr>
          <w:rFonts w:cs="Arial"/>
        </w:rPr>
        <w:t xml:space="preserve">A pirâmide demonstra a distribuição dos incidentes por gravidade, comparando o acumulado de 2025 com o período de janeiro a maio de 2026. O dado permite avaliar não apenas o volume de notificações, mas principalmente o </w:t>
      </w:r>
      <w:r w:rsidRPr="0B0B1C16">
        <w:rPr>
          <w:rFonts w:cs="Arial"/>
          <w:b/>
          <w:bCs/>
        </w:rPr>
        <w:t>perfil de dano</w:t>
      </w:r>
      <w:r w:rsidRPr="0B0B1C16">
        <w:rPr>
          <w:rFonts w:cs="Arial"/>
        </w:rPr>
        <w:t>, a maturidade da cultura de segurança e a capacidade institucional de identificar riscos antes que eles cheguem ao paciente.</w:t>
      </w:r>
    </w:p>
    <w:p w14:paraId="755BDFB4" w14:textId="30972440" w:rsidR="5EAE2BDE" w:rsidRPr="00924867" w:rsidRDefault="5EAE2BDE" w:rsidP="3DD9F1D9">
      <w:pPr>
        <w:spacing w:before="240" w:after="240"/>
      </w:pPr>
      <w:r w:rsidRPr="3DD9F1D9">
        <w:rPr>
          <w:rFonts w:cs="Arial"/>
        </w:rPr>
        <w:t xml:space="preserve">O maior volume está </w:t>
      </w:r>
      <w:r w:rsidRPr="00924867">
        <w:rPr>
          <w:rFonts w:cs="Arial"/>
        </w:rPr>
        <w:t xml:space="preserve">concentrado em incidentes sem </w:t>
      </w:r>
      <w:proofErr w:type="spellStart"/>
      <w:r w:rsidRPr="00924867">
        <w:rPr>
          <w:rFonts w:cs="Arial"/>
        </w:rPr>
        <w:t>dano</w:t>
      </w:r>
      <w:proofErr w:type="spellEnd"/>
      <w:r w:rsidRPr="00924867">
        <w:rPr>
          <w:rFonts w:cs="Arial"/>
        </w:rPr>
        <w:t xml:space="preserve"> e condições inseguras, que juntos representam aproximadamente 69,7% das notificações. Esse é um achado </w:t>
      </w:r>
      <w:r w:rsidRPr="00924867">
        <w:rPr>
          <w:rFonts w:cs="Arial"/>
        </w:rPr>
        <w:lastRenderedPageBreak/>
        <w:t>positivo quando analisado sob a ótica da cultura de segurança, pois indica que a instituição está captando situações de risco e incidentes antes que evoluam para danos mais graves.</w:t>
      </w:r>
    </w:p>
    <w:p w14:paraId="1F7A6911" w14:textId="214CEF7E" w:rsidR="5EAE2BDE" w:rsidRPr="00924867" w:rsidRDefault="00924867" w:rsidP="0865B49A">
      <w:pPr>
        <w:spacing w:before="240" w:after="240"/>
      </w:pPr>
      <w:r>
        <w:rPr>
          <w:rFonts w:cs="Arial"/>
        </w:rPr>
        <w:t>E</w:t>
      </w:r>
      <w:r w:rsidR="5EAE2BDE" w:rsidRPr="00924867">
        <w:rPr>
          <w:rFonts w:cs="Arial"/>
        </w:rPr>
        <w:t>m 2026, foram registrados 8 eventos catastróficos e 1 evento grave no período de janeiro a maio.</w:t>
      </w:r>
    </w:p>
    <w:p w14:paraId="608173F8" w14:textId="0151A04C" w:rsidR="5EAE2BDE" w:rsidRDefault="5EAE2BDE" w:rsidP="0865B49A">
      <w:pPr>
        <w:spacing w:before="240" w:after="240"/>
      </w:pPr>
      <w:r w:rsidRPr="00924867">
        <w:rPr>
          <w:rFonts w:cs="Arial"/>
        </w:rPr>
        <w:t>Apesar de representarem pequena proporção</w:t>
      </w:r>
      <w:r w:rsidRPr="0865B49A">
        <w:rPr>
          <w:rFonts w:cs="Arial"/>
        </w:rPr>
        <w:t xml:space="preserve"> do total de notificações, esses eventos têm alto impacto assistencial, institucional e emocional para pacientes, familiares e profissionais. Portanto, devem ser analisados de forma individualizada, com metodologia robusta de análise de causa, identificação de barreiras frágeis e plano de ação sistêmico.</w:t>
      </w:r>
    </w:p>
    <w:p w14:paraId="3D60B1B5" w14:textId="6DACD919" w:rsidR="5EAE2BDE" w:rsidRDefault="5EAE2BDE" w:rsidP="0865B49A">
      <w:pPr>
        <w:spacing w:before="240" w:after="240"/>
      </w:pPr>
      <w:r w:rsidRPr="0865B49A">
        <w:rPr>
          <w:rFonts w:cs="Arial"/>
        </w:rPr>
        <w:t xml:space="preserve">O ponto de atenção é que, mesmo com maior concentração de eventos sem </w:t>
      </w:r>
      <w:proofErr w:type="spellStart"/>
      <w:r w:rsidRPr="0865B49A">
        <w:rPr>
          <w:rFonts w:cs="Arial"/>
        </w:rPr>
        <w:t>dano</w:t>
      </w:r>
      <w:proofErr w:type="spellEnd"/>
      <w:r w:rsidRPr="0865B49A">
        <w:rPr>
          <w:rFonts w:cs="Arial"/>
        </w:rPr>
        <w:t>, ainda há ocorrência de eventos catastróficos. Isso reforça a necessidade de fortalecer barreiras em processos críticos, como sepse, AVC, trauma, cirurgia segura, medicação, deterioração clínica, prevenção de quedas e comunicação na transição do cuidado.</w:t>
      </w:r>
    </w:p>
    <w:p w14:paraId="3D1BE15B" w14:textId="1D1E8BEF" w:rsidR="5EAE2BDE" w:rsidRDefault="5EAE2BDE" w:rsidP="50F51356">
      <w:pPr>
        <w:spacing w:before="240" w:after="240"/>
      </w:pPr>
      <w:r w:rsidRPr="50F51356">
        <w:rPr>
          <w:rFonts w:cs="Arial"/>
        </w:rPr>
        <w:t xml:space="preserve">Os eventos </w:t>
      </w:r>
      <w:r w:rsidRPr="00924867">
        <w:rPr>
          <w:rFonts w:cs="Arial"/>
        </w:rPr>
        <w:t>moderados somaram 301 registros, número muito próximo dos eventos leves, que somaram 308 registros</w:t>
      </w:r>
      <w:r w:rsidRPr="50F51356">
        <w:rPr>
          <w:rFonts w:cs="Arial"/>
        </w:rPr>
        <w:t>.</w:t>
      </w:r>
    </w:p>
    <w:p w14:paraId="24881474" w14:textId="0D64DC4D" w:rsidR="5EAE2BDE" w:rsidRDefault="5EAE2BDE" w:rsidP="50F51356">
      <w:pPr>
        <w:spacing w:before="240" w:after="240"/>
      </w:pPr>
      <w:r w:rsidRPr="50F51356">
        <w:rPr>
          <w:rFonts w:cs="Arial"/>
        </w:rPr>
        <w:t xml:space="preserve">Esse equilíbrio entre leve e moderado merece atenção. Em uma pirâmide ideal de segurança, espera-se maior volume de condições inseguras, quase falhas, sem </w:t>
      </w:r>
      <w:proofErr w:type="spellStart"/>
      <w:r w:rsidRPr="50F51356">
        <w:rPr>
          <w:rFonts w:cs="Arial"/>
        </w:rPr>
        <w:t>dano</w:t>
      </w:r>
      <w:proofErr w:type="spellEnd"/>
      <w:r w:rsidRPr="50F51356">
        <w:rPr>
          <w:rFonts w:cs="Arial"/>
        </w:rPr>
        <w:t xml:space="preserve"> e eventos leves, com menor proporção de eventos moderados, graves e catastróficos.</w:t>
      </w:r>
    </w:p>
    <w:p w14:paraId="2C6CF1F4" w14:textId="22C66873" w:rsidR="5EAE2BDE" w:rsidRDefault="5EAE2BDE" w:rsidP="50F51356">
      <w:pPr>
        <w:spacing w:before="240" w:after="240"/>
      </w:pPr>
      <w:r w:rsidRPr="50F51356">
        <w:rPr>
          <w:rFonts w:cs="Arial"/>
        </w:rPr>
        <w:t>O número expressivo de eventos moderados pode indicar:</w:t>
      </w:r>
    </w:p>
    <w:p w14:paraId="2495E46E" w14:textId="404802E1" w:rsidR="5EAE2BDE" w:rsidRDefault="5EAE2BDE" w:rsidP="50F51356">
      <w:pPr>
        <w:pStyle w:val="PargrafodaLista"/>
        <w:numPr>
          <w:ilvl w:val="0"/>
          <w:numId w:val="46"/>
        </w:numPr>
        <w:spacing w:after="0"/>
        <w:rPr>
          <w:rFonts w:cs="Arial"/>
        </w:rPr>
      </w:pPr>
      <w:r w:rsidRPr="50F51356">
        <w:rPr>
          <w:rFonts w:cs="Arial"/>
        </w:rPr>
        <w:t xml:space="preserve">falhas em barreiras preventivas; </w:t>
      </w:r>
    </w:p>
    <w:p w14:paraId="7747F0C3" w14:textId="15642C2A" w:rsidR="5EAE2BDE" w:rsidRDefault="5EAE2BDE" w:rsidP="50F51356">
      <w:pPr>
        <w:pStyle w:val="PargrafodaLista"/>
        <w:numPr>
          <w:ilvl w:val="0"/>
          <w:numId w:val="46"/>
        </w:numPr>
        <w:spacing w:after="0"/>
        <w:rPr>
          <w:rFonts w:cs="Arial"/>
        </w:rPr>
      </w:pPr>
      <w:r w:rsidRPr="50F51356">
        <w:rPr>
          <w:rFonts w:cs="Arial"/>
        </w:rPr>
        <w:t xml:space="preserve">atraso na identificação de riscos; </w:t>
      </w:r>
    </w:p>
    <w:p w14:paraId="1DB09747" w14:textId="4F29A57E" w:rsidR="5EAE2BDE" w:rsidRDefault="5EAE2BDE" w:rsidP="50F51356">
      <w:pPr>
        <w:pStyle w:val="PargrafodaLista"/>
        <w:numPr>
          <w:ilvl w:val="0"/>
          <w:numId w:val="46"/>
        </w:numPr>
        <w:spacing w:after="0"/>
        <w:rPr>
          <w:rFonts w:cs="Arial"/>
        </w:rPr>
      </w:pPr>
      <w:r w:rsidRPr="50F51356">
        <w:rPr>
          <w:rFonts w:cs="Arial"/>
        </w:rPr>
        <w:t xml:space="preserve">fragilidade em processos assistenciais básicos; </w:t>
      </w:r>
    </w:p>
    <w:p w14:paraId="22DAAB0C" w14:textId="60B95408" w:rsidR="5EAE2BDE" w:rsidRDefault="5EAE2BDE" w:rsidP="50F51356">
      <w:pPr>
        <w:pStyle w:val="PargrafodaLista"/>
        <w:numPr>
          <w:ilvl w:val="0"/>
          <w:numId w:val="46"/>
        </w:numPr>
        <w:spacing w:after="0"/>
        <w:rPr>
          <w:rFonts w:cs="Arial"/>
        </w:rPr>
      </w:pPr>
      <w:r w:rsidRPr="50F51356">
        <w:rPr>
          <w:rFonts w:cs="Arial"/>
        </w:rPr>
        <w:t xml:space="preserve">baixa adesão a protocolos; </w:t>
      </w:r>
    </w:p>
    <w:p w14:paraId="4D6CC99A" w14:textId="2588744D" w:rsidR="5EAE2BDE" w:rsidRDefault="5EAE2BDE" w:rsidP="50F51356">
      <w:pPr>
        <w:pStyle w:val="PargrafodaLista"/>
        <w:numPr>
          <w:ilvl w:val="0"/>
          <w:numId w:val="46"/>
        </w:numPr>
        <w:spacing w:after="0"/>
        <w:rPr>
          <w:rFonts w:cs="Arial"/>
        </w:rPr>
      </w:pPr>
      <w:r w:rsidRPr="50F51356">
        <w:rPr>
          <w:rFonts w:cs="Arial"/>
        </w:rPr>
        <w:t xml:space="preserve">falhas de comunicação; </w:t>
      </w:r>
    </w:p>
    <w:p w14:paraId="1191FB77" w14:textId="7E471617" w:rsidR="5EAE2BDE" w:rsidRDefault="5EAE2BDE" w:rsidP="50F51356">
      <w:pPr>
        <w:pStyle w:val="PargrafodaLista"/>
        <w:numPr>
          <w:ilvl w:val="0"/>
          <w:numId w:val="46"/>
        </w:numPr>
        <w:spacing w:after="0"/>
        <w:rPr>
          <w:rFonts w:cs="Arial"/>
        </w:rPr>
      </w:pPr>
      <w:r w:rsidRPr="50F51356">
        <w:rPr>
          <w:rFonts w:cs="Arial"/>
        </w:rPr>
        <w:t xml:space="preserve">vulnerabilidade em pacientes críticos ou de alta complexidade; </w:t>
      </w:r>
    </w:p>
    <w:p w14:paraId="5EB7778C" w14:textId="16EB7901" w:rsidR="5EAE2BDE" w:rsidRDefault="5EAE2BDE" w:rsidP="50F51356">
      <w:pPr>
        <w:pStyle w:val="PargrafodaLista"/>
        <w:numPr>
          <w:ilvl w:val="0"/>
          <w:numId w:val="46"/>
        </w:numPr>
        <w:spacing w:after="0"/>
        <w:rPr>
          <w:rFonts w:cs="Arial"/>
        </w:rPr>
      </w:pPr>
      <w:r w:rsidRPr="50F51356">
        <w:rPr>
          <w:rFonts w:cs="Arial"/>
        </w:rPr>
        <w:t>necessidade de resposta mais rápida aos sinais de deterioração.</w:t>
      </w:r>
    </w:p>
    <w:p w14:paraId="4FF5049F" w14:textId="5A320C10" w:rsidR="5EAE2BDE" w:rsidRDefault="5EAE2BDE" w:rsidP="3FF8E752">
      <w:pPr>
        <w:spacing w:before="240" w:after="240"/>
      </w:pPr>
      <w:r w:rsidRPr="3FF8E752">
        <w:rPr>
          <w:rFonts w:cs="Arial"/>
        </w:rPr>
        <w:t xml:space="preserve">A pirâmide de incidentes 2025–2026 mostra que o HUGO possui um sistema de notificação ativo, com predominância de eventos sem </w:t>
      </w:r>
      <w:proofErr w:type="spellStart"/>
      <w:r w:rsidRPr="3FF8E752">
        <w:rPr>
          <w:rFonts w:cs="Arial"/>
        </w:rPr>
        <w:t>dano</w:t>
      </w:r>
      <w:proofErr w:type="spellEnd"/>
      <w:r w:rsidRPr="3FF8E752">
        <w:rPr>
          <w:rFonts w:cs="Arial"/>
        </w:rPr>
        <w:t xml:space="preserve"> e condições inseguras em 2026. Esse perfil é favorável para o fortalecimento da cultura de segurança, pois amplia a capacidade de identificar riscos antes que causem danos graves.</w:t>
      </w:r>
    </w:p>
    <w:p w14:paraId="288845C0" w14:textId="61BD7ECC" w:rsidR="5EAE2BDE" w:rsidRDefault="5EAE2BDE" w:rsidP="3FF8E752">
      <w:pPr>
        <w:spacing w:before="240" w:after="240"/>
      </w:pPr>
      <w:r w:rsidRPr="3FF8E752">
        <w:rPr>
          <w:rFonts w:cs="Arial"/>
        </w:rPr>
        <w:lastRenderedPageBreak/>
        <w:t xml:space="preserve">No entanto, a presença </w:t>
      </w:r>
      <w:r w:rsidRPr="00924867">
        <w:rPr>
          <w:rFonts w:cs="Arial"/>
        </w:rPr>
        <w:t>de 8 eventos catastróficos e 301 eventos moderados entre janeiro e maio de 2026 demonstra que ainda existem</w:t>
      </w:r>
      <w:r w:rsidRPr="3FF8E752">
        <w:rPr>
          <w:rFonts w:cs="Arial"/>
        </w:rPr>
        <w:t xml:space="preserve"> fragilidades importantes nas barreiras assistenciais. O desafio é transformar a notificação em aprendizado organizacional, com planos de ação efetivos, monitoramento da sustentabilidade e redução progressiva dos eventos com dano.</w:t>
      </w:r>
    </w:p>
    <w:p w14:paraId="304FD244" w14:textId="0521738B" w:rsidR="5EAE2BDE" w:rsidRDefault="5EAE2BDE" w:rsidP="3FF8E752">
      <w:pPr>
        <w:spacing w:before="240" w:after="240"/>
      </w:pPr>
      <w:proofErr w:type="gramStart"/>
      <w:r w:rsidRPr="5F36F99D">
        <w:rPr>
          <w:rFonts w:cs="Arial"/>
        </w:rPr>
        <w:t>A</w:t>
      </w:r>
      <w:r w:rsidRPr="5F36F99D">
        <w:rPr>
          <w:rFonts w:cs="Arial"/>
          <w:b/>
          <w:bCs/>
        </w:rPr>
        <w:t xml:space="preserve"> </w:t>
      </w:r>
      <w:r w:rsidRPr="3FF8E752">
        <w:rPr>
          <w:rFonts w:cs="Arial"/>
        </w:rPr>
        <w:t xml:space="preserve"> base</w:t>
      </w:r>
      <w:proofErr w:type="gramEnd"/>
      <w:r w:rsidRPr="3FF8E752">
        <w:rPr>
          <w:rFonts w:cs="Arial"/>
        </w:rPr>
        <w:t xml:space="preserve"> da pirâmide mostra potencial de cultura de segurança; o topo evidencia riscos críticos que precisam de governança forte, análise sistêmica e ações sustentáveis.</w:t>
      </w:r>
    </w:p>
    <w:p w14:paraId="147FC83C" w14:textId="6992A78F" w:rsidR="7C245B13" w:rsidRDefault="7C245B13" w:rsidP="7C245B13"/>
    <w:p w14:paraId="47C1FF91" w14:textId="20C816B2" w:rsidR="61C6C127" w:rsidRDefault="61C6C127" w:rsidP="78780EC4">
      <w:r>
        <w:rPr>
          <w:noProof/>
        </w:rPr>
        <w:drawing>
          <wp:inline distT="0" distB="0" distL="0" distR="0" wp14:anchorId="18FE54C0" wp14:editId="22C91F37">
            <wp:extent cx="5743575" cy="1685925"/>
            <wp:effectExtent l="0" t="0" r="0" b="0"/>
            <wp:docPr id="5204103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410344" name="Picture 520410344"/>
                    <pic:cNvPicPr/>
                  </pic:nvPicPr>
                  <pic:blipFill>
                    <a:blip r:embed="rId67">
                      <a:extLst>
                        <a:ext uri="{28A0092B-C50C-407E-A947-70E740481C1C}">
                          <a14:useLocalDpi xmlns:a14="http://schemas.microsoft.com/office/drawing/2010/main"/>
                        </a:ext>
                      </a:extLst>
                    </a:blip>
                    <a:stretch>
                      <a:fillRect/>
                    </a:stretch>
                  </pic:blipFill>
                  <pic:spPr>
                    <a:xfrm>
                      <a:off x="0" y="0"/>
                      <a:ext cx="5743575" cy="1685925"/>
                    </a:xfrm>
                    <a:prstGeom prst="rect">
                      <a:avLst/>
                    </a:prstGeom>
                  </pic:spPr>
                </pic:pic>
              </a:graphicData>
            </a:graphic>
          </wp:inline>
        </w:drawing>
      </w:r>
    </w:p>
    <w:p w14:paraId="65474B31" w14:textId="25788ECA" w:rsidR="288F2B9D" w:rsidRDefault="5F314EBA" w:rsidP="288F2B9D">
      <w:r w:rsidRPr="3DCE575E">
        <w:rPr>
          <w:rFonts w:cs="Arial"/>
        </w:rPr>
        <w:t xml:space="preserve">A cesta de segurança do paciente </w:t>
      </w:r>
      <w:r w:rsidRPr="00924867">
        <w:rPr>
          <w:rFonts w:cs="Arial"/>
        </w:rPr>
        <w:t>apresenta desempenho abaixo da meta global, com índice acumulado de 42% frente à meta de 100%. O painel evidencia avanços importantes, especialmente na redução de eventos catastróficos nos últimos meses, porém também demonstra fragilidades relevantes</w:t>
      </w:r>
      <w:r w:rsidRPr="3DCE575E">
        <w:rPr>
          <w:rFonts w:cs="Arial"/>
        </w:rPr>
        <w:t xml:space="preserve"> nos indicadores de infecção relacionada à assistência à saúde e na mensuração da cultura de segurança.</w:t>
      </w:r>
    </w:p>
    <w:p w14:paraId="75AFB39A" w14:textId="151F3875" w:rsidR="5F314EBA" w:rsidRDefault="5F314EBA" w:rsidP="3DCE575E">
      <w:r w:rsidRPr="3DCE575E">
        <w:rPr>
          <w:rFonts w:cs="Arial"/>
        </w:rPr>
        <w:t>Observa-</w:t>
      </w:r>
      <w:r w:rsidRPr="00924867">
        <w:rPr>
          <w:rFonts w:cs="Arial"/>
        </w:rPr>
        <w:t>se uma melhora progressiva do índice mensal, saindo de 0% em janeiro para 66% em maio. Esse movimento é positivo e sugere que algumas ações de segurança começaram a produzir efeito. Entretanto, o acumulado permanece em 42%, indicando que</w:t>
      </w:r>
      <w:r w:rsidRPr="3DCE575E">
        <w:rPr>
          <w:rFonts w:cs="Arial"/>
        </w:rPr>
        <w:t xml:space="preserve"> a instituição ainda está distante da meta anual.</w:t>
      </w:r>
    </w:p>
    <w:p w14:paraId="28D49EBB" w14:textId="39C3EA7B" w:rsidR="5F314EBA" w:rsidRDefault="5F314EBA" w:rsidP="43A49D32">
      <w:pPr>
        <w:pStyle w:val="Ttulo3"/>
        <w:spacing w:before="281" w:after="281"/>
      </w:pPr>
      <w:bookmarkStart w:id="84" w:name="_Toc234260360"/>
      <w:r w:rsidRPr="43A49D32">
        <w:rPr>
          <w:rFonts w:eastAsia="Arial" w:cs="Arial"/>
          <w:b/>
          <w:bCs/>
        </w:rPr>
        <w:t>Análise crítica</w:t>
      </w:r>
      <w:bookmarkEnd w:id="84"/>
    </w:p>
    <w:p w14:paraId="07D3E02E" w14:textId="0CE460A2" w:rsidR="5F314EBA" w:rsidRDefault="5F314EBA" w:rsidP="43A49D32">
      <w:pPr>
        <w:spacing w:before="240" w:after="240"/>
      </w:pPr>
      <w:r w:rsidRPr="43A49D32">
        <w:rPr>
          <w:rFonts w:cs="Arial"/>
        </w:rPr>
        <w:t>A densidade de infecção de corrente sanguínea associada ao CVC sugere fragilidade em barreiras relacionadas a:</w:t>
      </w:r>
    </w:p>
    <w:p w14:paraId="589085E2" w14:textId="20AB7945" w:rsidR="5F314EBA" w:rsidRDefault="5F314EBA" w:rsidP="43A49D32">
      <w:pPr>
        <w:pStyle w:val="PargrafodaLista"/>
        <w:numPr>
          <w:ilvl w:val="0"/>
          <w:numId w:val="48"/>
        </w:numPr>
        <w:spacing w:after="0"/>
        <w:rPr>
          <w:rFonts w:cs="Arial"/>
        </w:rPr>
      </w:pPr>
      <w:r w:rsidRPr="43A49D32">
        <w:rPr>
          <w:rFonts w:cs="Arial"/>
        </w:rPr>
        <w:t xml:space="preserve">inserção segura de cateter venoso central; </w:t>
      </w:r>
    </w:p>
    <w:p w14:paraId="139F2248" w14:textId="6A87F608" w:rsidR="5F314EBA" w:rsidRDefault="5F314EBA" w:rsidP="43A49D32">
      <w:pPr>
        <w:pStyle w:val="PargrafodaLista"/>
        <w:numPr>
          <w:ilvl w:val="0"/>
          <w:numId w:val="48"/>
        </w:numPr>
        <w:spacing w:after="0"/>
        <w:rPr>
          <w:rFonts w:cs="Arial"/>
        </w:rPr>
      </w:pPr>
      <w:r w:rsidRPr="43A49D32">
        <w:rPr>
          <w:rFonts w:cs="Arial"/>
        </w:rPr>
        <w:t xml:space="preserve">manutenção e manipulação do dispositivo; </w:t>
      </w:r>
    </w:p>
    <w:p w14:paraId="3DC2121F" w14:textId="29D16E7D" w:rsidR="5F314EBA" w:rsidRDefault="5F314EBA" w:rsidP="43A49D32">
      <w:pPr>
        <w:pStyle w:val="PargrafodaLista"/>
        <w:numPr>
          <w:ilvl w:val="0"/>
          <w:numId w:val="48"/>
        </w:numPr>
        <w:spacing w:after="0"/>
        <w:rPr>
          <w:rFonts w:cs="Arial"/>
        </w:rPr>
      </w:pPr>
      <w:r w:rsidRPr="43A49D32">
        <w:rPr>
          <w:rFonts w:cs="Arial"/>
        </w:rPr>
        <w:t xml:space="preserve">higiene das mãos; </w:t>
      </w:r>
    </w:p>
    <w:p w14:paraId="0B592139" w14:textId="2EF64A7F" w:rsidR="5F314EBA" w:rsidRDefault="5F314EBA" w:rsidP="43A49D32">
      <w:pPr>
        <w:pStyle w:val="PargrafodaLista"/>
        <w:numPr>
          <w:ilvl w:val="0"/>
          <w:numId w:val="48"/>
        </w:numPr>
        <w:spacing w:after="0"/>
        <w:rPr>
          <w:rFonts w:cs="Arial"/>
        </w:rPr>
      </w:pPr>
      <w:r w:rsidRPr="43A49D32">
        <w:rPr>
          <w:rFonts w:cs="Arial"/>
        </w:rPr>
        <w:t xml:space="preserve">antissepsia adequada; </w:t>
      </w:r>
    </w:p>
    <w:p w14:paraId="6BAA78E6" w14:textId="1F654B0D" w:rsidR="5F314EBA" w:rsidRDefault="5F314EBA" w:rsidP="43A49D32">
      <w:pPr>
        <w:pStyle w:val="PargrafodaLista"/>
        <w:numPr>
          <w:ilvl w:val="0"/>
          <w:numId w:val="48"/>
        </w:numPr>
        <w:spacing w:after="0"/>
        <w:rPr>
          <w:rFonts w:cs="Arial"/>
        </w:rPr>
      </w:pPr>
      <w:r w:rsidRPr="43A49D32">
        <w:rPr>
          <w:rFonts w:cs="Arial"/>
        </w:rPr>
        <w:lastRenderedPageBreak/>
        <w:t xml:space="preserve">curativo e troca conforme protocolo; </w:t>
      </w:r>
    </w:p>
    <w:p w14:paraId="5FE02DA1" w14:textId="626BC9CC" w:rsidR="5F314EBA" w:rsidRDefault="5F314EBA" w:rsidP="43A49D32">
      <w:pPr>
        <w:pStyle w:val="PargrafodaLista"/>
        <w:numPr>
          <w:ilvl w:val="0"/>
          <w:numId w:val="48"/>
        </w:numPr>
        <w:spacing w:after="0"/>
        <w:rPr>
          <w:rFonts w:cs="Arial"/>
        </w:rPr>
      </w:pPr>
      <w:r w:rsidRPr="43A49D32">
        <w:rPr>
          <w:rFonts w:cs="Arial"/>
        </w:rPr>
        <w:t xml:space="preserve">avaliação diária da necessidade do CVC; </w:t>
      </w:r>
    </w:p>
    <w:p w14:paraId="4E36A17B" w14:textId="78CA60FD" w:rsidR="5F314EBA" w:rsidRDefault="5F314EBA" w:rsidP="43A49D32">
      <w:pPr>
        <w:pStyle w:val="PargrafodaLista"/>
        <w:numPr>
          <w:ilvl w:val="0"/>
          <w:numId w:val="48"/>
        </w:numPr>
        <w:spacing w:after="0"/>
        <w:rPr>
          <w:rFonts w:cs="Arial"/>
        </w:rPr>
      </w:pPr>
      <w:r w:rsidRPr="43A49D32">
        <w:rPr>
          <w:rFonts w:cs="Arial"/>
        </w:rPr>
        <w:t xml:space="preserve">retirada precoce de dispositivos desnecessários; </w:t>
      </w:r>
    </w:p>
    <w:p w14:paraId="48F08D0D" w14:textId="69A63203" w:rsidR="5F314EBA" w:rsidRDefault="5F314EBA" w:rsidP="43A49D32">
      <w:pPr>
        <w:pStyle w:val="PargrafodaLista"/>
        <w:numPr>
          <w:ilvl w:val="0"/>
          <w:numId w:val="48"/>
        </w:numPr>
        <w:spacing w:after="0"/>
        <w:rPr>
          <w:rFonts w:cs="Arial"/>
        </w:rPr>
      </w:pPr>
      <w:r w:rsidRPr="43A49D32">
        <w:rPr>
          <w:rFonts w:cs="Arial"/>
        </w:rPr>
        <w:t xml:space="preserve">adesão ao </w:t>
      </w:r>
      <w:proofErr w:type="spellStart"/>
      <w:r w:rsidRPr="43A49D32">
        <w:rPr>
          <w:rFonts w:cs="Arial"/>
        </w:rPr>
        <w:t>bundle</w:t>
      </w:r>
      <w:proofErr w:type="spellEnd"/>
      <w:r w:rsidRPr="43A49D32">
        <w:rPr>
          <w:rFonts w:cs="Arial"/>
        </w:rPr>
        <w:t xml:space="preserve"> de prevenção de IPCS. </w:t>
      </w:r>
    </w:p>
    <w:p w14:paraId="73A1F9EC" w14:textId="65425C9B" w:rsidR="5F314EBA" w:rsidRDefault="5F314EBA" w:rsidP="43A49D32">
      <w:pPr>
        <w:spacing w:before="240" w:after="240"/>
      </w:pPr>
      <w:r w:rsidRPr="43A49D32">
        <w:rPr>
          <w:rFonts w:cs="Arial"/>
        </w:rPr>
        <w:t>Esse indicador exige ação prioritária, pois infecções de corrente sanguínea aumentam morbidade, mortalidade, tempo de permanência, uso de antimicrobianos e custos assistenciais.</w:t>
      </w:r>
    </w:p>
    <w:p w14:paraId="2B158557" w14:textId="344B79BB" w:rsidR="5F314EBA" w:rsidRPr="00924867" w:rsidRDefault="5F314EBA" w:rsidP="43A49D32">
      <w:pPr>
        <w:spacing w:before="240" w:after="240"/>
      </w:pPr>
      <w:r w:rsidRPr="43A49D32">
        <w:rPr>
          <w:rFonts w:cs="Arial"/>
        </w:rPr>
        <w:t xml:space="preserve">A taxa de infecção de sítio cirúrgico </w:t>
      </w:r>
      <w:r w:rsidRPr="00924867">
        <w:rPr>
          <w:rFonts w:cs="Arial"/>
        </w:rPr>
        <w:t>em cirurgia limpa apresenta melhora progressiva ao longo dos meses, reduzindo de 4,07 em fevereiro para 0,73 em maio. Esse é um achado positivo.</w:t>
      </w:r>
    </w:p>
    <w:p w14:paraId="5EC03216" w14:textId="7D630146" w:rsidR="5F314EBA" w:rsidRPr="00924867" w:rsidRDefault="5F314EBA" w:rsidP="43A49D32">
      <w:pPr>
        <w:spacing w:before="240" w:after="240"/>
      </w:pPr>
      <w:r w:rsidRPr="00924867">
        <w:rPr>
          <w:rFonts w:cs="Arial"/>
        </w:rPr>
        <w:t xml:space="preserve">Entretanto, o acumulado de 2026 ainda está em 2,48, acima da meta de 1,41 </w:t>
      </w:r>
      <w:proofErr w:type="gramStart"/>
      <w:r w:rsidRPr="00924867">
        <w:rPr>
          <w:rFonts w:cs="Arial"/>
        </w:rPr>
        <w:t>e também</w:t>
      </w:r>
      <w:proofErr w:type="gramEnd"/>
      <w:r w:rsidRPr="00924867">
        <w:rPr>
          <w:rFonts w:cs="Arial"/>
        </w:rPr>
        <w:t xml:space="preserve"> acima do histórico de 2025, que era 1,88.</w:t>
      </w:r>
    </w:p>
    <w:p w14:paraId="54341D52" w14:textId="37CE3AEE" w:rsidR="5F314EBA" w:rsidRDefault="5F314EBA" w:rsidP="43A49D32">
      <w:pPr>
        <w:pStyle w:val="Ttulo3"/>
        <w:spacing w:before="281" w:after="281"/>
      </w:pPr>
      <w:bookmarkStart w:id="85" w:name="_Toc234260361"/>
      <w:r w:rsidRPr="43A49D32">
        <w:rPr>
          <w:rFonts w:eastAsia="Arial" w:cs="Arial"/>
          <w:b/>
          <w:bCs/>
        </w:rPr>
        <w:t>Análise crítica</w:t>
      </w:r>
      <w:bookmarkEnd w:id="85"/>
    </w:p>
    <w:p w14:paraId="39211D26" w14:textId="3F94BC77" w:rsidR="5F314EBA" w:rsidRDefault="5F314EBA" w:rsidP="43A49D32">
      <w:pPr>
        <w:spacing w:before="240" w:after="240"/>
      </w:pPr>
      <w:r w:rsidRPr="43A49D32">
        <w:rPr>
          <w:rFonts w:cs="Arial"/>
        </w:rPr>
        <w:t>Apesar da melhora recente, o desempenho acumulado ainda mostra oportunidade de fortalecimento da linha cirúrgica. Os meses de janeiro e fevereiro impactaram negativamente o acumulado, indicando possível fragilidade no início do ano.</w:t>
      </w:r>
    </w:p>
    <w:p w14:paraId="484534D4" w14:textId="28BEC9B1" w:rsidR="5F314EBA" w:rsidRDefault="5F314EBA" w:rsidP="43A49D32">
      <w:pPr>
        <w:spacing w:before="240" w:after="240"/>
      </w:pPr>
      <w:r w:rsidRPr="43A49D32">
        <w:rPr>
          <w:rFonts w:cs="Arial"/>
        </w:rPr>
        <w:t>Os principais pontos a serem avaliados incluem:</w:t>
      </w:r>
    </w:p>
    <w:p w14:paraId="34BCAAA7" w14:textId="7D19C0B1" w:rsidR="5F314EBA" w:rsidRDefault="5F314EBA" w:rsidP="43A49D32">
      <w:pPr>
        <w:pStyle w:val="PargrafodaLista"/>
        <w:numPr>
          <w:ilvl w:val="0"/>
          <w:numId w:val="47"/>
        </w:numPr>
        <w:spacing w:after="0"/>
        <w:rPr>
          <w:rFonts w:cs="Arial"/>
        </w:rPr>
      </w:pPr>
      <w:r w:rsidRPr="43A49D32">
        <w:rPr>
          <w:rFonts w:cs="Arial"/>
        </w:rPr>
        <w:t xml:space="preserve">adesão ao checklist de cirurgia segura; </w:t>
      </w:r>
    </w:p>
    <w:p w14:paraId="3F3B65EC" w14:textId="2540FC16" w:rsidR="5F314EBA" w:rsidRDefault="5F314EBA" w:rsidP="43A49D32">
      <w:pPr>
        <w:pStyle w:val="PargrafodaLista"/>
        <w:numPr>
          <w:ilvl w:val="0"/>
          <w:numId w:val="47"/>
        </w:numPr>
        <w:spacing w:after="0"/>
        <w:rPr>
          <w:rFonts w:cs="Arial"/>
        </w:rPr>
      </w:pPr>
      <w:r w:rsidRPr="43A49D32">
        <w:rPr>
          <w:rFonts w:cs="Arial"/>
        </w:rPr>
        <w:t xml:space="preserve">preparo pré-operatório; </w:t>
      </w:r>
    </w:p>
    <w:p w14:paraId="5A22F6C8" w14:textId="307321DF" w:rsidR="5F314EBA" w:rsidRDefault="5F314EBA" w:rsidP="43A49D32">
      <w:pPr>
        <w:pStyle w:val="PargrafodaLista"/>
        <w:numPr>
          <w:ilvl w:val="0"/>
          <w:numId w:val="47"/>
        </w:numPr>
        <w:spacing w:after="0"/>
        <w:rPr>
          <w:rFonts w:cs="Arial"/>
        </w:rPr>
      </w:pPr>
      <w:r w:rsidRPr="43A49D32">
        <w:rPr>
          <w:rFonts w:cs="Arial"/>
        </w:rPr>
        <w:t xml:space="preserve">banho pré-operatório; </w:t>
      </w:r>
    </w:p>
    <w:p w14:paraId="47CE9410" w14:textId="0B29EF74" w:rsidR="5F314EBA" w:rsidRDefault="5F314EBA" w:rsidP="43A49D32">
      <w:pPr>
        <w:pStyle w:val="PargrafodaLista"/>
        <w:numPr>
          <w:ilvl w:val="0"/>
          <w:numId w:val="47"/>
        </w:numPr>
        <w:spacing w:after="0"/>
        <w:rPr>
          <w:rFonts w:cs="Arial"/>
        </w:rPr>
      </w:pPr>
      <w:r w:rsidRPr="43A49D32">
        <w:rPr>
          <w:rFonts w:cs="Arial"/>
        </w:rPr>
        <w:t xml:space="preserve">antibioticoprofilaxia no tempo correto; </w:t>
      </w:r>
    </w:p>
    <w:p w14:paraId="0DC0B433" w14:textId="1095C2A5" w:rsidR="5F314EBA" w:rsidRDefault="5F314EBA" w:rsidP="43A49D32">
      <w:pPr>
        <w:pStyle w:val="PargrafodaLista"/>
        <w:numPr>
          <w:ilvl w:val="0"/>
          <w:numId w:val="47"/>
        </w:numPr>
        <w:spacing w:after="0"/>
        <w:rPr>
          <w:rFonts w:cs="Arial"/>
        </w:rPr>
      </w:pPr>
      <w:r w:rsidRPr="43A49D32">
        <w:rPr>
          <w:rFonts w:cs="Arial"/>
        </w:rPr>
        <w:t xml:space="preserve">tricotomia quando indicada e realizada de forma adequada; </w:t>
      </w:r>
    </w:p>
    <w:p w14:paraId="33CE7896" w14:textId="674A063D" w:rsidR="5F314EBA" w:rsidRDefault="5F314EBA" w:rsidP="43A49D32">
      <w:pPr>
        <w:pStyle w:val="PargrafodaLista"/>
        <w:numPr>
          <w:ilvl w:val="0"/>
          <w:numId w:val="47"/>
        </w:numPr>
        <w:spacing w:after="0"/>
        <w:rPr>
          <w:rFonts w:cs="Arial"/>
        </w:rPr>
      </w:pPr>
      <w:r w:rsidRPr="43A49D32">
        <w:rPr>
          <w:rFonts w:cs="Arial"/>
        </w:rPr>
        <w:t xml:space="preserve">controle glicêmico e temperatura; </w:t>
      </w:r>
    </w:p>
    <w:p w14:paraId="1E418BC7" w14:textId="2FE45862" w:rsidR="5F314EBA" w:rsidRDefault="5F314EBA" w:rsidP="43A49D32">
      <w:pPr>
        <w:pStyle w:val="PargrafodaLista"/>
        <w:numPr>
          <w:ilvl w:val="0"/>
          <w:numId w:val="47"/>
        </w:numPr>
        <w:spacing w:after="0"/>
        <w:rPr>
          <w:rFonts w:cs="Arial"/>
        </w:rPr>
      </w:pPr>
      <w:r w:rsidRPr="43A49D32">
        <w:rPr>
          <w:rFonts w:cs="Arial"/>
        </w:rPr>
        <w:t xml:space="preserve">técnica asséptica; </w:t>
      </w:r>
    </w:p>
    <w:p w14:paraId="2552EE7B" w14:textId="73018F0C" w:rsidR="5F314EBA" w:rsidRDefault="5F314EBA" w:rsidP="43A49D32">
      <w:pPr>
        <w:pStyle w:val="PargrafodaLista"/>
        <w:numPr>
          <w:ilvl w:val="0"/>
          <w:numId w:val="47"/>
        </w:numPr>
        <w:spacing w:after="0"/>
        <w:rPr>
          <w:rFonts w:cs="Arial"/>
        </w:rPr>
      </w:pPr>
      <w:r w:rsidRPr="43A49D32">
        <w:rPr>
          <w:rFonts w:cs="Arial"/>
        </w:rPr>
        <w:t xml:space="preserve">fluxo de sala cirúrgica; </w:t>
      </w:r>
    </w:p>
    <w:p w14:paraId="18D81E72" w14:textId="4247920A" w:rsidR="5F314EBA" w:rsidRDefault="5F314EBA" w:rsidP="43A49D32">
      <w:pPr>
        <w:pStyle w:val="PargrafodaLista"/>
        <w:numPr>
          <w:ilvl w:val="0"/>
          <w:numId w:val="47"/>
        </w:numPr>
        <w:spacing w:after="0"/>
        <w:rPr>
          <w:rFonts w:cs="Arial"/>
        </w:rPr>
      </w:pPr>
      <w:r w:rsidRPr="43A49D32">
        <w:rPr>
          <w:rFonts w:cs="Arial"/>
        </w:rPr>
        <w:t xml:space="preserve">cuidados pós-operatórios; </w:t>
      </w:r>
    </w:p>
    <w:p w14:paraId="225C2C02" w14:textId="10F33CCD" w:rsidR="5F314EBA" w:rsidRDefault="5F314EBA" w:rsidP="43A49D32">
      <w:pPr>
        <w:pStyle w:val="PargrafodaLista"/>
        <w:numPr>
          <w:ilvl w:val="0"/>
          <w:numId w:val="47"/>
        </w:numPr>
        <w:spacing w:after="0"/>
        <w:rPr>
          <w:rFonts w:cs="Arial"/>
        </w:rPr>
      </w:pPr>
      <w:r w:rsidRPr="43A49D32">
        <w:rPr>
          <w:rFonts w:cs="Arial"/>
        </w:rPr>
        <w:t xml:space="preserve">vigilância pós-alta. </w:t>
      </w:r>
    </w:p>
    <w:p w14:paraId="627B0E6C" w14:textId="69C74C46" w:rsidR="5F314EBA" w:rsidRDefault="5F314EBA" w:rsidP="43A49D32">
      <w:pPr>
        <w:spacing w:before="240" w:after="240"/>
      </w:pPr>
      <w:r w:rsidRPr="43A49D32">
        <w:rPr>
          <w:rFonts w:cs="Arial"/>
        </w:rPr>
        <w:t>A redução observada em abril e maio sugere que ações recentes podem estar funcionando, mas precisam ser sustentadas.</w:t>
      </w:r>
    </w:p>
    <w:p w14:paraId="2109B2DD" w14:textId="1AE5A504" w:rsidR="5F314EBA" w:rsidRPr="00924867" w:rsidRDefault="5F314EBA" w:rsidP="6E1998B6">
      <w:pPr>
        <w:spacing w:before="240" w:after="240"/>
      </w:pPr>
      <w:r w:rsidRPr="00924867">
        <w:rPr>
          <w:rFonts w:cs="Arial"/>
        </w:rPr>
        <w:lastRenderedPageBreak/>
        <w:t>O indicador de eventos catastróficos apresenta resultado favorável nos meses mais recentes, com 0,00 em março e 0,00 em maio. Janeiro teve o pior resultado, com 1,75, acima da meta. Fevereiro ficou em 0,75, dentro da meta, e abril apresentou 0,31.</w:t>
      </w:r>
    </w:p>
    <w:p w14:paraId="2FAB1DF3" w14:textId="0679A214" w:rsidR="5F314EBA" w:rsidRDefault="5F314EBA" w:rsidP="6E1998B6">
      <w:pPr>
        <w:pStyle w:val="Ttulo3"/>
        <w:spacing w:before="281" w:after="281"/>
      </w:pPr>
      <w:bookmarkStart w:id="86" w:name="_Toc234260362"/>
      <w:r w:rsidRPr="6E1998B6">
        <w:rPr>
          <w:rFonts w:eastAsia="Arial" w:cs="Arial"/>
          <w:b/>
          <w:bCs/>
        </w:rPr>
        <w:t>Análise crítica</w:t>
      </w:r>
      <w:bookmarkEnd w:id="86"/>
    </w:p>
    <w:p w14:paraId="08D26133" w14:textId="25D0C996" w:rsidR="5F314EBA" w:rsidRDefault="5F314EBA" w:rsidP="6E1998B6">
      <w:pPr>
        <w:spacing w:before="240" w:after="240"/>
      </w:pPr>
      <w:r w:rsidRPr="6E1998B6">
        <w:rPr>
          <w:rFonts w:cs="Arial"/>
        </w:rPr>
        <w:t>A redução dos eventos catastróficos é um ponto positivo da cesta e deve ser valorizada. Porém, esse indicador precisa ser interpretado com cautela, pois eventos catastróficos são raros, de alto impacto e podem oscilar conforme volume assistencial e perfil de gravidade dos pacientes.</w:t>
      </w:r>
      <w:r w:rsidRPr="31C2D43C">
        <w:rPr>
          <w:rFonts w:cs="Arial"/>
        </w:rPr>
        <w:t xml:space="preserve"> Os principais processos críticos dos eventos </w:t>
      </w:r>
      <w:r w:rsidRPr="69340337">
        <w:rPr>
          <w:rFonts w:cs="Arial"/>
        </w:rPr>
        <w:t>catastróficos</w:t>
      </w:r>
      <w:r w:rsidRPr="31C2D43C">
        <w:rPr>
          <w:rFonts w:cs="Arial"/>
        </w:rPr>
        <w:t xml:space="preserve"> são: Sistematização do trauma</w:t>
      </w:r>
      <w:r w:rsidRPr="69340337">
        <w:rPr>
          <w:rFonts w:cs="Arial"/>
        </w:rPr>
        <w:t>, deterioração clínica e sepse.</w:t>
      </w:r>
    </w:p>
    <w:p w14:paraId="2162FB7A" w14:textId="077BFC29" w:rsidR="5F314EBA" w:rsidRDefault="5F314EBA" w:rsidP="6E1998B6">
      <w:pPr>
        <w:spacing w:before="240" w:after="240"/>
      </w:pPr>
      <w:r w:rsidRPr="6E1998B6">
        <w:rPr>
          <w:rFonts w:cs="Arial"/>
        </w:rPr>
        <w:t>Mesmo quando o resultado mensal é zero, a instituição deve manter vigilância ativa, pois a ausência de eventos catastróficos não significa ausência de risco. É fundamental acompanhar eventos moderados, graves, quase falhas e condições inseguras para antecipar fragilidades antes que se transformem em dano severo.</w:t>
      </w:r>
    </w:p>
    <w:p w14:paraId="3A19F041" w14:textId="2BE42955" w:rsidR="7F053BBA" w:rsidRDefault="7F053BBA" w:rsidP="7F053BBA">
      <w:pPr>
        <w:rPr>
          <w:rFonts w:cs="Arial"/>
        </w:rPr>
      </w:pPr>
    </w:p>
    <w:p w14:paraId="0A3E89DE" w14:textId="7F15C4B3" w:rsidR="00A4224E" w:rsidRPr="00DE5669" w:rsidRDefault="36EC9932" w:rsidP="000476DF">
      <w:pPr>
        <w:pStyle w:val="Ttulo2"/>
        <w:spacing w:before="299" w:after="299" w:line="249" w:lineRule="auto"/>
        <w:ind w:left="0" w:firstLine="0"/>
      </w:pPr>
      <w:bookmarkStart w:id="87" w:name="_Toc229241824"/>
      <w:bookmarkStart w:id="88" w:name="_Toc231974397"/>
      <w:bookmarkStart w:id="89" w:name="_Toc234260363"/>
      <w:r w:rsidRPr="00DE5669">
        <w:t>6.</w:t>
      </w:r>
      <w:r w:rsidR="00950F6A">
        <w:t>8</w:t>
      </w:r>
      <w:r w:rsidRPr="00DE5669">
        <w:t>. Valorização dos Colaboradores</w:t>
      </w:r>
      <w:bookmarkEnd w:id="87"/>
      <w:bookmarkEnd w:id="88"/>
      <w:bookmarkEnd w:id="89"/>
      <w:r w:rsidRPr="00DE5669">
        <w:t xml:space="preserve"> </w:t>
      </w:r>
    </w:p>
    <w:p w14:paraId="6AECF9A4" w14:textId="5341CF6D" w:rsidR="00E94F3B" w:rsidRPr="00D07EB0" w:rsidRDefault="25B77F97" w:rsidP="1CCADB7B">
      <w:pPr>
        <w:spacing w:after="160" w:line="278" w:lineRule="auto"/>
      </w:pPr>
      <w:r w:rsidRPr="1A6EC8B6">
        <w:rPr>
          <w:rFonts w:eastAsiaTheme="majorEastAsia" w:cs="Arial"/>
          <w:b/>
          <w:bCs/>
          <w:color w:val="2F5496" w:themeColor="accent1" w:themeShade="BF"/>
          <w:sz w:val="28"/>
          <w:szCs w:val="28"/>
        </w:rPr>
        <w:t>Ações de Valorização, Desenvolvimento e Reconhecimento dos Colaboradores</w:t>
      </w:r>
    </w:p>
    <w:p w14:paraId="26E8AC98" w14:textId="0FBCBACA" w:rsidR="00E94F3B" w:rsidRPr="00D07EB0" w:rsidRDefault="00611210" w:rsidP="1A6EC8B6">
      <w:pPr>
        <w:spacing w:after="160" w:line="278" w:lineRule="auto"/>
        <w:rPr>
          <w:b/>
          <w:bCs/>
        </w:rPr>
      </w:pPr>
      <w:r w:rsidRPr="441FF443">
        <w:rPr>
          <w:rFonts w:cs="Arial"/>
        </w:rPr>
        <w:t>No mês de junho, foram realizadas ações voltadas à valorização dos colaboradores, contemplando iniciativas de reconhecimento profissional, desenvolvimento, cultura de segurança, bem-estar, integração e escuta ativa. As ações contribuíram para o fortalecimento do vínculo institucional, promoção do cuidado com as equipes e incentivo a um ambiente de trabalho mais seguro, participativo e humanizado.</w:t>
      </w:r>
      <w:r w:rsidR="00E94F3B">
        <w:br/>
      </w:r>
    </w:p>
    <w:p w14:paraId="25270069" w14:textId="09888D02" w:rsidR="00E94F3B" w:rsidRDefault="1DBC9535" w:rsidP="00950F6A">
      <w:pPr>
        <w:spacing w:after="160" w:line="278" w:lineRule="auto"/>
      </w:pPr>
      <w:r w:rsidRPr="1A6EC8B6">
        <w:rPr>
          <w:rFonts w:eastAsiaTheme="majorEastAsia" w:cs="Arial"/>
          <w:b/>
          <w:bCs/>
          <w:color w:val="2F5496" w:themeColor="accent1" w:themeShade="BF"/>
          <w:sz w:val="28"/>
          <w:szCs w:val="28"/>
        </w:rPr>
        <w:t>6.8.</w:t>
      </w:r>
      <w:r w:rsidR="25B77F97" w:rsidRPr="1A6EC8B6">
        <w:rPr>
          <w:rFonts w:eastAsiaTheme="majorEastAsia" w:cs="Arial"/>
          <w:b/>
          <w:bCs/>
          <w:color w:val="2F5496" w:themeColor="accent1" w:themeShade="BF"/>
          <w:sz w:val="28"/>
          <w:szCs w:val="28"/>
        </w:rPr>
        <w:t>1. Ações de reconhecimento profissional e datas comemorativas</w:t>
      </w:r>
    </w:p>
    <w:p w14:paraId="24726510" w14:textId="766F4196" w:rsidR="319F67B9" w:rsidRPr="005F3108" w:rsidRDefault="319F67B9" w:rsidP="441FF443">
      <w:pPr>
        <w:spacing w:after="160" w:line="278" w:lineRule="auto"/>
        <w:rPr>
          <w:sz w:val="22"/>
          <w:szCs w:val="22"/>
        </w:rPr>
      </w:pPr>
      <w:r w:rsidRPr="005F3108">
        <w:rPr>
          <w:rFonts w:cs="Arial"/>
        </w:rPr>
        <w:t>Em 27 de junho, foi realizada ação de reconhecimento em homenagem ao Dia dos Técnicos em Nutrição e Dietética. A iniciativa teve como objetivo valorizar a atuação desses profissionais, reconhecendo sua contribuição para a qualidade da assistência, segurança alimentar e cuidado diário com pacientes, acompanhantes e colaboradores.</w:t>
      </w:r>
    </w:p>
    <w:p w14:paraId="13AEDAC2" w14:textId="5CAB13B0" w:rsidR="319F67B9" w:rsidRDefault="319F67B9" w:rsidP="441FF443">
      <w:pPr>
        <w:spacing w:after="160" w:line="278" w:lineRule="auto"/>
        <w:rPr>
          <w:rFonts w:cs="Arial"/>
          <w:sz w:val="28"/>
          <w:szCs w:val="28"/>
        </w:rPr>
      </w:pPr>
      <w:r>
        <w:rPr>
          <w:noProof/>
        </w:rPr>
        <w:lastRenderedPageBreak/>
        <w:drawing>
          <wp:inline distT="0" distB="0" distL="0" distR="0" wp14:anchorId="525178C1" wp14:editId="6E92BA6E">
            <wp:extent cx="3317816" cy="2520000"/>
            <wp:effectExtent l="0" t="0" r="0" b="0"/>
            <wp:docPr id="2019133215" name="Imagem 2019133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133215" name="Picture 2019133215"/>
                    <pic:cNvPicPr/>
                  </pic:nvPicPr>
                  <pic:blipFill>
                    <a:blip r:embed="rId68">
                      <a:extLst>
                        <a:ext uri="{28A0092B-C50C-407E-A947-70E740481C1C}">
                          <a14:useLocalDpi xmlns:a14="http://schemas.microsoft.com/office/drawing/2010/main"/>
                        </a:ext>
                      </a:extLst>
                    </a:blip>
                    <a:stretch>
                      <a:fillRect/>
                    </a:stretch>
                  </pic:blipFill>
                  <pic:spPr>
                    <a:xfrm>
                      <a:off x="0" y="0"/>
                      <a:ext cx="3317816" cy="2520000"/>
                    </a:xfrm>
                    <a:prstGeom prst="rect">
                      <a:avLst/>
                    </a:prstGeom>
                  </pic:spPr>
                </pic:pic>
              </a:graphicData>
            </a:graphic>
          </wp:inline>
        </w:drawing>
      </w:r>
    </w:p>
    <w:p w14:paraId="3663936D" w14:textId="77777777" w:rsidR="00EA1797" w:rsidRDefault="00EA1797" w:rsidP="00DC04AA">
      <w:pPr>
        <w:ind w:left="0"/>
        <w:rPr>
          <w:rFonts w:eastAsiaTheme="majorEastAsia" w:cs="Arial"/>
          <w:b/>
          <w:bCs/>
          <w:color w:val="2F5496" w:themeColor="accent1" w:themeShade="BF"/>
          <w:sz w:val="28"/>
          <w:szCs w:val="28"/>
        </w:rPr>
      </w:pPr>
    </w:p>
    <w:p w14:paraId="6EAA4CE8" w14:textId="2EF453E5" w:rsidR="00E94F3B" w:rsidRPr="00DC04AA" w:rsidRDefault="1DBC9535" w:rsidP="00DC04AA">
      <w:pPr>
        <w:ind w:left="0"/>
        <w:rPr>
          <w:rFonts w:eastAsiaTheme="majorEastAsia" w:cs="Arial"/>
          <w:b/>
          <w:bCs/>
          <w:color w:val="2F5496" w:themeColor="accent1" w:themeShade="BF"/>
          <w:sz w:val="28"/>
          <w:szCs w:val="28"/>
        </w:rPr>
      </w:pPr>
      <w:r w:rsidRPr="1A6EC8B6">
        <w:rPr>
          <w:rFonts w:eastAsiaTheme="majorEastAsia" w:cs="Arial"/>
          <w:b/>
          <w:bCs/>
          <w:color w:val="2F5496" w:themeColor="accent1" w:themeShade="BF"/>
          <w:sz w:val="28"/>
          <w:szCs w:val="28"/>
        </w:rPr>
        <w:t>6.8.</w:t>
      </w:r>
      <w:r w:rsidR="25B77F97" w:rsidRPr="1A6EC8B6">
        <w:rPr>
          <w:rFonts w:eastAsiaTheme="majorEastAsia" w:cs="Arial"/>
          <w:b/>
          <w:bCs/>
          <w:color w:val="2F5496" w:themeColor="accent1" w:themeShade="BF"/>
          <w:sz w:val="28"/>
          <w:szCs w:val="28"/>
        </w:rPr>
        <w:t>2. Ações de desenvolvimento profissional e capacitação</w:t>
      </w:r>
    </w:p>
    <w:p w14:paraId="301F9AC2" w14:textId="4E677CA5" w:rsidR="00E94F3B" w:rsidRPr="005F3108" w:rsidRDefault="57EDE26D" w:rsidP="441FF443">
      <w:pPr>
        <w:spacing w:before="240" w:after="240"/>
      </w:pPr>
      <w:r w:rsidRPr="005F3108">
        <w:rPr>
          <w:rFonts w:cs="Arial"/>
        </w:rPr>
        <w:t>Entre os dias 23 e 25 de junho, foi realizada a SIPAT 2026 – Semana Interna de Prevenção de Acidentes do Trabalho, com o Treinamento “100% Segurança do Colaborador”.</w:t>
      </w:r>
    </w:p>
    <w:p w14:paraId="1481E402" w14:textId="0BBF313C" w:rsidR="00E94F3B" w:rsidRPr="005F3108" w:rsidRDefault="57EDE26D" w:rsidP="441FF443">
      <w:pPr>
        <w:spacing w:before="240" w:after="240"/>
      </w:pPr>
      <w:r w:rsidRPr="005F3108">
        <w:rPr>
          <w:rFonts w:cs="Arial"/>
        </w:rPr>
        <w:t>A ação aconteceu no Espaço do Colaborador – Antiga Biblioteca e teve como objetivo promover conhecimento, conscientização e desenvolvimento dos colaboradores sobre prevenção de acidentes, segurança no ambiente de trabalho e atitudes preventivas no dia a dia institucional.</w:t>
      </w:r>
    </w:p>
    <w:p w14:paraId="24CF37D8" w14:textId="25E869FF" w:rsidR="00E94F3B" w:rsidRDefault="57EDE26D" w:rsidP="441FF443">
      <w:pPr>
        <w:spacing w:before="240" w:after="240"/>
        <w:jc w:val="center"/>
      </w:pPr>
      <w:r>
        <w:rPr>
          <w:noProof/>
        </w:rPr>
        <w:drawing>
          <wp:inline distT="0" distB="0" distL="0" distR="0" wp14:anchorId="254808BF" wp14:editId="20AA5A07">
            <wp:extent cx="4391792" cy="2520000"/>
            <wp:effectExtent l="0" t="0" r="8890" b="0"/>
            <wp:docPr id="2070858136" name="Imagem 2070858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858136" name="Picture 2070858136"/>
                    <pic:cNvPicPr/>
                  </pic:nvPicPr>
                  <pic:blipFill>
                    <a:blip r:embed="rId69">
                      <a:extLst>
                        <a:ext uri="{28A0092B-C50C-407E-A947-70E740481C1C}">
                          <a14:useLocalDpi xmlns:a14="http://schemas.microsoft.com/office/drawing/2010/main"/>
                        </a:ext>
                      </a:extLst>
                    </a:blip>
                    <a:stretch>
                      <a:fillRect/>
                    </a:stretch>
                  </pic:blipFill>
                  <pic:spPr>
                    <a:xfrm>
                      <a:off x="0" y="0"/>
                      <a:ext cx="4391792" cy="2520000"/>
                    </a:xfrm>
                    <a:prstGeom prst="rect">
                      <a:avLst/>
                    </a:prstGeom>
                  </pic:spPr>
                </pic:pic>
              </a:graphicData>
            </a:graphic>
          </wp:inline>
        </w:drawing>
      </w:r>
    </w:p>
    <w:p w14:paraId="3E8F4EDD" w14:textId="69D12139" w:rsidR="57EDE26D" w:rsidRDefault="57EDE26D" w:rsidP="441FF443">
      <w:pPr>
        <w:spacing w:after="160" w:line="278" w:lineRule="auto"/>
      </w:pPr>
      <w:r>
        <w:rPr>
          <w:noProof/>
        </w:rPr>
        <w:lastRenderedPageBreak/>
        <w:drawing>
          <wp:inline distT="0" distB="0" distL="0" distR="0" wp14:anchorId="68610640" wp14:editId="3DFD0ED0">
            <wp:extent cx="5743575" cy="1447800"/>
            <wp:effectExtent l="0" t="0" r="0" b="0"/>
            <wp:docPr id="645361290" name="Imagem 64536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361290" name="Picture 645361290"/>
                    <pic:cNvPicPr/>
                  </pic:nvPicPr>
                  <pic:blipFill>
                    <a:blip r:embed="rId70">
                      <a:extLst>
                        <a:ext uri="{28A0092B-C50C-407E-A947-70E740481C1C}">
                          <a14:useLocalDpi xmlns:a14="http://schemas.microsoft.com/office/drawing/2010/main"/>
                        </a:ext>
                      </a:extLst>
                    </a:blip>
                    <a:stretch>
                      <a:fillRect/>
                    </a:stretch>
                  </pic:blipFill>
                  <pic:spPr>
                    <a:xfrm>
                      <a:off x="0" y="0"/>
                      <a:ext cx="5743575" cy="1447800"/>
                    </a:xfrm>
                    <a:prstGeom prst="rect">
                      <a:avLst/>
                    </a:prstGeom>
                  </pic:spPr>
                </pic:pic>
              </a:graphicData>
            </a:graphic>
          </wp:inline>
        </w:drawing>
      </w:r>
    </w:p>
    <w:p w14:paraId="3E97DD32" w14:textId="77777777" w:rsidR="005F3108" w:rsidRDefault="005F3108" w:rsidP="441FF443">
      <w:pPr>
        <w:spacing w:after="160" w:line="278" w:lineRule="auto"/>
        <w:rPr>
          <w:rFonts w:eastAsiaTheme="majorEastAsia" w:cs="Arial"/>
          <w:b/>
          <w:bCs/>
          <w:color w:val="2F5496" w:themeColor="accent1" w:themeShade="BF"/>
          <w:sz w:val="28"/>
          <w:szCs w:val="28"/>
        </w:rPr>
      </w:pPr>
    </w:p>
    <w:p w14:paraId="278E8C21" w14:textId="618BA9CF" w:rsidR="00E94F3B" w:rsidRPr="00DC04AA" w:rsidRDefault="1DBC9535" w:rsidP="00DC04AA">
      <w:pPr>
        <w:spacing w:after="160" w:line="278" w:lineRule="auto"/>
      </w:pPr>
      <w:r w:rsidRPr="1A6EC8B6">
        <w:rPr>
          <w:rFonts w:eastAsiaTheme="majorEastAsia" w:cs="Arial"/>
          <w:b/>
          <w:bCs/>
          <w:color w:val="2F5496" w:themeColor="accent1" w:themeShade="BF"/>
          <w:sz w:val="28"/>
          <w:szCs w:val="28"/>
        </w:rPr>
        <w:t>6.8.</w:t>
      </w:r>
      <w:r w:rsidR="25B77F97" w:rsidRPr="1A6EC8B6">
        <w:rPr>
          <w:rFonts w:eastAsiaTheme="majorEastAsia" w:cs="Arial"/>
          <w:b/>
          <w:bCs/>
          <w:color w:val="2F5496" w:themeColor="accent1" w:themeShade="BF"/>
          <w:sz w:val="28"/>
          <w:szCs w:val="28"/>
        </w:rPr>
        <w:t>3. Ações de cultura de segurança e boas práticas assistenciais</w:t>
      </w:r>
    </w:p>
    <w:p w14:paraId="7116F89B" w14:textId="5CE272FE" w:rsidR="352504F7" w:rsidRPr="005F3108" w:rsidRDefault="352504F7" w:rsidP="441FF443">
      <w:pPr>
        <w:spacing w:before="240" w:after="240"/>
        <w:rPr>
          <w:sz w:val="22"/>
          <w:szCs w:val="22"/>
        </w:rPr>
      </w:pPr>
      <w:r w:rsidRPr="005F3108">
        <w:rPr>
          <w:rFonts w:cs="Arial"/>
        </w:rPr>
        <w:t>A SIPAT 2026 também contribuiu diretamente para o fortalecimento da cultura de segurança, por meio do Treinamento “100% Segurança do Colaborador”, realizado de 23 a 25 de junho.</w:t>
      </w:r>
    </w:p>
    <w:p w14:paraId="5BC06BCC" w14:textId="5313B347" w:rsidR="352504F7" w:rsidRPr="005F3108" w:rsidRDefault="352504F7" w:rsidP="441FF443">
      <w:pPr>
        <w:spacing w:before="240" w:after="240"/>
        <w:rPr>
          <w:sz w:val="22"/>
          <w:szCs w:val="22"/>
        </w:rPr>
      </w:pPr>
      <w:r w:rsidRPr="005F3108">
        <w:rPr>
          <w:rFonts w:cs="Arial"/>
        </w:rPr>
        <w:t>A iniciativa reforçou a importância da prevenção, da corresponsabilidade das equipes e da adoção de boas práticas no ambiente hospitalar, promovendo uma cultura de cuidado, segurança e atenção contínua aos riscos ocupacionais e assistenciais.</w:t>
      </w:r>
    </w:p>
    <w:p w14:paraId="14C52243" w14:textId="6FC31F00" w:rsidR="441FF443" w:rsidRDefault="441FF443" w:rsidP="441FF443">
      <w:pPr>
        <w:spacing w:after="160" w:line="278" w:lineRule="auto"/>
        <w:rPr>
          <w:rFonts w:eastAsiaTheme="majorEastAsia" w:cs="Arial"/>
          <w:b/>
          <w:bCs/>
          <w:color w:val="2F5496" w:themeColor="accent1" w:themeShade="BF"/>
          <w:sz w:val="28"/>
          <w:szCs w:val="28"/>
        </w:rPr>
      </w:pPr>
    </w:p>
    <w:p w14:paraId="33827C95" w14:textId="78CC411D" w:rsidR="00E94F3B" w:rsidRPr="00DC04AA" w:rsidRDefault="1DBC9535" w:rsidP="00DC04AA">
      <w:pPr>
        <w:ind w:left="0"/>
      </w:pPr>
      <w:r w:rsidRPr="1A6EC8B6">
        <w:rPr>
          <w:rFonts w:eastAsiaTheme="majorEastAsia" w:cs="Arial"/>
          <w:b/>
          <w:bCs/>
          <w:color w:val="2F5496" w:themeColor="accent1" w:themeShade="BF"/>
          <w:sz w:val="28"/>
          <w:szCs w:val="28"/>
        </w:rPr>
        <w:t>6.8.</w:t>
      </w:r>
      <w:r w:rsidR="25B77F97" w:rsidRPr="1A6EC8B6">
        <w:rPr>
          <w:rFonts w:eastAsiaTheme="majorEastAsia" w:cs="Arial"/>
          <w:b/>
          <w:bCs/>
          <w:color w:val="2F5496" w:themeColor="accent1" w:themeShade="BF"/>
          <w:sz w:val="28"/>
          <w:szCs w:val="28"/>
        </w:rPr>
        <w:t>4. Ações de reconhecimento por desempenho e adesão a práticas assistenciais</w:t>
      </w:r>
    </w:p>
    <w:p w14:paraId="1162BBEA" w14:textId="3B930F2D" w:rsidR="14080261" w:rsidRPr="00AC168B" w:rsidRDefault="14080261" w:rsidP="441FF443">
      <w:pPr>
        <w:spacing w:before="240" w:after="240"/>
        <w:rPr>
          <w:sz w:val="22"/>
          <w:szCs w:val="22"/>
        </w:rPr>
      </w:pPr>
      <w:r w:rsidRPr="00AC168B">
        <w:rPr>
          <w:rFonts w:cs="Arial"/>
        </w:rPr>
        <w:t>Durante o mês de junho, também foram realizadas ações de reconhecimento vinculadas ao engajamento dos colaboradores nas iniciativas institucionais e campanhas internas.</w:t>
      </w:r>
    </w:p>
    <w:p w14:paraId="1A709DD3" w14:textId="60637235" w:rsidR="14080261" w:rsidRPr="00AC168B" w:rsidRDefault="14080261" w:rsidP="441FF443">
      <w:pPr>
        <w:spacing w:before="240" w:after="240"/>
        <w:rPr>
          <w:sz w:val="22"/>
          <w:szCs w:val="22"/>
        </w:rPr>
      </w:pPr>
      <w:r w:rsidRPr="00AC168B">
        <w:rPr>
          <w:rFonts w:cs="Arial"/>
        </w:rPr>
        <w:t>Entre as ações, destaca-se a iniciativa “Bom Goleiro”, realizada no contexto das ações da Copa, com foco em valorizar a participação, integração e envolvimento dos colaboradores nas atividades promovidas no Espaço do Colaborador.</w:t>
      </w:r>
    </w:p>
    <w:p w14:paraId="69CFF6F3" w14:textId="16C7ACCE" w:rsidR="14080261" w:rsidRPr="00AC168B" w:rsidRDefault="14080261" w:rsidP="441FF443">
      <w:pPr>
        <w:spacing w:before="240" w:after="240"/>
        <w:rPr>
          <w:sz w:val="22"/>
          <w:szCs w:val="22"/>
        </w:rPr>
      </w:pPr>
      <w:r w:rsidRPr="00AC168B">
        <w:rPr>
          <w:rFonts w:cs="Arial"/>
        </w:rPr>
        <w:t xml:space="preserve">Além disso, um colaborador foi contemplado na Campanha Copa do Mundo New </w:t>
      </w:r>
      <w:proofErr w:type="spellStart"/>
      <w:r w:rsidRPr="00AC168B">
        <w:rPr>
          <w:rFonts w:cs="Arial"/>
        </w:rPr>
        <w:t>Value</w:t>
      </w:r>
      <w:proofErr w:type="spellEnd"/>
      <w:r w:rsidRPr="00AC168B">
        <w:rPr>
          <w:rFonts w:cs="Arial"/>
        </w:rPr>
        <w:t>, recebendo como prêmio uma camiseta oficial da CBF. A ação teve como objetivo reconhecer a participação dos colaboradores na campanha, promover engajamento e fortalecer o sentimento de pertencimento durante o período da Copa.</w:t>
      </w:r>
    </w:p>
    <w:p w14:paraId="3A268E26" w14:textId="56D6290D" w:rsidR="14080261" w:rsidRPr="00AC168B" w:rsidRDefault="14080261" w:rsidP="441FF443">
      <w:pPr>
        <w:spacing w:before="240" w:after="240"/>
        <w:rPr>
          <w:sz w:val="22"/>
          <w:szCs w:val="22"/>
        </w:rPr>
      </w:pPr>
      <w:r w:rsidRPr="00AC168B">
        <w:rPr>
          <w:rFonts w:cs="Arial"/>
        </w:rPr>
        <w:lastRenderedPageBreak/>
        <w:t>Essas iniciativas contribuíram para incentivar a participação dos colaboradores, reconhecer o envolvimento nas ações institucionais e reforçar a valorização das equipes no ambiente hospitalar.</w:t>
      </w:r>
    </w:p>
    <w:p w14:paraId="07158215" w14:textId="425C5F90" w:rsidR="4CA3E30B" w:rsidRPr="00DE5669" w:rsidRDefault="6D145E0B" w:rsidP="31A7F79A">
      <w:pPr>
        <w:spacing w:before="240" w:after="240" w:line="360" w:lineRule="auto"/>
      </w:pPr>
      <w:r w:rsidRPr="1A6EC8B6">
        <w:rPr>
          <w:rFonts w:eastAsiaTheme="minorEastAsia" w:cs="Arial"/>
          <w:b/>
          <w:bCs/>
          <w:color w:val="2E75B6"/>
          <w:sz w:val="28"/>
          <w:szCs w:val="28"/>
        </w:rPr>
        <w:t>6.</w:t>
      </w:r>
      <w:r w:rsidR="1DBC9535" w:rsidRPr="1A6EC8B6">
        <w:rPr>
          <w:rFonts w:eastAsiaTheme="minorEastAsia" w:cs="Arial"/>
          <w:b/>
          <w:bCs/>
          <w:color w:val="2E75B6"/>
          <w:sz w:val="28"/>
          <w:szCs w:val="28"/>
        </w:rPr>
        <w:t>9</w:t>
      </w:r>
      <w:r w:rsidRPr="1A6EC8B6">
        <w:rPr>
          <w:rFonts w:eastAsiaTheme="minorEastAsia" w:cs="Arial"/>
          <w:b/>
          <w:bCs/>
          <w:color w:val="2E75B6"/>
          <w:sz w:val="28"/>
          <w:szCs w:val="28"/>
        </w:rPr>
        <w:t>. Ações de Humanização</w:t>
      </w:r>
    </w:p>
    <w:p w14:paraId="4649B33A" w14:textId="612B3EE4" w:rsidR="407C6EC3" w:rsidRPr="004773B3" w:rsidRDefault="407C6EC3" w:rsidP="441FF443">
      <w:pPr>
        <w:spacing w:before="240" w:after="240"/>
        <w:rPr>
          <w:sz w:val="22"/>
          <w:szCs w:val="22"/>
        </w:rPr>
      </w:pPr>
      <w:r w:rsidRPr="004773B3">
        <w:rPr>
          <w:rFonts w:cs="Arial"/>
        </w:rPr>
        <w:t>Foram realizadas ações com foco em humanização, integração, bem-estar e fortalecimento do sentimento de pertencimento dos colaboradores.</w:t>
      </w:r>
    </w:p>
    <w:p w14:paraId="709EDA85" w14:textId="63861457" w:rsidR="407C6EC3" w:rsidRPr="004773B3" w:rsidRDefault="407C6EC3" w:rsidP="441FF443">
      <w:pPr>
        <w:spacing w:before="240" w:after="240"/>
        <w:rPr>
          <w:sz w:val="22"/>
          <w:szCs w:val="22"/>
        </w:rPr>
      </w:pPr>
      <w:r w:rsidRPr="004773B3">
        <w:rPr>
          <w:rFonts w:cs="Arial"/>
        </w:rPr>
        <w:t>Nos dias 08 e 09 de junho, aconteceu o Momento de Bem-Estar, com Aula de Alongamento, conduzida pela DFE, no Espaço do Colaborador – Antiga Biblioteca. No mesmo período, também foi realizado o credenciamento da carteirinha do SESC, no corredor do subsolo, ampliando o acesso dos colaboradores a benefícios voltados à qualidade de vida.</w:t>
      </w:r>
    </w:p>
    <w:p w14:paraId="40EDA54D" w14:textId="3B8C27E8" w:rsidR="407C6EC3" w:rsidRPr="004773B3" w:rsidRDefault="407C6EC3" w:rsidP="441FF443">
      <w:pPr>
        <w:spacing w:before="240" w:after="240"/>
        <w:rPr>
          <w:sz w:val="22"/>
          <w:szCs w:val="22"/>
        </w:rPr>
      </w:pPr>
      <w:r w:rsidRPr="004773B3">
        <w:rPr>
          <w:rFonts w:cs="Arial"/>
        </w:rPr>
        <w:t>Durante o mês de junho, também foi promovida a transmissão de todos os jogos do Brasil na Copa no Espaço do Colaborador – Antiga Biblioteca. A ação proporcionou momentos de integração, descontração e convivência entre as equipes, contribuindo para o clima organizacional e para o fortalecimento dos vínculos entre os colaboradores.</w:t>
      </w:r>
    </w:p>
    <w:p w14:paraId="6E982B42" w14:textId="01EA300D" w:rsidR="005A1ECF" w:rsidRDefault="407C6EC3" w:rsidP="005A1ECF">
      <w:pPr>
        <w:spacing w:before="240" w:after="240"/>
        <w:rPr>
          <w:rFonts w:cs="Arial"/>
        </w:rPr>
      </w:pPr>
      <w:r w:rsidRPr="004773B3">
        <w:rPr>
          <w:rFonts w:cs="Arial"/>
        </w:rPr>
        <w:t>Em 29 de junho, foi realizado o Café com a Diretora, um momento de escuta, diálogo e aproximação entre a diretoria e os colaboradores. A iniciativa teve como objetivo abrir espaço para sugestões, percepções e troca de experiências, fortalecendo a comunicação institucional, a escuta ativa e a valorização das equipes.</w:t>
      </w:r>
    </w:p>
    <w:p w14:paraId="7E0C9E41" w14:textId="1A3BC6E6" w:rsidR="75B559B9" w:rsidRDefault="75B559B9" w:rsidP="005A1ECF">
      <w:pPr>
        <w:spacing w:before="240" w:after="240"/>
        <w:rPr>
          <w:rFonts w:eastAsiaTheme="minorEastAsia" w:cs="Arial"/>
          <w:b/>
          <w:bCs/>
          <w:color w:val="2E75B6"/>
          <w:sz w:val="28"/>
          <w:szCs w:val="28"/>
        </w:rPr>
      </w:pPr>
      <w:r>
        <w:rPr>
          <w:noProof/>
        </w:rPr>
        <w:drawing>
          <wp:inline distT="0" distB="0" distL="0" distR="0" wp14:anchorId="072536AB" wp14:editId="774D4769">
            <wp:extent cx="3361855" cy="2520000"/>
            <wp:effectExtent l="0" t="0" r="0" b="0"/>
            <wp:docPr id="38530014" name="Imagem 3853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30014" name="Picture 38530014"/>
                    <pic:cNvPicPr/>
                  </pic:nvPicPr>
                  <pic:blipFill>
                    <a:blip r:embed="rId71">
                      <a:extLst>
                        <a:ext uri="{28A0092B-C50C-407E-A947-70E740481C1C}">
                          <a14:useLocalDpi xmlns:a14="http://schemas.microsoft.com/office/drawing/2010/main"/>
                        </a:ext>
                      </a:extLst>
                    </a:blip>
                    <a:stretch>
                      <a:fillRect/>
                    </a:stretch>
                  </pic:blipFill>
                  <pic:spPr>
                    <a:xfrm>
                      <a:off x="0" y="0"/>
                      <a:ext cx="3361855" cy="2520000"/>
                    </a:xfrm>
                    <a:prstGeom prst="rect">
                      <a:avLst/>
                    </a:prstGeom>
                  </pic:spPr>
                </pic:pic>
              </a:graphicData>
            </a:graphic>
          </wp:inline>
        </w:drawing>
      </w:r>
    </w:p>
    <w:p w14:paraId="774759D5" w14:textId="389A32A2" w:rsidR="7C73FF78" w:rsidRPr="006D2194" w:rsidRDefault="1DBC9535" w:rsidP="441FF443">
      <w:pPr>
        <w:pStyle w:val="Ttulo1"/>
        <w:rPr>
          <w:sz w:val="28"/>
          <w:szCs w:val="20"/>
        </w:rPr>
      </w:pPr>
      <w:bookmarkStart w:id="90" w:name="_Toc229241825"/>
      <w:bookmarkStart w:id="91" w:name="_Toc234260364"/>
      <w:r w:rsidRPr="006D2194">
        <w:rPr>
          <w:sz w:val="28"/>
          <w:szCs w:val="20"/>
        </w:rPr>
        <w:lastRenderedPageBreak/>
        <w:t>7</w:t>
      </w:r>
      <w:r w:rsidR="72D7F414" w:rsidRPr="006D2194">
        <w:rPr>
          <w:sz w:val="28"/>
          <w:szCs w:val="20"/>
        </w:rPr>
        <w:t>. Soluções Tecnológicas e Inovação</w:t>
      </w:r>
      <w:bookmarkEnd w:id="90"/>
      <w:bookmarkEnd w:id="91"/>
      <w:r w:rsidR="72D7F414" w:rsidRPr="006D2194">
        <w:rPr>
          <w:sz w:val="28"/>
          <w:szCs w:val="20"/>
        </w:rPr>
        <w:t xml:space="preserve"> </w:t>
      </w:r>
    </w:p>
    <w:p w14:paraId="74F9E647" w14:textId="1ABACC69" w:rsidR="4970C920" w:rsidRDefault="4970C920" w:rsidP="441FF443">
      <w:pPr>
        <w:pStyle w:val="Ttulo2"/>
      </w:pPr>
      <w:bookmarkStart w:id="92" w:name="_Toc234254720"/>
      <w:bookmarkStart w:id="93" w:name="_Toc234260365"/>
      <w:r w:rsidRPr="441FF443">
        <w:t>7.1 Adição da esc</w:t>
      </w:r>
      <w:r w:rsidR="4DB9CFD3" w:rsidRPr="441FF443">
        <w:t>ala de Johns Hopkins Mobilidade</w:t>
      </w:r>
      <w:bookmarkEnd w:id="92"/>
      <w:bookmarkEnd w:id="93"/>
    </w:p>
    <w:p w14:paraId="06A06814" w14:textId="78B749BC" w:rsidR="4DB9CFD3" w:rsidRPr="006D2194" w:rsidRDefault="4DB9CFD3" w:rsidP="441FF443">
      <w:r w:rsidRPr="006D2194">
        <w:rPr>
          <w:rFonts w:cs="Arial"/>
        </w:rPr>
        <w:t>A inclusão da Escala de Mobilidade Johns Hopkins no sistema MV representa um importante avanço na padronização da avaliação funcional dos pacientes. Sua utilização permite identificar precocemente limitações de mobilidade, apoiar a tomada de decisão clínica e promover intervenções mais assertivas para prevenção de complicações associadas ao imobilismo, fortalecendo a segurança do paciente.</w:t>
      </w:r>
    </w:p>
    <w:p w14:paraId="0E9F56EA" w14:textId="3659F302" w:rsidR="4970C920" w:rsidRDefault="4970C920" w:rsidP="441FF443">
      <w:r>
        <w:rPr>
          <w:noProof/>
        </w:rPr>
        <w:drawing>
          <wp:inline distT="0" distB="0" distL="0" distR="0" wp14:anchorId="005EF93E" wp14:editId="6E806E17">
            <wp:extent cx="5302718" cy="2304000"/>
            <wp:effectExtent l="0" t="0" r="0" b="1270"/>
            <wp:docPr id="449606750" name="Imagem 449606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606750" name="Picture 449606750"/>
                    <pic:cNvPicPr/>
                  </pic:nvPicPr>
                  <pic:blipFill>
                    <a:blip r:embed="rId72">
                      <a:extLst>
                        <a:ext uri="{28A0092B-C50C-407E-A947-70E740481C1C}">
                          <a14:useLocalDpi xmlns:a14="http://schemas.microsoft.com/office/drawing/2010/main"/>
                        </a:ext>
                      </a:extLst>
                    </a:blip>
                    <a:stretch>
                      <a:fillRect/>
                    </a:stretch>
                  </pic:blipFill>
                  <pic:spPr>
                    <a:xfrm>
                      <a:off x="0" y="0"/>
                      <a:ext cx="5302718" cy="2304000"/>
                    </a:xfrm>
                    <a:prstGeom prst="rect">
                      <a:avLst/>
                    </a:prstGeom>
                  </pic:spPr>
                </pic:pic>
              </a:graphicData>
            </a:graphic>
          </wp:inline>
        </w:drawing>
      </w:r>
    </w:p>
    <w:p w14:paraId="78E70BA0" w14:textId="6EB23C6F" w:rsidR="40A672BE" w:rsidRDefault="40A672BE" w:rsidP="441FF443">
      <w:pPr>
        <w:pStyle w:val="Ttulo2"/>
      </w:pPr>
      <w:bookmarkStart w:id="94" w:name="_Toc234254721"/>
      <w:bookmarkStart w:id="95" w:name="_Toc234260366"/>
      <w:r w:rsidRPr="441FF443">
        <w:t>7.</w:t>
      </w:r>
      <w:r w:rsidR="0FB0DF2E" w:rsidRPr="441FF443">
        <w:t>2</w:t>
      </w:r>
      <w:r w:rsidRPr="441FF443">
        <w:t xml:space="preserve"> </w:t>
      </w:r>
      <w:r w:rsidR="5EAE1521" w:rsidRPr="441FF443">
        <w:t>Reestruturação do Servidor SIPEF</w:t>
      </w:r>
      <w:bookmarkEnd w:id="94"/>
      <w:bookmarkEnd w:id="95"/>
    </w:p>
    <w:p w14:paraId="6C9145B0" w14:textId="565349A1" w:rsidR="5EAE1521" w:rsidRDefault="5EAE1521" w:rsidP="441FF443">
      <w:pPr>
        <w:spacing w:after="160"/>
        <w:rPr>
          <w:rFonts w:cs="Arial"/>
          <w:color w:val="404040" w:themeColor="text1" w:themeTint="BF"/>
        </w:rPr>
      </w:pPr>
      <w:r w:rsidRPr="441FF443">
        <w:rPr>
          <w:rFonts w:cs="Arial"/>
          <w:color w:val="404040" w:themeColor="text1" w:themeTint="BF"/>
        </w:rPr>
        <w:t>Realização e reestruturação do ambiente do servidor SIPEF para garantir a continuidade dos processos críticos do setor Financeiro.</w:t>
      </w:r>
    </w:p>
    <w:p w14:paraId="2C1E1E1B" w14:textId="1355B955" w:rsidR="5EAE1521" w:rsidRDefault="5EAE1521" w:rsidP="441FF443">
      <w:pPr>
        <w:spacing w:before="120" w:after="100"/>
        <w:rPr>
          <w:rFonts w:cs="Arial"/>
          <w:b/>
          <w:bCs/>
          <w:i/>
          <w:iCs/>
          <w:color w:val="1F4E79" w:themeColor="accent5" w:themeShade="80"/>
        </w:rPr>
      </w:pPr>
      <w:r w:rsidRPr="441FF443">
        <w:rPr>
          <w:rFonts w:cs="Arial"/>
          <w:b/>
          <w:bCs/>
          <w:i/>
          <w:iCs/>
          <w:color w:val="1F4E79" w:themeColor="accent5" w:themeShade="80"/>
        </w:rPr>
        <w:t>Benefícios alcançados</w:t>
      </w:r>
    </w:p>
    <w:p w14:paraId="4825EF8E" w14:textId="466AB318" w:rsidR="5EAE1521" w:rsidRDefault="5EAE1521" w:rsidP="441FF443">
      <w:pPr>
        <w:pStyle w:val="PargrafodaLista"/>
        <w:numPr>
          <w:ilvl w:val="0"/>
          <w:numId w:val="29"/>
        </w:numPr>
        <w:spacing w:after="80"/>
        <w:ind w:left="540" w:hanging="270"/>
        <w:rPr>
          <w:rFonts w:cs="Arial"/>
          <w:color w:val="262626" w:themeColor="text1" w:themeTint="D9"/>
        </w:rPr>
      </w:pPr>
      <w:r w:rsidRPr="441FF443">
        <w:rPr>
          <w:rFonts w:cs="Arial"/>
          <w:color w:val="262626" w:themeColor="text1" w:themeTint="D9"/>
        </w:rPr>
        <w:t>Garantia da continuidade das atividades relacionadas aos pagamentos</w:t>
      </w:r>
    </w:p>
    <w:p w14:paraId="6F6056AF" w14:textId="739B7353" w:rsidR="5EAE1521" w:rsidRDefault="5EAE1521" w:rsidP="441FF443">
      <w:pPr>
        <w:pStyle w:val="PargrafodaLista"/>
        <w:numPr>
          <w:ilvl w:val="0"/>
          <w:numId w:val="29"/>
        </w:numPr>
        <w:spacing w:after="80"/>
        <w:ind w:left="540" w:hanging="270"/>
        <w:rPr>
          <w:rFonts w:cs="Arial"/>
          <w:color w:val="262626" w:themeColor="text1" w:themeTint="D9"/>
        </w:rPr>
      </w:pPr>
      <w:r w:rsidRPr="441FF443">
        <w:rPr>
          <w:rFonts w:cs="Arial"/>
          <w:color w:val="262626" w:themeColor="text1" w:themeTint="D9"/>
        </w:rPr>
        <w:t>Maior disponibilidade do ambiente</w:t>
      </w:r>
    </w:p>
    <w:p w14:paraId="358630AF" w14:textId="5CC2AE15" w:rsidR="5EAE1521" w:rsidRDefault="5EAE1521" w:rsidP="441FF443">
      <w:pPr>
        <w:pStyle w:val="PargrafodaLista"/>
        <w:numPr>
          <w:ilvl w:val="0"/>
          <w:numId w:val="29"/>
        </w:numPr>
        <w:spacing w:after="80"/>
        <w:ind w:left="540" w:hanging="270"/>
        <w:rPr>
          <w:rFonts w:cs="Arial"/>
          <w:color w:val="262626" w:themeColor="text1" w:themeTint="D9"/>
        </w:rPr>
      </w:pPr>
      <w:r w:rsidRPr="441FF443">
        <w:rPr>
          <w:rFonts w:cs="Arial"/>
          <w:color w:val="262626" w:themeColor="text1" w:themeTint="D9"/>
        </w:rPr>
        <w:t>Redução do risco de indisponibilidade do sistema</w:t>
      </w:r>
    </w:p>
    <w:p w14:paraId="5ABD4215" w14:textId="0F0C128D" w:rsidR="5EAE1521" w:rsidRDefault="5EAE1521" w:rsidP="441FF443">
      <w:pPr>
        <w:pStyle w:val="PargrafodaLista"/>
        <w:numPr>
          <w:ilvl w:val="0"/>
          <w:numId w:val="29"/>
        </w:numPr>
        <w:spacing w:after="80"/>
        <w:ind w:left="540" w:hanging="270"/>
        <w:rPr>
          <w:rFonts w:cs="Arial"/>
          <w:color w:val="262626" w:themeColor="text1" w:themeTint="D9"/>
        </w:rPr>
      </w:pPr>
      <w:r w:rsidRPr="441FF443">
        <w:rPr>
          <w:rFonts w:cs="Arial"/>
          <w:color w:val="262626" w:themeColor="text1" w:themeTint="D9"/>
        </w:rPr>
        <w:t>Melhoria na estabilidade da infraestrutura que suporta a aplicação</w:t>
      </w:r>
    </w:p>
    <w:p w14:paraId="7D136D5F" w14:textId="35EFFC05" w:rsidR="0BE72183" w:rsidRDefault="0BE72183" w:rsidP="441FF443">
      <w:pPr>
        <w:pStyle w:val="Ttulo2"/>
      </w:pPr>
      <w:bookmarkStart w:id="96" w:name="_Toc234254722"/>
      <w:bookmarkStart w:id="97" w:name="_Toc234260367"/>
      <w:r w:rsidRPr="441FF443">
        <w:t>7.</w:t>
      </w:r>
      <w:r w:rsidR="6C551C74" w:rsidRPr="441FF443">
        <w:t>3</w:t>
      </w:r>
      <w:r w:rsidRPr="441FF443">
        <w:t xml:space="preserve"> </w:t>
      </w:r>
      <w:r w:rsidR="5EAE1521" w:rsidRPr="441FF443">
        <w:t>Implantação do Protocolo IEEE 802.1X</w:t>
      </w:r>
      <w:bookmarkEnd w:id="96"/>
      <w:bookmarkEnd w:id="97"/>
    </w:p>
    <w:p w14:paraId="1D31AE20" w14:textId="369B80A4" w:rsidR="5EAE1521" w:rsidRDefault="5EAE1521" w:rsidP="441FF443">
      <w:pPr>
        <w:spacing w:after="160"/>
        <w:rPr>
          <w:rFonts w:cs="Arial"/>
          <w:color w:val="404040" w:themeColor="text1" w:themeTint="BF"/>
        </w:rPr>
      </w:pPr>
      <w:r w:rsidRPr="441FF443">
        <w:rPr>
          <w:rFonts w:cs="Arial"/>
          <w:color w:val="404040" w:themeColor="text1" w:themeTint="BF"/>
        </w:rPr>
        <w:t>Implantação da autenticação de dispositivos na rede corporativa por meio do protocolo IEEE 802.1X.</w:t>
      </w:r>
    </w:p>
    <w:p w14:paraId="6D0D199A" w14:textId="0AFCF669" w:rsidR="5EAE1521" w:rsidRDefault="5EAE1521" w:rsidP="441FF443">
      <w:pPr>
        <w:spacing w:before="120" w:after="100"/>
        <w:rPr>
          <w:rFonts w:cs="Arial"/>
          <w:b/>
          <w:bCs/>
          <w:i/>
          <w:iCs/>
          <w:color w:val="1F4E79" w:themeColor="accent5" w:themeShade="80"/>
        </w:rPr>
      </w:pPr>
      <w:r w:rsidRPr="441FF443">
        <w:rPr>
          <w:rFonts w:cs="Arial"/>
          <w:b/>
          <w:bCs/>
          <w:i/>
          <w:iCs/>
          <w:color w:val="1F4E79" w:themeColor="accent5" w:themeShade="80"/>
        </w:rPr>
        <w:t>Melhorias implementadas</w:t>
      </w:r>
    </w:p>
    <w:p w14:paraId="4AC7CB71" w14:textId="5D25DCC1" w:rsidR="5EAE1521" w:rsidRDefault="5EAE1521" w:rsidP="441FF443">
      <w:pPr>
        <w:pStyle w:val="PargrafodaLista"/>
        <w:numPr>
          <w:ilvl w:val="0"/>
          <w:numId w:val="28"/>
        </w:numPr>
        <w:spacing w:after="80"/>
        <w:ind w:left="540" w:hanging="270"/>
        <w:rPr>
          <w:rFonts w:cs="Arial"/>
          <w:color w:val="262626" w:themeColor="text1" w:themeTint="D9"/>
        </w:rPr>
      </w:pPr>
      <w:r w:rsidRPr="441FF443">
        <w:rPr>
          <w:rFonts w:cs="Arial"/>
          <w:color w:val="262626" w:themeColor="text1" w:themeTint="D9"/>
        </w:rPr>
        <w:t>Autenticação de equipamentos antes da liberação do acesso à rede</w:t>
      </w:r>
    </w:p>
    <w:p w14:paraId="2C37A24E" w14:textId="11E990DA" w:rsidR="5EAE1521" w:rsidRDefault="5EAE1521" w:rsidP="441FF443">
      <w:pPr>
        <w:pStyle w:val="PargrafodaLista"/>
        <w:numPr>
          <w:ilvl w:val="0"/>
          <w:numId w:val="28"/>
        </w:numPr>
        <w:spacing w:after="80"/>
        <w:ind w:left="540" w:hanging="270"/>
        <w:rPr>
          <w:rFonts w:cs="Arial"/>
          <w:color w:val="262626" w:themeColor="text1" w:themeTint="D9"/>
        </w:rPr>
      </w:pPr>
      <w:r w:rsidRPr="441FF443">
        <w:rPr>
          <w:rFonts w:cs="Arial"/>
          <w:color w:val="262626" w:themeColor="text1" w:themeTint="D9"/>
        </w:rPr>
        <w:t>Vinculação (amarração) de endereços MAC para equipamentos institucionais</w:t>
      </w:r>
    </w:p>
    <w:p w14:paraId="60C100ED" w14:textId="005FDA5F" w:rsidR="5EAE1521" w:rsidRDefault="5EAE1521" w:rsidP="441FF443">
      <w:pPr>
        <w:pStyle w:val="PargrafodaLista"/>
        <w:numPr>
          <w:ilvl w:val="0"/>
          <w:numId w:val="28"/>
        </w:numPr>
        <w:spacing w:after="80"/>
        <w:ind w:left="540" w:hanging="270"/>
        <w:rPr>
          <w:rFonts w:cs="Arial"/>
          <w:color w:val="262626" w:themeColor="text1" w:themeTint="D9"/>
        </w:rPr>
      </w:pPr>
      <w:r w:rsidRPr="441FF443">
        <w:rPr>
          <w:rFonts w:cs="Arial"/>
          <w:color w:val="262626" w:themeColor="text1" w:themeTint="D9"/>
        </w:rPr>
        <w:lastRenderedPageBreak/>
        <w:t>Maior controle sobre o acesso à rede Wi-Fi corporativa</w:t>
      </w:r>
    </w:p>
    <w:p w14:paraId="1A26849D" w14:textId="001C8172" w:rsidR="441FF443" w:rsidRDefault="441FF443" w:rsidP="441FF443">
      <w:pPr>
        <w:pStyle w:val="PargrafodaLista"/>
        <w:spacing w:after="80"/>
        <w:ind w:left="540" w:hanging="270"/>
        <w:rPr>
          <w:rFonts w:cs="Arial"/>
          <w:color w:val="262626" w:themeColor="text1" w:themeTint="D9"/>
        </w:rPr>
      </w:pPr>
    </w:p>
    <w:p w14:paraId="31778B37" w14:textId="6DBFA818" w:rsidR="441FF443" w:rsidRDefault="441FF443" w:rsidP="441FF443">
      <w:pPr>
        <w:pStyle w:val="PargrafodaLista"/>
        <w:spacing w:after="80"/>
        <w:ind w:left="540" w:hanging="270"/>
        <w:rPr>
          <w:rFonts w:cs="Arial"/>
          <w:color w:val="262626" w:themeColor="text1" w:themeTint="D9"/>
          <w:sz w:val="22"/>
          <w:szCs w:val="22"/>
        </w:rPr>
      </w:pPr>
    </w:p>
    <w:p w14:paraId="7E6E9FD7" w14:textId="216B0E4C" w:rsidR="6888FDA7" w:rsidRDefault="6888FDA7" w:rsidP="441FF443">
      <w:pPr>
        <w:pStyle w:val="Ttulo2"/>
        <w:spacing w:after="80"/>
        <w:ind w:left="0"/>
      </w:pPr>
      <w:bookmarkStart w:id="98" w:name="_Toc234254723"/>
      <w:bookmarkStart w:id="99" w:name="_Toc234260368"/>
      <w:r w:rsidRPr="441FF443">
        <w:t>7.</w:t>
      </w:r>
      <w:r w:rsidR="4E584D6E" w:rsidRPr="441FF443">
        <w:t>4</w:t>
      </w:r>
      <w:r w:rsidRPr="441FF443">
        <w:t xml:space="preserve"> P</w:t>
      </w:r>
      <w:r w:rsidR="6D0FF75D" w:rsidRPr="441FF443">
        <w:t xml:space="preserve">rotocolos </w:t>
      </w:r>
      <w:r w:rsidR="5FF7FAD2" w:rsidRPr="441FF443">
        <w:t>a</w:t>
      </w:r>
      <w:r w:rsidR="6D0FF75D" w:rsidRPr="441FF443">
        <w:t xml:space="preserve">ssistenciais </w:t>
      </w:r>
      <w:r w:rsidR="25F22B5F" w:rsidRPr="441FF443">
        <w:t>p</w:t>
      </w:r>
      <w:r w:rsidR="6D0FF75D" w:rsidRPr="441FF443">
        <w:t xml:space="preserve">adronizado para </w:t>
      </w:r>
      <w:r w:rsidR="13D09CC7" w:rsidRPr="441FF443">
        <w:t>r</w:t>
      </w:r>
      <w:r w:rsidR="6D0FF75D" w:rsidRPr="441FF443">
        <w:t xml:space="preserve">otina </w:t>
      </w:r>
      <w:r w:rsidR="6476E324" w:rsidRPr="441FF443">
        <w:t>médica</w:t>
      </w:r>
      <w:bookmarkEnd w:id="98"/>
      <w:bookmarkEnd w:id="99"/>
    </w:p>
    <w:p w14:paraId="7B4D4C56" w14:textId="6F65724D" w:rsidR="6D0FF75D" w:rsidRDefault="6D0FF75D" w:rsidP="441FF443">
      <w:pPr>
        <w:rPr>
          <w:rFonts w:cs="Arial"/>
        </w:rPr>
      </w:pPr>
      <w:r w:rsidRPr="441FF443">
        <w:rPr>
          <w:rFonts w:cs="Arial"/>
        </w:rPr>
        <w:t>Foi realizada a implementação dos protocolos assistenciais no sistema MV, permitindo que as prescrições padronizadas fiquem disponíveis diretamente na rotina médica. Com essa funcionalidade, o profissional pode selecionar o protocolo desejado de forma rápida e segura, garantindo maior padronização das condutas, agilidade na prescrição e redução de erros operacionais, contribuindo para a qualidade e a segurança da assistência ao paciente.</w:t>
      </w:r>
    </w:p>
    <w:p w14:paraId="2C1C8256" w14:textId="19FB5988" w:rsidR="018D9950" w:rsidRDefault="018D9950" w:rsidP="441FF443">
      <w:pPr>
        <w:pStyle w:val="PargrafodaLista"/>
        <w:spacing w:after="80"/>
        <w:ind w:left="540" w:hanging="270"/>
      </w:pPr>
      <w:r>
        <w:rPr>
          <w:noProof/>
        </w:rPr>
        <w:drawing>
          <wp:inline distT="0" distB="0" distL="0" distR="0" wp14:anchorId="10C802B3" wp14:editId="6B4B9C0D">
            <wp:extent cx="5073366" cy="2160000"/>
            <wp:effectExtent l="0" t="0" r="0" b="0"/>
            <wp:docPr id="1723834186" name="Imagem 1723834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834186" name="Picture 1723834186"/>
                    <pic:cNvPicPr/>
                  </pic:nvPicPr>
                  <pic:blipFill>
                    <a:blip r:embed="rId73">
                      <a:extLst>
                        <a:ext uri="{28A0092B-C50C-407E-A947-70E740481C1C}">
                          <a14:useLocalDpi xmlns:a14="http://schemas.microsoft.com/office/drawing/2010/main"/>
                        </a:ext>
                      </a:extLst>
                    </a:blip>
                    <a:stretch>
                      <a:fillRect/>
                    </a:stretch>
                  </pic:blipFill>
                  <pic:spPr>
                    <a:xfrm>
                      <a:off x="0" y="0"/>
                      <a:ext cx="5073366" cy="2160000"/>
                    </a:xfrm>
                    <a:prstGeom prst="rect">
                      <a:avLst/>
                    </a:prstGeom>
                  </pic:spPr>
                </pic:pic>
              </a:graphicData>
            </a:graphic>
          </wp:inline>
        </w:drawing>
      </w:r>
    </w:p>
    <w:p w14:paraId="6B4CE3A1" w14:textId="79EEA0CC" w:rsidR="441FF443" w:rsidRDefault="441FF443" w:rsidP="441FF443">
      <w:pPr>
        <w:pStyle w:val="PargrafodaLista"/>
        <w:spacing w:after="80"/>
        <w:ind w:left="540" w:hanging="270"/>
      </w:pPr>
    </w:p>
    <w:p w14:paraId="4B3DEF0A" w14:textId="125B848B" w:rsidR="2E6A80A1" w:rsidRDefault="2E6A80A1" w:rsidP="441FF443">
      <w:pPr>
        <w:pStyle w:val="Ttulo2"/>
      </w:pPr>
      <w:bookmarkStart w:id="100" w:name="_Toc234254724"/>
      <w:bookmarkStart w:id="101" w:name="_Toc234260369"/>
      <w:r w:rsidRPr="441FF443">
        <w:t>7.</w:t>
      </w:r>
      <w:r w:rsidR="00507D60">
        <w:t>5</w:t>
      </w:r>
      <w:r w:rsidRPr="441FF443">
        <w:t xml:space="preserve"> Painel Indicadores consumo de concentrado de </w:t>
      </w:r>
      <w:r w:rsidR="1E05D856" w:rsidRPr="441FF443">
        <w:t>hemácias</w:t>
      </w:r>
      <w:bookmarkEnd w:id="100"/>
      <w:bookmarkEnd w:id="101"/>
      <w:r w:rsidR="1E05D856" w:rsidRPr="441FF443">
        <w:t xml:space="preserve"> </w:t>
      </w:r>
    </w:p>
    <w:p w14:paraId="6669E06D" w14:textId="6DD33502" w:rsidR="2E6A80A1" w:rsidRDefault="2E6A80A1" w:rsidP="441FF443">
      <w:pPr>
        <w:rPr>
          <w:rFonts w:cs="Arial"/>
        </w:rPr>
      </w:pPr>
      <w:r w:rsidRPr="441FF443">
        <w:rPr>
          <w:rFonts w:cs="Arial"/>
        </w:rPr>
        <w:t xml:space="preserve">O painel auxilia o levantamento de consumo de concentrado de hemácias, plasma fresco, hemácias randômicas, crioprecipitados e aférese, fazendo a apresentação do consumo de unidade e volume solicitado por turno, por modalidade de urgência e o consumo por setor de internação. </w:t>
      </w:r>
    </w:p>
    <w:p w14:paraId="263483A9" w14:textId="45A0540C" w:rsidR="35095B54" w:rsidRDefault="35095B54" w:rsidP="441FF443">
      <w:r>
        <w:rPr>
          <w:noProof/>
        </w:rPr>
        <w:lastRenderedPageBreak/>
        <w:drawing>
          <wp:inline distT="0" distB="0" distL="0" distR="0" wp14:anchorId="68571D6A" wp14:editId="6B08D59F">
            <wp:extent cx="5529601" cy="2304000"/>
            <wp:effectExtent l="0" t="0" r="0" b="1270"/>
            <wp:docPr id="1772257732" name="Imagem 1772257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257732" name="Picture 1772257732"/>
                    <pic:cNvPicPr/>
                  </pic:nvPicPr>
                  <pic:blipFill>
                    <a:blip r:embed="rId74">
                      <a:extLst>
                        <a:ext uri="{28A0092B-C50C-407E-A947-70E740481C1C}">
                          <a14:useLocalDpi xmlns:a14="http://schemas.microsoft.com/office/drawing/2010/main"/>
                        </a:ext>
                      </a:extLst>
                    </a:blip>
                    <a:stretch>
                      <a:fillRect/>
                    </a:stretch>
                  </pic:blipFill>
                  <pic:spPr>
                    <a:xfrm>
                      <a:off x="0" y="0"/>
                      <a:ext cx="5529601" cy="2304000"/>
                    </a:xfrm>
                    <a:prstGeom prst="rect">
                      <a:avLst/>
                    </a:prstGeom>
                  </pic:spPr>
                </pic:pic>
              </a:graphicData>
            </a:graphic>
          </wp:inline>
        </w:drawing>
      </w:r>
    </w:p>
    <w:p w14:paraId="49B23219" w14:textId="2BDF590C" w:rsidR="441FF443" w:rsidRDefault="441FF443" w:rsidP="441FF443"/>
    <w:p w14:paraId="6A57F93F" w14:textId="65DB7B16" w:rsidR="7A9ED16D" w:rsidRDefault="7A9ED16D" w:rsidP="441FF443">
      <w:pPr>
        <w:pStyle w:val="Ttulo2"/>
      </w:pPr>
      <w:bookmarkStart w:id="102" w:name="_Toc234254725"/>
      <w:bookmarkStart w:id="103" w:name="_Toc234260370"/>
      <w:r w:rsidRPr="441FF443">
        <w:t>7.</w:t>
      </w:r>
      <w:r w:rsidR="00507D60">
        <w:t>6</w:t>
      </w:r>
      <w:r w:rsidRPr="441FF443">
        <w:t xml:space="preserve"> Instalação de novos computadores para nova UTI 5</w:t>
      </w:r>
      <w:bookmarkEnd w:id="102"/>
      <w:bookmarkEnd w:id="103"/>
    </w:p>
    <w:p w14:paraId="3C8F866F" w14:textId="4F3CC2DE" w:rsidR="4FC8C449" w:rsidRDefault="4FC8C449" w:rsidP="441FF443">
      <w:r>
        <w:rPr>
          <w:noProof/>
        </w:rPr>
        <w:drawing>
          <wp:inline distT="0" distB="0" distL="0" distR="0" wp14:anchorId="45FF163F" wp14:editId="147B0AE5">
            <wp:extent cx="4802653" cy="3600000"/>
            <wp:effectExtent l="0" t="0" r="0" b="635"/>
            <wp:docPr id="689800128" name="Imagem 689800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800128" name="Picture 689800128"/>
                    <pic:cNvPicPr/>
                  </pic:nvPicPr>
                  <pic:blipFill>
                    <a:blip r:embed="rId75">
                      <a:extLst>
                        <a:ext uri="{28A0092B-C50C-407E-A947-70E740481C1C}">
                          <a14:useLocalDpi xmlns:a14="http://schemas.microsoft.com/office/drawing/2010/main"/>
                        </a:ext>
                      </a:extLst>
                    </a:blip>
                    <a:stretch>
                      <a:fillRect/>
                    </a:stretch>
                  </pic:blipFill>
                  <pic:spPr>
                    <a:xfrm>
                      <a:off x="0" y="0"/>
                      <a:ext cx="4802653" cy="3600000"/>
                    </a:xfrm>
                    <a:prstGeom prst="rect">
                      <a:avLst/>
                    </a:prstGeom>
                  </pic:spPr>
                </pic:pic>
              </a:graphicData>
            </a:graphic>
          </wp:inline>
        </w:drawing>
      </w:r>
    </w:p>
    <w:p w14:paraId="31661247" w14:textId="2472B7BF" w:rsidR="441FF443" w:rsidRDefault="441FF443" w:rsidP="441FF443"/>
    <w:p w14:paraId="5BB29136" w14:textId="1F290FDA" w:rsidR="4030B0A9" w:rsidRDefault="4030B0A9" w:rsidP="441FF443">
      <w:pPr>
        <w:pStyle w:val="Ttulo2"/>
      </w:pPr>
      <w:bookmarkStart w:id="104" w:name="_Toc234254726"/>
      <w:bookmarkStart w:id="105" w:name="_Toc234260371"/>
      <w:r w:rsidRPr="441FF443">
        <w:lastRenderedPageBreak/>
        <w:t>7.</w:t>
      </w:r>
      <w:r w:rsidR="00507D60">
        <w:t>7</w:t>
      </w:r>
      <w:r w:rsidRPr="441FF443">
        <w:t xml:space="preserve"> Treinamento na abertura de chamado no</w:t>
      </w:r>
      <w:r w:rsidR="4F58FB1C" w:rsidRPr="441FF443">
        <w:t xml:space="preserve"> sistema</w:t>
      </w:r>
      <w:r w:rsidRPr="441FF443">
        <w:t xml:space="preserve"> </w:t>
      </w:r>
      <w:proofErr w:type="spellStart"/>
      <w:r w:rsidRPr="441FF443">
        <w:t>servicenow</w:t>
      </w:r>
      <w:bookmarkEnd w:id="104"/>
      <w:bookmarkEnd w:id="105"/>
      <w:proofErr w:type="spellEnd"/>
    </w:p>
    <w:p w14:paraId="42145752" w14:textId="30AFE64D" w:rsidR="39DC859A" w:rsidRDefault="39DC859A" w:rsidP="441FF443">
      <w:r>
        <w:rPr>
          <w:noProof/>
        </w:rPr>
        <w:drawing>
          <wp:inline distT="0" distB="0" distL="0" distR="0" wp14:anchorId="4FD18A12" wp14:editId="2E2EA207">
            <wp:extent cx="3739653" cy="2520000"/>
            <wp:effectExtent l="0" t="0" r="0" b="0"/>
            <wp:docPr id="1617837671" name="Imagem 1617837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837671" name="Picture 1617837671"/>
                    <pic:cNvPicPr/>
                  </pic:nvPicPr>
                  <pic:blipFill>
                    <a:blip r:embed="rId76">
                      <a:extLst>
                        <a:ext uri="{28A0092B-C50C-407E-A947-70E740481C1C}">
                          <a14:useLocalDpi xmlns:a14="http://schemas.microsoft.com/office/drawing/2010/main"/>
                        </a:ext>
                      </a:extLst>
                    </a:blip>
                    <a:stretch>
                      <a:fillRect/>
                    </a:stretch>
                  </pic:blipFill>
                  <pic:spPr>
                    <a:xfrm>
                      <a:off x="0" y="0"/>
                      <a:ext cx="3739653" cy="2520000"/>
                    </a:xfrm>
                    <a:prstGeom prst="rect">
                      <a:avLst/>
                    </a:prstGeom>
                  </pic:spPr>
                </pic:pic>
              </a:graphicData>
            </a:graphic>
          </wp:inline>
        </w:drawing>
      </w:r>
    </w:p>
    <w:p w14:paraId="6E7FA05A" w14:textId="3B9FD7FB" w:rsidR="441FF443" w:rsidRDefault="441FF443" w:rsidP="441FF443"/>
    <w:p w14:paraId="50D0D2D5" w14:textId="3614B8BF" w:rsidR="3D9CCDCD" w:rsidRDefault="1DBC9535" w:rsidP="083F9308">
      <w:pPr>
        <w:pStyle w:val="Ttulo2"/>
        <w:spacing w:before="299" w:after="299" w:line="249" w:lineRule="auto"/>
      </w:pPr>
      <w:bookmarkStart w:id="106" w:name="_Toc226750663"/>
      <w:bookmarkStart w:id="107" w:name="_Toc234260372"/>
      <w:bookmarkEnd w:id="106"/>
      <w:r>
        <w:t>8</w:t>
      </w:r>
      <w:r w:rsidR="02A60D75">
        <w:t>. Procedimentos de Alta Complexidade</w:t>
      </w:r>
      <w:r w:rsidR="00051D09">
        <w:t xml:space="preserve"> </w:t>
      </w:r>
      <w:r w:rsidR="00051D09" w:rsidRPr="42D9887B">
        <w:rPr>
          <w:bCs/>
        </w:rPr>
        <w:t>e Marcos Assistenciais</w:t>
      </w:r>
      <w:bookmarkEnd w:id="107"/>
    </w:p>
    <w:p w14:paraId="229B262A" w14:textId="77777777" w:rsidR="00051D09" w:rsidRPr="006D2194" w:rsidRDefault="00051D09" w:rsidP="00051D09">
      <w:pPr>
        <w:spacing w:before="240" w:after="240" w:line="360" w:lineRule="auto"/>
        <w:rPr>
          <w:sz w:val="22"/>
          <w:szCs w:val="22"/>
        </w:rPr>
      </w:pPr>
      <w:r w:rsidRPr="006D2194">
        <w:rPr>
          <w:rFonts w:cs="Arial"/>
        </w:rPr>
        <w:t>No período analisado, o HUGO manteve a realização de procedimentos cirúrgicos de elevada complexidade e avançou na incorporação de práticas assistenciais inovadoras, consolidando sua atuação como referência estadual em urgência, trauma e neurocirurgia de alta especialização no âmbito do Sistema Único de Saúde (SUS).</w:t>
      </w:r>
    </w:p>
    <w:p w14:paraId="3513CED5" w14:textId="77777777" w:rsidR="00051D09" w:rsidRPr="006D2194" w:rsidRDefault="00051D09" w:rsidP="00051D09">
      <w:pPr>
        <w:spacing w:before="240" w:after="240" w:line="360" w:lineRule="auto"/>
        <w:rPr>
          <w:sz w:val="22"/>
          <w:szCs w:val="22"/>
        </w:rPr>
      </w:pPr>
      <w:r w:rsidRPr="006D2194">
        <w:rPr>
          <w:rFonts w:cs="Arial"/>
        </w:rPr>
        <w:t>Durante o mês de junho, destacou-se a consolidação da técnica de neurocirurgia com paciente acordado (</w:t>
      </w:r>
      <w:proofErr w:type="spellStart"/>
      <w:r w:rsidRPr="006D2194">
        <w:rPr>
          <w:rFonts w:cs="Arial"/>
        </w:rPr>
        <w:t>Awake</w:t>
      </w:r>
      <w:proofErr w:type="spellEnd"/>
      <w:r w:rsidRPr="006D2194">
        <w:rPr>
          <w:rFonts w:cs="Arial"/>
        </w:rPr>
        <w:t xml:space="preserve"> </w:t>
      </w:r>
      <w:proofErr w:type="spellStart"/>
      <w:r w:rsidRPr="006D2194">
        <w:rPr>
          <w:rFonts w:cs="Arial"/>
        </w:rPr>
        <w:t>Surgery</w:t>
      </w:r>
      <w:proofErr w:type="spellEnd"/>
      <w:r w:rsidRPr="006D2194">
        <w:rPr>
          <w:rFonts w:cs="Arial"/>
        </w:rPr>
        <w:t>), marco institucional que evidencia a maturidade assistencial, a integração entre Neurocirurgia, Anestesiologia, Centro Cirúrgico e equipes multiprofissionais, além da sólida cultura de segurança desenvolvida pela instituição. A técnica possibilita o monitoramento contínuo de funções neurológicas críticas durante o procedimento, favorecendo a preservação funcional e melhores desfechos clínicos em pacientes submetidos a cirurgias de alta complexidade.</w:t>
      </w:r>
    </w:p>
    <w:p w14:paraId="53F29659" w14:textId="77777777" w:rsidR="00051D09" w:rsidRPr="006D2194" w:rsidRDefault="00051D09" w:rsidP="00051D09">
      <w:pPr>
        <w:spacing w:before="240" w:after="240" w:line="360" w:lineRule="auto"/>
        <w:rPr>
          <w:sz w:val="22"/>
          <w:szCs w:val="22"/>
        </w:rPr>
      </w:pPr>
      <w:r w:rsidRPr="006D2194">
        <w:rPr>
          <w:rFonts w:cs="Arial"/>
        </w:rPr>
        <w:t xml:space="preserve">Outro destaque foi a atuação da equipe de Cirurgia Bucomaxilofacial, que, por meio de abordagem conservadora especializada, utilizando placa protetora individualizada, </w:t>
      </w:r>
      <w:r w:rsidRPr="006D2194">
        <w:rPr>
          <w:rFonts w:cs="Arial"/>
        </w:rPr>
        <w:lastRenderedPageBreak/>
        <w:t>laserterapia e acompanhamento clínico intensivo, conseguiu preservar a língua de uma paciente com importante comprometimento vascular e áreas de necrose, evitando a necessidade de glossectomia. O caso representa um exemplo de assistência altamente especializada, com foco na preservação funcional, redução de sequelas permanentes e melhoria da qualidade de vida.</w:t>
      </w:r>
    </w:p>
    <w:p w14:paraId="1C7EAD6D" w14:textId="77777777" w:rsidR="00051D09" w:rsidRPr="006D2194" w:rsidRDefault="00051D09" w:rsidP="00051D09">
      <w:pPr>
        <w:spacing w:before="240" w:after="240" w:line="360" w:lineRule="auto"/>
        <w:rPr>
          <w:sz w:val="22"/>
          <w:szCs w:val="22"/>
        </w:rPr>
      </w:pPr>
      <w:r w:rsidRPr="006D2194">
        <w:rPr>
          <w:rFonts w:cs="Arial"/>
        </w:rPr>
        <w:t>O período também foi marcado pela continuidade da realização de procedimentos neurocirúrgicos complexos, incluindo intervenções para tratamento de malformações arteriovenosas cerebrais (MAV) e outras patologias neurológicas de elevada complexidade, reafirmando a capacidade técnica da equipe e a resolutividade da instituição frente aos casos de maior gravidade encaminhados pela rede estadual.</w:t>
      </w:r>
    </w:p>
    <w:p w14:paraId="42CFE0F3" w14:textId="77777777" w:rsidR="00051D09" w:rsidRPr="006D2194" w:rsidRDefault="00051D09" w:rsidP="00051D09">
      <w:pPr>
        <w:spacing w:before="240" w:after="240" w:line="360" w:lineRule="auto"/>
        <w:rPr>
          <w:sz w:val="22"/>
          <w:szCs w:val="22"/>
        </w:rPr>
      </w:pPr>
      <w:r w:rsidRPr="006D2194">
        <w:rPr>
          <w:rFonts w:cs="Arial"/>
        </w:rPr>
        <w:t>Esses resultados reforçam o compromisso do HUGO com a qualificação contínua da assistência, a incorporação segura de técnicas avançadas e o fortalecimento de uma cultura institucional orientada pela excelência assistencial, segurança do paciente e ampliação do acesso da população goiana a tratamentos especializados de alta complexidade no SUS.</w:t>
      </w:r>
    </w:p>
    <w:p w14:paraId="219BD38A" w14:textId="020FA40B" w:rsidR="007A26A1" w:rsidRDefault="007A26A1" w:rsidP="007A26A1">
      <w:pPr>
        <w:pStyle w:val="Ttulo2"/>
        <w:spacing w:before="299" w:after="299" w:line="249" w:lineRule="auto"/>
      </w:pPr>
      <w:bookmarkStart w:id="108" w:name="_Toc234260373"/>
      <w:r>
        <w:t>9. Economia Gerada</w:t>
      </w:r>
      <w:bookmarkEnd w:id="108"/>
    </w:p>
    <w:p w14:paraId="70A74F05" w14:textId="31591C9A" w:rsidR="008C3B48" w:rsidRPr="008C3B48" w:rsidRDefault="00E71A93" w:rsidP="008C3B48">
      <w:r>
        <w:tab/>
      </w:r>
      <w:r w:rsidR="008C3B48" w:rsidRPr="008C3B48">
        <w:t xml:space="preserve">A Unidade HUGO conta com o acompanhamento regular de custos por meio da metodologia de </w:t>
      </w:r>
      <w:r w:rsidR="008C3B48" w:rsidRPr="00716957">
        <w:rPr>
          <w:rFonts w:cs="Arial"/>
        </w:rPr>
        <w:t>Gerenciamento Matricial de Resultados (GMR)</w:t>
      </w:r>
      <w:r w:rsidR="008C3B48" w:rsidRPr="008C3B48">
        <w:t>, ferramenta estruturada que permite o monitoramento contínuo das iniciativas de redução de despesas e a comparação sistemática entre metas planejadas e valores efetivamente realizados ao longo do exercício.</w:t>
      </w:r>
    </w:p>
    <w:p w14:paraId="5D8F5C8A" w14:textId="5506DC72" w:rsidR="008C3B48" w:rsidRPr="008C3B48" w:rsidRDefault="008C3B48" w:rsidP="008C3B48">
      <w:r w:rsidRPr="008C3B48">
        <w:t xml:space="preserve">Por meio dessa metodologia, são mapeadas ações em diferentes frentes — </w:t>
      </w:r>
      <w:r w:rsidRPr="00716957">
        <w:rPr>
          <w:rFonts w:cs="Arial"/>
        </w:rPr>
        <w:t xml:space="preserve">Mão de Obra, Materiais e Medicamentos, Serviços, Qualidade e Segurança do Paciente (QSP) e </w:t>
      </w:r>
      <w:proofErr w:type="gramStart"/>
      <w:r w:rsidRPr="00716957">
        <w:rPr>
          <w:rFonts w:cs="Arial"/>
        </w:rPr>
        <w:t>SCIH</w:t>
      </w:r>
      <w:r w:rsidRPr="008C3B48">
        <w:t xml:space="preserve"> ,</w:t>
      </w:r>
      <w:proofErr w:type="gramEnd"/>
      <w:r w:rsidRPr="008C3B48">
        <w:t xml:space="preserve"> cada uma com responsável designado, cronograma de captura mensal, premissas de cálculo e status de execução acompanhados em painéis periódicos. Em 2026, o plano contempla </w:t>
      </w:r>
      <w:r w:rsidRPr="00716957">
        <w:rPr>
          <w:rFonts w:cs="Arial"/>
        </w:rPr>
        <w:t>45 iniciativas mapeadas</w:t>
      </w:r>
      <w:r w:rsidRPr="008C3B48">
        <w:t xml:space="preserve">, com meta consolidada de </w:t>
      </w:r>
      <w:r w:rsidRPr="00716957">
        <w:t>R$ 25,4 milhões</w:t>
      </w:r>
      <w:r w:rsidRPr="008C3B48">
        <w:t xml:space="preserve"> em economia, sendo acompanhadas </w:t>
      </w:r>
      <w:r>
        <w:t>semanalmente</w:t>
      </w:r>
      <w:r w:rsidRPr="008C3B48">
        <w:t xml:space="preserve"> para garantir a aderência ao plano e a tempestividade das ações corretivas.</w:t>
      </w:r>
    </w:p>
    <w:p w14:paraId="5FDDFF5C" w14:textId="24131FB0" w:rsidR="008C3B48" w:rsidRPr="008C3B48" w:rsidRDefault="008C3B48" w:rsidP="00716957">
      <w:pPr>
        <w:ind w:left="0"/>
      </w:pPr>
      <w:r>
        <w:t xml:space="preserve">Até o momento já </w:t>
      </w:r>
      <w:r w:rsidR="0046132F">
        <w:t>foi realizado</w:t>
      </w:r>
      <w:r>
        <w:t xml:space="preserve"> um </w:t>
      </w:r>
      <w:proofErr w:type="spellStart"/>
      <w:r w:rsidR="0046132F">
        <w:t>s</w:t>
      </w:r>
      <w:r>
        <w:t>aving</w:t>
      </w:r>
      <w:proofErr w:type="spellEnd"/>
      <w:r>
        <w:t xml:space="preserve"> de</w:t>
      </w:r>
      <w:r w:rsidR="005E1B8B">
        <w:t xml:space="preserve"> </w:t>
      </w:r>
      <w:r w:rsidR="005E1B8B" w:rsidRPr="00716957">
        <w:rPr>
          <w:bCs/>
        </w:rPr>
        <w:t>R$ 6,5MM</w:t>
      </w:r>
      <w:r w:rsidR="005E1B8B" w:rsidRPr="0046132F">
        <w:rPr>
          <w:b/>
        </w:rPr>
        <w:t xml:space="preserve"> </w:t>
      </w:r>
      <w:r w:rsidR="005E1B8B">
        <w:t xml:space="preserve">acumulados até </w:t>
      </w:r>
      <w:proofErr w:type="spellStart"/>
      <w:r w:rsidR="0046132F">
        <w:t>jun</w:t>
      </w:r>
      <w:proofErr w:type="spellEnd"/>
      <w:r w:rsidR="005E1B8B">
        <w:t>/26.</w:t>
      </w:r>
    </w:p>
    <w:p w14:paraId="1751B827" w14:textId="021EBE6F" w:rsidR="007A26A1" w:rsidRPr="007A26A1" w:rsidRDefault="0046132F" w:rsidP="007A26A1">
      <w:r w:rsidRPr="0046132F">
        <w:rPr>
          <w:noProof/>
        </w:rPr>
        <w:lastRenderedPageBreak/>
        <w:drawing>
          <wp:inline distT="0" distB="0" distL="0" distR="0" wp14:anchorId="08EBBDF7" wp14:editId="4C8DC412">
            <wp:extent cx="5741670" cy="2745740"/>
            <wp:effectExtent l="0" t="0" r="0" b="0"/>
            <wp:docPr id="71706750"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41670" cy="2745740"/>
                    </a:xfrm>
                    <a:prstGeom prst="rect">
                      <a:avLst/>
                    </a:prstGeom>
                    <a:noFill/>
                    <a:ln>
                      <a:noFill/>
                    </a:ln>
                  </pic:spPr>
                </pic:pic>
              </a:graphicData>
            </a:graphic>
          </wp:inline>
        </w:drawing>
      </w:r>
    </w:p>
    <w:p w14:paraId="49640E6E" w14:textId="77777777" w:rsidR="00740B5E" w:rsidRDefault="00740B5E">
      <w:pPr>
        <w:pStyle w:val="Ttulo1"/>
        <w:spacing w:after="218"/>
        <w:ind w:left="-5"/>
      </w:pPr>
      <w:r>
        <w:br w:type="page"/>
      </w:r>
    </w:p>
    <w:p w14:paraId="305427E1" w14:textId="389E32AB" w:rsidR="00A4224E" w:rsidRPr="00DE5669" w:rsidRDefault="007A26A1">
      <w:pPr>
        <w:pStyle w:val="Ttulo1"/>
        <w:spacing w:after="218"/>
        <w:ind w:left="-5"/>
      </w:pPr>
      <w:bookmarkStart w:id="109" w:name="_Toc234260374"/>
      <w:r>
        <w:lastRenderedPageBreak/>
        <w:t>10</w:t>
      </w:r>
      <w:r w:rsidR="00EE0FC9" w:rsidRPr="00DE5669">
        <w:t>. Operações</w:t>
      </w:r>
      <w:bookmarkEnd w:id="109"/>
      <w:r w:rsidR="00EE0FC9" w:rsidRPr="00DE5669">
        <w:t xml:space="preserve"> </w:t>
      </w:r>
    </w:p>
    <w:p w14:paraId="0109B320" w14:textId="1ED19DD1" w:rsidR="00EE0FC9" w:rsidRPr="00DE5669" w:rsidRDefault="009E3B73" w:rsidP="5B3774D0">
      <w:pPr>
        <w:pStyle w:val="Ttulo2"/>
        <w:ind w:left="-5"/>
        <w:rPr>
          <w:b w:val="0"/>
        </w:rPr>
      </w:pPr>
      <w:bookmarkStart w:id="110" w:name="_Toc229241834"/>
      <w:bookmarkStart w:id="111" w:name="_Toc231974404"/>
      <w:bookmarkStart w:id="112" w:name="_Toc234260375"/>
      <w:r>
        <w:rPr>
          <w:b w:val="0"/>
        </w:rPr>
        <w:t>10</w:t>
      </w:r>
      <w:r w:rsidR="0CD7A377" w:rsidRPr="00DE5669">
        <w:rPr>
          <w:b w:val="0"/>
        </w:rPr>
        <w:t xml:space="preserve">.1. </w:t>
      </w:r>
      <w:proofErr w:type="spellStart"/>
      <w:r w:rsidR="0CD7A377" w:rsidRPr="00DE5669">
        <w:t>Facilities</w:t>
      </w:r>
      <w:proofErr w:type="spellEnd"/>
      <w:r w:rsidR="0CD7A377" w:rsidRPr="00DE5669">
        <w:t xml:space="preserve"> (Higienização, Rouparia, Resíduos)</w:t>
      </w:r>
      <w:bookmarkEnd w:id="110"/>
      <w:bookmarkEnd w:id="111"/>
      <w:bookmarkEnd w:id="112"/>
    </w:p>
    <w:p w14:paraId="694F2274" w14:textId="20FDA0E1" w:rsidR="3E5633CA" w:rsidRDefault="009E3B73" w:rsidP="00A967BC">
      <w:pPr>
        <w:pStyle w:val="Ttulo3"/>
        <w:ind w:left="0"/>
      </w:pPr>
      <w:bookmarkStart w:id="113" w:name="_Toc221731954"/>
      <w:bookmarkStart w:id="114" w:name="_Toc229241835"/>
      <w:bookmarkStart w:id="115" w:name="_Toc231974405"/>
      <w:bookmarkStart w:id="116" w:name="_Toc234260376"/>
      <w:r>
        <w:rPr>
          <w:rFonts w:eastAsiaTheme="minorEastAsia" w:cs="Arial"/>
          <w:color w:val="2E75B6"/>
        </w:rPr>
        <w:t>10</w:t>
      </w:r>
      <w:r w:rsidR="523A3B24" w:rsidRPr="0AF5C935">
        <w:rPr>
          <w:rFonts w:eastAsiaTheme="minorEastAsia" w:cs="Arial"/>
          <w:color w:val="2E75B6"/>
        </w:rPr>
        <w:t xml:space="preserve">.1.1 </w:t>
      </w:r>
      <w:r w:rsidR="3BF5830C" w:rsidRPr="0AF5C935">
        <w:rPr>
          <w:rFonts w:eastAsiaTheme="minorEastAsia" w:cs="Arial"/>
          <w:color w:val="2E75B6"/>
        </w:rPr>
        <w:t>H</w:t>
      </w:r>
      <w:r w:rsidR="3BF5830C" w:rsidRPr="0AF5C935">
        <w:rPr>
          <w:rFonts w:eastAsia="Arial" w:cs="Arial"/>
        </w:rPr>
        <w:t>igienização</w:t>
      </w:r>
      <w:bookmarkEnd w:id="113"/>
      <w:bookmarkEnd w:id="114"/>
      <w:bookmarkEnd w:id="115"/>
      <w:bookmarkEnd w:id="116"/>
      <w:r w:rsidR="05DE2D43" w:rsidRPr="0AF5C935">
        <w:rPr>
          <w:rFonts w:eastAsia="Arial" w:cs="Arial"/>
        </w:rPr>
        <w:t xml:space="preserve"> </w:t>
      </w:r>
    </w:p>
    <w:p w14:paraId="45EA5E74" w14:textId="7E5E185F" w:rsidR="216B66CE" w:rsidRDefault="216B66CE" w:rsidP="00740B5E">
      <w:r>
        <w:t>Durante o mês de junho, a equipe de Higienização manteve foco na segurança do paciente, na qualidade assistencial e na disponibilidade dos ambientes hospitalares, garantindo a execução dos cronogramas de limpeza concorrente e terminal conforme os padrões institucionais e normativas sanitárias.</w:t>
      </w:r>
    </w:p>
    <w:p w14:paraId="68472E28" w14:textId="20ED21E5" w:rsidR="216B66CE" w:rsidRDefault="216B66CE" w:rsidP="00740B5E">
      <w:r>
        <w:t>Entre as principais ações desenvolvidas, destacam-se as higienizações terminais realizadas nas áreas</w:t>
      </w:r>
      <w:r w:rsidR="1701EC6B">
        <w:t xml:space="preserve"> reformadas</w:t>
      </w:r>
      <w:r>
        <w:t xml:space="preserve"> da UTI 5 e das enfermarias do 3º andar. As atividades envolveram força-tarefa operacional, permitindo a entrega dos espaços dentro do prazo estabelecido</w:t>
      </w:r>
      <w:r w:rsidR="5786CD4A">
        <w:t xml:space="preserve">. </w:t>
      </w:r>
    </w:p>
    <w:p w14:paraId="0BB85A35" w14:textId="4A254FC8" w:rsidR="6FA640C2" w:rsidRDefault="6FA640C2" w:rsidP="00740B5E">
      <w:r>
        <w:t>Também foi executado o tratamento do piso do corredor central do térreo, contemplando remoção do acabamento antigo e aplicação de nova proteção acrílica, proporcionando melhoria das condições de conservação, segurança dos usuários e valorização dos ambientes.</w:t>
      </w:r>
    </w:p>
    <w:p w14:paraId="18255DE2" w14:textId="421196A1" w:rsidR="0AF5C935" w:rsidRDefault="777F6B12" w:rsidP="0AF5C935">
      <w:pPr>
        <w:ind w:firstLine="708"/>
        <w:jc w:val="center"/>
      </w:pPr>
      <w:r>
        <w:rPr>
          <w:noProof/>
        </w:rPr>
        <w:drawing>
          <wp:anchor distT="0" distB="0" distL="114300" distR="114300" simplePos="0" relativeHeight="251658241" behindDoc="0" locked="0" layoutInCell="1" allowOverlap="1" wp14:anchorId="5C4CC5C0" wp14:editId="2880CBCF">
            <wp:simplePos x="0" y="0"/>
            <wp:positionH relativeFrom="column">
              <wp:posOffset>19050</wp:posOffset>
            </wp:positionH>
            <wp:positionV relativeFrom="paragraph">
              <wp:posOffset>95250</wp:posOffset>
            </wp:positionV>
            <wp:extent cx="5743575" cy="1828800"/>
            <wp:effectExtent l="0" t="0" r="0" b="0"/>
            <wp:wrapNone/>
            <wp:docPr id="118046386" name="Imagem 118046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46386" name="Picture 118046386"/>
                    <pic:cNvPicPr/>
                  </pic:nvPicPr>
                  <pic:blipFill>
                    <a:blip r:embed="rId78">
                      <a:extLst>
                        <a:ext uri="{28A0092B-C50C-407E-A947-70E740481C1C}">
                          <a14:useLocalDpi xmlns:a14="http://schemas.microsoft.com/office/drawing/2010/main"/>
                        </a:ext>
                      </a:extLst>
                    </a:blip>
                    <a:stretch>
                      <a:fillRect/>
                    </a:stretch>
                  </pic:blipFill>
                  <pic:spPr>
                    <a:xfrm>
                      <a:off x="0" y="0"/>
                      <a:ext cx="5743575" cy="1828800"/>
                    </a:xfrm>
                    <a:prstGeom prst="rect">
                      <a:avLst/>
                    </a:prstGeom>
                  </pic:spPr>
                </pic:pic>
              </a:graphicData>
            </a:graphic>
            <wp14:sizeRelH relativeFrom="page">
              <wp14:pctWidth>0</wp14:pctWidth>
            </wp14:sizeRelH>
            <wp14:sizeRelV relativeFrom="page">
              <wp14:pctHeight>0</wp14:pctHeight>
            </wp14:sizeRelV>
          </wp:anchor>
        </w:drawing>
      </w:r>
    </w:p>
    <w:p w14:paraId="3EB22B7B" w14:textId="0E5EE4B2" w:rsidR="6F5AE25D" w:rsidRDefault="6F5AE25D" w:rsidP="6F5AE25D">
      <w:pPr>
        <w:ind w:firstLine="708"/>
        <w:jc w:val="center"/>
      </w:pPr>
    </w:p>
    <w:p w14:paraId="47E620AE" w14:textId="7D2F9171" w:rsidR="6F5AE25D" w:rsidRDefault="6F5AE25D" w:rsidP="6F5AE25D">
      <w:pPr>
        <w:ind w:firstLine="708"/>
        <w:jc w:val="center"/>
      </w:pPr>
    </w:p>
    <w:p w14:paraId="4A992D2F" w14:textId="5F075B5D" w:rsidR="6F5AE25D" w:rsidRDefault="6F5AE25D" w:rsidP="6F5AE25D">
      <w:pPr>
        <w:ind w:firstLine="708"/>
        <w:jc w:val="center"/>
      </w:pPr>
    </w:p>
    <w:p w14:paraId="06DAF790" w14:textId="13E5ED67" w:rsidR="6F5AE25D" w:rsidRDefault="6F5AE25D" w:rsidP="6F5AE25D">
      <w:pPr>
        <w:ind w:firstLine="708"/>
        <w:jc w:val="center"/>
      </w:pPr>
    </w:p>
    <w:p w14:paraId="75814614" w14:textId="68744126" w:rsidR="6F5AE25D" w:rsidRDefault="6F5AE25D" w:rsidP="6F5AE25D">
      <w:pPr>
        <w:ind w:firstLine="708"/>
        <w:jc w:val="center"/>
      </w:pPr>
    </w:p>
    <w:p w14:paraId="38CB15BF" w14:textId="3A83825A" w:rsidR="6F5AE25D" w:rsidRDefault="08C37D89" w:rsidP="6F5AE25D">
      <w:pPr>
        <w:ind w:firstLine="708"/>
        <w:jc w:val="center"/>
      </w:pPr>
      <w:r>
        <w:rPr>
          <w:noProof/>
        </w:rPr>
        <w:drawing>
          <wp:anchor distT="0" distB="0" distL="114300" distR="114300" simplePos="0" relativeHeight="251658242" behindDoc="0" locked="0" layoutInCell="1" allowOverlap="1" wp14:anchorId="76828556" wp14:editId="406781AA">
            <wp:simplePos x="0" y="0"/>
            <wp:positionH relativeFrom="column">
              <wp:posOffset>0</wp:posOffset>
            </wp:positionH>
            <wp:positionV relativeFrom="paragraph">
              <wp:posOffset>257175</wp:posOffset>
            </wp:positionV>
            <wp:extent cx="2359869" cy="1806340"/>
            <wp:effectExtent l="0" t="0" r="0" b="0"/>
            <wp:wrapNone/>
            <wp:docPr id="614432040" name="Imagem 614432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432040" name="Picture 614432040"/>
                    <pic:cNvPicPr/>
                  </pic:nvPicPr>
                  <pic:blipFill>
                    <a:blip r:embed="rId79">
                      <a:extLst>
                        <a:ext uri="{28A0092B-C50C-407E-A947-70E740481C1C}">
                          <a14:useLocalDpi xmlns:a14="http://schemas.microsoft.com/office/drawing/2010/main"/>
                        </a:ext>
                      </a:extLst>
                    </a:blip>
                    <a:srcRect r="50580"/>
                    <a:stretch>
                      <a:fillRect/>
                    </a:stretch>
                  </pic:blipFill>
                  <pic:spPr>
                    <a:xfrm>
                      <a:off x="0" y="0"/>
                      <a:ext cx="2359869" cy="1806340"/>
                    </a:xfrm>
                    <a:prstGeom prst="rect">
                      <a:avLst/>
                    </a:prstGeom>
                  </pic:spPr>
                </pic:pic>
              </a:graphicData>
            </a:graphic>
            <wp14:sizeRelH relativeFrom="page">
              <wp14:pctWidth>0</wp14:pctWidth>
            </wp14:sizeRelH>
            <wp14:sizeRelV relativeFrom="page">
              <wp14:pctHeight>0</wp14:pctHeight>
            </wp14:sizeRelV>
          </wp:anchor>
        </w:drawing>
      </w:r>
      <w:r w:rsidR="1B6AB6AB">
        <w:rPr>
          <w:noProof/>
        </w:rPr>
        <w:drawing>
          <wp:anchor distT="0" distB="0" distL="114300" distR="114300" simplePos="0" relativeHeight="251658244" behindDoc="0" locked="0" layoutInCell="1" allowOverlap="1" wp14:anchorId="2F4B3359" wp14:editId="2A5144CD">
            <wp:simplePos x="0" y="0"/>
            <wp:positionH relativeFrom="column">
              <wp:posOffset>4324350</wp:posOffset>
            </wp:positionH>
            <wp:positionV relativeFrom="paragraph">
              <wp:posOffset>200025</wp:posOffset>
            </wp:positionV>
            <wp:extent cx="1395020" cy="1817414"/>
            <wp:effectExtent l="0" t="0" r="0" b="0"/>
            <wp:wrapNone/>
            <wp:docPr id="1006104115" name="Imagem 1006104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104115" name="Picture 1006104115"/>
                    <pic:cNvPicPr/>
                  </pic:nvPicPr>
                  <pic:blipFill>
                    <a:blip r:embed="rId80">
                      <a:extLst>
                        <a:ext uri="{28A0092B-C50C-407E-A947-70E740481C1C}">
                          <a14:useLocalDpi xmlns:a14="http://schemas.microsoft.com/office/drawing/2010/main"/>
                        </a:ext>
                      </a:extLst>
                    </a:blip>
                    <a:stretch>
                      <a:fillRect/>
                    </a:stretch>
                  </pic:blipFill>
                  <pic:spPr>
                    <a:xfrm>
                      <a:off x="0" y="0"/>
                      <a:ext cx="1395020" cy="1817414"/>
                    </a:xfrm>
                    <a:prstGeom prst="rect">
                      <a:avLst/>
                    </a:prstGeom>
                  </pic:spPr>
                </pic:pic>
              </a:graphicData>
            </a:graphic>
            <wp14:sizeRelH relativeFrom="page">
              <wp14:pctWidth>0</wp14:pctWidth>
            </wp14:sizeRelH>
            <wp14:sizeRelV relativeFrom="page">
              <wp14:pctHeight>0</wp14:pctHeight>
            </wp14:sizeRelV>
          </wp:anchor>
        </w:drawing>
      </w:r>
    </w:p>
    <w:p w14:paraId="6BAB52B0" w14:textId="2E1E4947" w:rsidR="6F5AE25D" w:rsidRDefault="215D26B0" w:rsidP="6F5AE25D">
      <w:pPr>
        <w:ind w:firstLine="708"/>
        <w:jc w:val="center"/>
      </w:pPr>
      <w:r>
        <w:rPr>
          <w:noProof/>
        </w:rPr>
        <w:drawing>
          <wp:anchor distT="0" distB="0" distL="114300" distR="114300" simplePos="0" relativeHeight="251658246" behindDoc="0" locked="0" layoutInCell="1" allowOverlap="1" wp14:anchorId="23D13686" wp14:editId="645E0A85">
            <wp:simplePos x="0" y="0"/>
            <wp:positionH relativeFrom="column">
              <wp:posOffset>2409825</wp:posOffset>
            </wp:positionH>
            <wp:positionV relativeFrom="paragraph">
              <wp:posOffset>-57150</wp:posOffset>
            </wp:positionV>
            <wp:extent cx="1698248" cy="1789226"/>
            <wp:effectExtent l="0" t="0" r="0" b="0"/>
            <wp:wrapNone/>
            <wp:docPr id="1758187003" name="Imagem 1758187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187003" name="Picture 1758187003"/>
                    <pic:cNvPicPr/>
                  </pic:nvPicPr>
                  <pic:blipFill>
                    <a:blip r:embed="rId81">
                      <a:extLst>
                        <a:ext uri="{28A0092B-C50C-407E-A947-70E740481C1C}">
                          <a14:useLocalDpi xmlns:a14="http://schemas.microsoft.com/office/drawing/2010/main"/>
                        </a:ext>
                      </a:extLst>
                    </a:blip>
                    <a:stretch>
                      <a:fillRect/>
                    </a:stretch>
                  </pic:blipFill>
                  <pic:spPr>
                    <a:xfrm>
                      <a:off x="0" y="0"/>
                      <a:ext cx="1698248" cy="1789226"/>
                    </a:xfrm>
                    <a:prstGeom prst="rect">
                      <a:avLst/>
                    </a:prstGeom>
                  </pic:spPr>
                </pic:pic>
              </a:graphicData>
            </a:graphic>
            <wp14:sizeRelH relativeFrom="page">
              <wp14:pctWidth>0</wp14:pctWidth>
            </wp14:sizeRelH>
            <wp14:sizeRelV relativeFrom="page">
              <wp14:pctHeight>0</wp14:pctHeight>
            </wp14:sizeRelV>
          </wp:anchor>
        </w:drawing>
      </w:r>
    </w:p>
    <w:p w14:paraId="09868400" w14:textId="2D91B4F8" w:rsidR="6F5AE25D" w:rsidRDefault="6F5AE25D" w:rsidP="777F6B12">
      <w:pPr>
        <w:jc w:val="center"/>
      </w:pPr>
    </w:p>
    <w:p w14:paraId="71FF7E9D" w14:textId="7F4F6D28" w:rsidR="777F6B12" w:rsidRDefault="777F6B12" w:rsidP="777F6B12">
      <w:pPr>
        <w:jc w:val="center"/>
      </w:pPr>
    </w:p>
    <w:p w14:paraId="6EFF91E8" w14:textId="0C571E07" w:rsidR="777F6B12" w:rsidRDefault="777F6B12" w:rsidP="777F6B12">
      <w:pPr>
        <w:jc w:val="center"/>
      </w:pPr>
    </w:p>
    <w:p w14:paraId="56C8A9CF" w14:textId="4B9BB74C" w:rsidR="777F6B12" w:rsidRDefault="777F6B12" w:rsidP="777F6B12">
      <w:pPr>
        <w:jc w:val="center"/>
      </w:pPr>
    </w:p>
    <w:p w14:paraId="4DADBDBF" w14:textId="318A3502" w:rsidR="216B66CE" w:rsidRDefault="216B66CE" w:rsidP="00740B5E">
      <w:r>
        <w:lastRenderedPageBreak/>
        <w:t>Como estratégia de melhoria contínua da gestão operacional, foi implantado o painel digital de gestão à vista da higienização de leitos, permitindo o monitoramento em tempo real das altas hospitalares, dos leitos em processo de limpeza e dos prazos para liberação dos leitos, contribuindo para maior agilidade na disponibilidade assistencial.</w:t>
      </w:r>
    </w:p>
    <w:p w14:paraId="49994B6C" w14:textId="188260EA" w:rsidR="1E9A0AF9" w:rsidRDefault="1E9A0AF9" w:rsidP="1E9A0AF9">
      <w:r>
        <w:rPr>
          <w:noProof/>
        </w:rPr>
        <w:drawing>
          <wp:anchor distT="0" distB="0" distL="114300" distR="114300" simplePos="0" relativeHeight="251658243" behindDoc="0" locked="0" layoutInCell="1" allowOverlap="1" wp14:anchorId="55826D5B" wp14:editId="03960524">
            <wp:simplePos x="0" y="0"/>
            <wp:positionH relativeFrom="column">
              <wp:posOffset>-28575</wp:posOffset>
            </wp:positionH>
            <wp:positionV relativeFrom="paragraph">
              <wp:posOffset>76200</wp:posOffset>
            </wp:positionV>
            <wp:extent cx="2599809" cy="2086187"/>
            <wp:effectExtent l="0" t="0" r="0" b="0"/>
            <wp:wrapNone/>
            <wp:docPr id="619818057" name="Imagem 619818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818057" name="Picture 619818057"/>
                    <pic:cNvPicPr/>
                  </pic:nvPicPr>
                  <pic:blipFill>
                    <a:blip r:embed="rId82">
                      <a:extLst>
                        <a:ext uri="{28A0092B-C50C-407E-A947-70E740481C1C}">
                          <a14:useLocalDpi xmlns:a14="http://schemas.microsoft.com/office/drawing/2010/main"/>
                        </a:ext>
                      </a:extLst>
                    </a:blip>
                    <a:stretch>
                      <a:fillRect/>
                    </a:stretch>
                  </pic:blipFill>
                  <pic:spPr>
                    <a:xfrm>
                      <a:off x="0" y="0"/>
                      <a:ext cx="2599809" cy="2086187"/>
                    </a:xfrm>
                    <a:prstGeom prst="rect">
                      <a:avLst/>
                    </a:prstGeom>
                  </pic:spPr>
                </pic:pic>
              </a:graphicData>
            </a:graphic>
            <wp14:sizeRelH relativeFrom="page">
              <wp14:pctWidth>0</wp14:pctWidth>
            </wp14:sizeRelH>
            <wp14:sizeRelV relativeFrom="page">
              <wp14:pctHeight>0</wp14:pctHeight>
            </wp14:sizeRelV>
          </wp:anchor>
        </w:drawing>
      </w:r>
      <w:r w:rsidR="42187D26">
        <w:rPr>
          <w:noProof/>
        </w:rPr>
        <w:drawing>
          <wp:anchor distT="0" distB="0" distL="114300" distR="114300" simplePos="0" relativeHeight="251658250" behindDoc="0" locked="0" layoutInCell="1" allowOverlap="1" wp14:anchorId="70AC82F6" wp14:editId="274ED8AA">
            <wp:simplePos x="0" y="0"/>
            <wp:positionH relativeFrom="column">
              <wp:posOffset>2743200</wp:posOffset>
            </wp:positionH>
            <wp:positionV relativeFrom="paragraph">
              <wp:posOffset>95250</wp:posOffset>
            </wp:positionV>
            <wp:extent cx="2979227" cy="2055290"/>
            <wp:effectExtent l="0" t="0" r="0" b="0"/>
            <wp:wrapNone/>
            <wp:docPr id="2085256068" name="Imagem 2085256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256068" name="Picture 2085256068"/>
                    <pic:cNvPicPr/>
                  </pic:nvPicPr>
                  <pic:blipFill>
                    <a:blip r:embed="rId83">
                      <a:extLst>
                        <a:ext uri="{28A0092B-C50C-407E-A947-70E740481C1C}">
                          <a14:useLocalDpi xmlns:a14="http://schemas.microsoft.com/office/drawing/2010/main"/>
                        </a:ext>
                      </a:extLst>
                    </a:blip>
                    <a:stretch>
                      <a:fillRect/>
                    </a:stretch>
                  </pic:blipFill>
                  <pic:spPr>
                    <a:xfrm>
                      <a:off x="0" y="0"/>
                      <a:ext cx="2979227" cy="2055290"/>
                    </a:xfrm>
                    <a:prstGeom prst="rect">
                      <a:avLst/>
                    </a:prstGeom>
                  </pic:spPr>
                </pic:pic>
              </a:graphicData>
            </a:graphic>
            <wp14:sizeRelH relativeFrom="page">
              <wp14:pctWidth>0</wp14:pctWidth>
            </wp14:sizeRelH>
            <wp14:sizeRelV relativeFrom="page">
              <wp14:pctHeight>0</wp14:pctHeight>
            </wp14:sizeRelV>
          </wp:anchor>
        </w:drawing>
      </w:r>
    </w:p>
    <w:p w14:paraId="2FED9F60" w14:textId="18303DDA" w:rsidR="216B66CE" w:rsidRDefault="216B66CE" w:rsidP="0AF5C935">
      <w:r>
        <w:t xml:space="preserve"> </w:t>
      </w:r>
    </w:p>
    <w:p w14:paraId="2954CC87" w14:textId="13F7DD6A" w:rsidR="1E9A0AF9" w:rsidRDefault="1E9A0AF9" w:rsidP="1E9A0AF9"/>
    <w:p w14:paraId="34A90B7F" w14:textId="155BD458" w:rsidR="00FDA35C" w:rsidRDefault="00FDA35C" w:rsidP="1E9A0AF9"/>
    <w:p w14:paraId="1C7D96E9" w14:textId="6744F184" w:rsidR="1E9A0AF9" w:rsidRDefault="1E9A0AF9" w:rsidP="1E9A0AF9"/>
    <w:p w14:paraId="1B989AF4" w14:textId="56ACA48F" w:rsidR="1E9A0AF9" w:rsidRDefault="1E9A0AF9" w:rsidP="1E9A0AF9"/>
    <w:p w14:paraId="76B8CFA6" w14:textId="0BA41E23" w:rsidR="78491731" w:rsidRDefault="78491731" w:rsidP="41F4806D"/>
    <w:p w14:paraId="1B8D9441" w14:textId="7176936E" w:rsidR="41F4806D" w:rsidRDefault="41F4806D" w:rsidP="41F4806D"/>
    <w:p w14:paraId="084434DD" w14:textId="5B300C86" w:rsidR="216B66CE" w:rsidRDefault="216B66CE" w:rsidP="00740B5E">
      <w:r>
        <w:t>Paralelamente, foram mantidas as avaliações sistemáticas da qualidade da higienização por meio das inspeções de superfícies, possibilitando a identificação de oportunidades de melhoria e o direcionamento de ações corretivas junto às equipes operacionais, especialmente nas áreas críticas.</w:t>
      </w:r>
    </w:p>
    <w:p w14:paraId="377370D1" w14:textId="1D4C5702" w:rsidR="3F9F1CD4" w:rsidRDefault="3F9F1CD4" w:rsidP="78491731">
      <w:r>
        <w:rPr>
          <w:noProof/>
        </w:rPr>
        <w:drawing>
          <wp:inline distT="0" distB="0" distL="0" distR="0" wp14:anchorId="00404B7F" wp14:editId="3310BF5B">
            <wp:extent cx="5743575" cy="1371600"/>
            <wp:effectExtent l="0" t="0" r="0" b="0"/>
            <wp:docPr id="570176475" name="Imagem 570176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176475" name="Picture 570176475"/>
                    <pic:cNvPicPr/>
                  </pic:nvPicPr>
                  <pic:blipFill>
                    <a:blip r:embed="rId84">
                      <a:extLst>
                        <a:ext uri="{28A0092B-C50C-407E-A947-70E740481C1C}">
                          <a14:useLocalDpi xmlns:a14="http://schemas.microsoft.com/office/drawing/2010/main"/>
                        </a:ext>
                      </a:extLst>
                    </a:blip>
                    <a:stretch>
                      <a:fillRect/>
                    </a:stretch>
                  </pic:blipFill>
                  <pic:spPr>
                    <a:xfrm>
                      <a:off x="0" y="0"/>
                      <a:ext cx="5743575" cy="1371600"/>
                    </a:xfrm>
                    <a:prstGeom prst="rect">
                      <a:avLst/>
                    </a:prstGeom>
                  </pic:spPr>
                </pic:pic>
              </a:graphicData>
            </a:graphic>
          </wp:inline>
        </w:drawing>
      </w:r>
      <w:r w:rsidR="216B66CE">
        <w:t xml:space="preserve"> </w:t>
      </w:r>
    </w:p>
    <w:p w14:paraId="13024203" w14:textId="344E5055" w:rsidR="41F4806D" w:rsidRDefault="41F4806D" w:rsidP="41F4806D"/>
    <w:p w14:paraId="4D65A188" w14:textId="7FFE353D" w:rsidR="41F4806D" w:rsidRDefault="41F4806D" w:rsidP="41F4806D"/>
    <w:p w14:paraId="427C8835" w14:textId="3270D4A2" w:rsidR="41F4806D" w:rsidRDefault="41F4806D" w:rsidP="41F4806D"/>
    <w:p w14:paraId="3446F959" w14:textId="5AF0A7AB" w:rsidR="71440FE8" w:rsidRDefault="00507D60" w:rsidP="1A6EC8B6">
      <w:pPr>
        <w:pStyle w:val="Ttulo3"/>
        <w:ind w:left="0"/>
      </w:pPr>
      <w:bookmarkStart w:id="117" w:name="_Toc221731955"/>
      <w:bookmarkStart w:id="118" w:name="_Toc229241836"/>
      <w:bookmarkStart w:id="119" w:name="_Toc231974406"/>
      <w:bookmarkStart w:id="120" w:name="_Toc234260377"/>
      <w:r>
        <w:rPr>
          <w:rFonts w:eastAsiaTheme="minorEastAsia" w:cs="Arial"/>
          <w:color w:val="2E75B6"/>
        </w:rPr>
        <w:lastRenderedPageBreak/>
        <w:t>10</w:t>
      </w:r>
      <w:r w:rsidR="523A3B24" w:rsidRPr="3662451E">
        <w:rPr>
          <w:rFonts w:eastAsiaTheme="minorEastAsia" w:cs="Arial"/>
          <w:color w:val="2E75B6"/>
        </w:rPr>
        <w:t xml:space="preserve">.1.2 </w:t>
      </w:r>
      <w:r w:rsidR="1273D492" w:rsidRPr="3662451E">
        <w:rPr>
          <w:rFonts w:eastAsiaTheme="minorEastAsia" w:cs="Arial"/>
          <w:color w:val="2E75B6"/>
        </w:rPr>
        <w:t>Rouparia</w:t>
      </w:r>
      <w:bookmarkEnd w:id="117"/>
      <w:bookmarkEnd w:id="118"/>
      <w:bookmarkEnd w:id="119"/>
      <w:bookmarkEnd w:id="120"/>
    </w:p>
    <w:p w14:paraId="5A6A6720" w14:textId="76D0C7FF" w:rsidR="41F4806D" w:rsidRDefault="359839FB" w:rsidP="00740B5E">
      <w:pPr>
        <w:spacing w:before="240" w:after="240"/>
      </w:pPr>
      <w:r w:rsidRPr="2FC664AA">
        <w:rPr>
          <w:rFonts w:cs="Arial"/>
        </w:rPr>
        <w:t>Durante o mês de junho, a gestão da Rouparia manteve foco na garantia do abastecimento contínuo de enxovais às unidades assistenciais, contribuindo para a continuidade da assistência, a segurança dos pacientes e a eficiência operacional dos serviços.</w:t>
      </w:r>
    </w:p>
    <w:p w14:paraId="64D90C61" w14:textId="24EF1158" w:rsidR="41F4806D" w:rsidRDefault="359839FB" w:rsidP="00740B5E">
      <w:pPr>
        <w:spacing w:before="240" w:after="240"/>
      </w:pPr>
      <w:r w:rsidRPr="207C9116">
        <w:rPr>
          <w:rFonts w:cs="Arial"/>
        </w:rPr>
        <w:t xml:space="preserve">Como parte das ações de melhoria dos processos, foi realizado, em parceria com </w:t>
      </w:r>
      <w:r w:rsidR="5716EE01" w:rsidRPr="207C9116">
        <w:rPr>
          <w:rFonts w:cs="Arial"/>
        </w:rPr>
        <w:t>a lavanderia parceira</w:t>
      </w:r>
      <w:r w:rsidRPr="207C9116">
        <w:rPr>
          <w:rFonts w:cs="Arial"/>
        </w:rPr>
        <w:t>, o treinamento da equipe de coletores para utilização do sistema de pesagem do enxoval sujo. A capacitação ocorreu ao longo de dois dias e contemplou 100% dos profissionais da área, promovendo a padronização do processo, maior confiabilidade das informações registradas e fortalecimento do controle operacional da rouparia.</w:t>
      </w:r>
    </w:p>
    <w:p w14:paraId="133BAA2F" w14:textId="57B65656" w:rsidR="798D5B76" w:rsidRDefault="798D5B76" w:rsidP="798D5B76">
      <w:pPr>
        <w:spacing w:before="240" w:after="240"/>
        <w:ind w:firstLine="708"/>
        <w:rPr>
          <w:rFonts w:cs="Arial"/>
        </w:rPr>
      </w:pPr>
      <w:r>
        <w:rPr>
          <w:noProof/>
        </w:rPr>
        <w:drawing>
          <wp:anchor distT="0" distB="0" distL="114300" distR="114300" simplePos="0" relativeHeight="251658245" behindDoc="0" locked="0" layoutInCell="1" allowOverlap="1" wp14:anchorId="0BAFAC2B" wp14:editId="700AEE5A">
            <wp:simplePos x="0" y="0"/>
            <wp:positionH relativeFrom="column">
              <wp:posOffset>-38100</wp:posOffset>
            </wp:positionH>
            <wp:positionV relativeFrom="paragraph">
              <wp:posOffset>161925</wp:posOffset>
            </wp:positionV>
            <wp:extent cx="5817211" cy="1504950"/>
            <wp:effectExtent l="0" t="0" r="0" b="0"/>
            <wp:wrapNone/>
            <wp:docPr id="1738884903" name="Imagem 1738884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246519" name="Picture 591246519"/>
                    <pic:cNvPicPr/>
                  </pic:nvPicPr>
                  <pic:blipFill>
                    <a:blip r:embed="rId85">
                      <a:extLst>
                        <a:ext uri="{28A0092B-C50C-407E-A947-70E740481C1C}">
                          <a14:useLocalDpi xmlns:a14="http://schemas.microsoft.com/office/drawing/2010/main"/>
                        </a:ext>
                      </a:extLst>
                    </a:blip>
                    <a:stretch>
                      <a:fillRect/>
                    </a:stretch>
                  </pic:blipFill>
                  <pic:spPr>
                    <a:xfrm>
                      <a:off x="0" y="0"/>
                      <a:ext cx="5817211" cy="1504950"/>
                    </a:xfrm>
                    <a:prstGeom prst="rect">
                      <a:avLst/>
                    </a:prstGeom>
                  </pic:spPr>
                </pic:pic>
              </a:graphicData>
            </a:graphic>
            <wp14:sizeRelH relativeFrom="page">
              <wp14:pctWidth>0</wp14:pctWidth>
            </wp14:sizeRelH>
            <wp14:sizeRelV relativeFrom="page">
              <wp14:pctHeight>0</wp14:pctHeight>
            </wp14:sizeRelV>
          </wp:anchor>
        </w:drawing>
      </w:r>
    </w:p>
    <w:p w14:paraId="41CD9195" w14:textId="5C35F461" w:rsidR="798D5B76" w:rsidRDefault="798D5B76" w:rsidP="798D5B76">
      <w:pPr>
        <w:spacing w:before="240" w:after="240"/>
        <w:ind w:firstLine="708"/>
        <w:rPr>
          <w:rFonts w:cs="Arial"/>
        </w:rPr>
      </w:pPr>
    </w:p>
    <w:p w14:paraId="070BCDEF" w14:textId="4DEDE1DF" w:rsidR="798D5B76" w:rsidRDefault="798D5B76" w:rsidP="798D5B76">
      <w:pPr>
        <w:spacing w:before="240" w:after="240"/>
        <w:ind w:firstLine="708"/>
        <w:rPr>
          <w:rFonts w:cs="Arial"/>
        </w:rPr>
      </w:pPr>
    </w:p>
    <w:p w14:paraId="40B7BCDA" w14:textId="5806F4E9" w:rsidR="798D5B76" w:rsidRDefault="798D5B76" w:rsidP="798D5B76">
      <w:pPr>
        <w:spacing w:before="240" w:after="240"/>
        <w:ind w:firstLine="708"/>
        <w:rPr>
          <w:rFonts w:cs="Arial"/>
        </w:rPr>
      </w:pPr>
    </w:p>
    <w:p w14:paraId="5149F231" w14:textId="40D58996" w:rsidR="2FC664AA" w:rsidRDefault="2FC664AA" w:rsidP="7294EF9A">
      <w:pPr>
        <w:spacing w:before="240" w:after="240"/>
        <w:ind w:firstLine="708"/>
        <w:rPr>
          <w:rFonts w:cs="Arial"/>
        </w:rPr>
      </w:pPr>
    </w:p>
    <w:p w14:paraId="238BF2B7" w14:textId="16969C89" w:rsidR="207C9116" w:rsidRDefault="359839FB" w:rsidP="00740B5E">
      <w:pPr>
        <w:spacing w:before="240" w:after="240"/>
        <w:rPr>
          <w:rFonts w:cs="Arial"/>
        </w:rPr>
      </w:pPr>
      <w:r w:rsidRPr="207C9116">
        <w:rPr>
          <w:rFonts w:cs="Arial"/>
        </w:rPr>
        <w:t xml:space="preserve">Também foi realizada reunião técnica com </w:t>
      </w:r>
      <w:r w:rsidR="1C4977E2" w:rsidRPr="207C9116">
        <w:rPr>
          <w:rFonts w:cs="Arial"/>
        </w:rPr>
        <w:t>a lavanderia</w:t>
      </w:r>
      <w:r w:rsidRPr="207C9116">
        <w:rPr>
          <w:rFonts w:cs="Arial"/>
        </w:rPr>
        <w:t xml:space="preserve"> para alinhamento do fluxo de fornecimento de cobertores e toalhas, considerando o aumento da demanda decorrente do período de temperaturas mais baixas. Como resultado, foi acordada a ampliação da cota de cobertores e realizado o provisionamento de mais de 400 toalhas, permitindo regularizar o abastecimento e garantir a disponibilidade contínua de kits de higiene, especialmente para as Unidades de Terapia Intensiva (UTIs).</w:t>
      </w:r>
    </w:p>
    <w:p w14:paraId="4ADB2F74" w14:textId="2F8EA02E" w:rsidR="4C69A9BE" w:rsidRDefault="4C69A9BE" w:rsidP="4C69A9BE">
      <w:pPr>
        <w:spacing w:before="240" w:after="240"/>
        <w:ind w:firstLine="708"/>
        <w:rPr>
          <w:rFonts w:cs="Arial"/>
        </w:rPr>
      </w:pPr>
      <w:r>
        <w:rPr>
          <w:noProof/>
        </w:rPr>
        <w:drawing>
          <wp:anchor distT="0" distB="0" distL="114300" distR="114300" simplePos="0" relativeHeight="251658248" behindDoc="0" locked="0" layoutInCell="1" allowOverlap="1" wp14:anchorId="3509A991" wp14:editId="64470CBD">
            <wp:simplePos x="0" y="0"/>
            <wp:positionH relativeFrom="column">
              <wp:posOffset>-38100</wp:posOffset>
            </wp:positionH>
            <wp:positionV relativeFrom="paragraph">
              <wp:posOffset>-28575</wp:posOffset>
            </wp:positionV>
            <wp:extent cx="5743575" cy="1914525"/>
            <wp:effectExtent l="0" t="0" r="0" b="0"/>
            <wp:wrapNone/>
            <wp:docPr id="1875898589" name="Imagem 1875898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417777" name="Picture 1706417777"/>
                    <pic:cNvPicPr/>
                  </pic:nvPicPr>
                  <pic:blipFill>
                    <a:blip r:embed="rId86">
                      <a:extLst>
                        <a:ext uri="{28A0092B-C50C-407E-A947-70E740481C1C}">
                          <a14:useLocalDpi xmlns:a14="http://schemas.microsoft.com/office/drawing/2010/main"/>
                        </a:ext>
                      </a:extLst>
                    </a:blip>
                    <a:stretch>
                      <a:fillRect/>
                    </a:stretch>
                  </pic:blipFill>
                  <pic:spPr>
                    <a:xfrm>
                      <a:off x="0" y="0"/>
                      <a:ext cx="5743575" cy="1914525"/>
                    </a:xfrm>
                    <a:prstGeom prst="rect">
                      <a:avLst/>
                    </a:prstGeom>
                  </pic:spPr>
                </pic:pic>
              </a:graphicData>
            </a:graphic>
            <wp14:sizeRelH relativeFrom="page">
              <wp14:pctWidth>0</wp14:pctWidth>
            </wp14:sizeRelH>
            <wp14:sizeRelV relativeFrom="page">
              <wp14:pctHeight>0</wp14:pctHeight>
            </wp14:sizeRelV>
          </wp:anchor>
        </w:drawing>
      </w:r>
    </w:p>
    <w:p w14:paraId="537CD390" w14:textId="227907E5" w:rsidR="7294EF9A" w:rsidRDefault="7294EF9A" w:rsidP="7294EF9A">
      <w:pPr>
        <w:spacing w:before="240" w:after="240"/>
        <w:ind w:firstLine="708"/>
        <w:rPr>
          <w:rFonts w:cs="Arial"/>
        </w:rPr>
      </w:pPr>
    </w:p>
    <w:p w14:paraId="0848B847" w14:textId="25D3DDC3" w:rsidR="7294EF9A" w:rsidRDefault="7294EF9A" w:rsidP="7294EF9A">
      <w:pPr>
        <w:spacing w:before="240" w:after="240"/>
        <w:ind w:firstLine="708"/>
      </w:pPr>
    </w:p>
    <w:p w14:paraId="1EC1AD0D" w14:textId="2BE16D8F" w:rsidR="207C9116" w:rsidRDefault="207C9116" w:rsidP="207C9116">
      <w:pPr>
        <w:spacing w:before="240" w:after="240"/>
        <w:ind w:firstLine="708"/>
        <w:rPr>
          <w:rFonts w:cs="Arial"/>
        </w:rPr>
      </w:pPr>
    </w:p>
    <w:p w14:paraId="3AE13863" w14:textId="15F497F4" w:rsidR="41F4806D" w:rsidRDefault="41F4806D" w:rsidP="41F4806D"/>
    <w:p w14:paraId="7CF3BC65" w14:textId="166534A7" w:rsidR="5C2E35C9" w:rsidRPr="00DE5669" w:rsidRDefault="00507D60" w:rsidP="78491731">
      <w:pPr>
        <w:pStyle w:val="Ttulo3"/>
        <w:spacing w:before="240" w:after="0" w:line="360" w:lineRule="auto"/>
        <w:ind w:left="0"/>
      </w:pPr>
      <w:bookmarkStart w:id="121" w:name="_Toc221731956"/>
      <w:bookmarkStart w:id="122" w:name="_Toc229241837"/>
      <w:bookmarkStart w:id="123" w:name="_Toc231974407"/>
      <w:bookmarkStart w:id="124" w:name="_Toc234260378"/>
      <w:r>
        <w:rPr>
          <w:rFonts w:eastAsia="Arial" w:cs="Arial"/>
        </w:rPr>
        <w:lastRenderedPageBreak/>
        <w:t>10</w:t>
      </w:r>
      <w:r w:rsidR="68210513" w:rsidRPr="78491731">
        <w:rPr>
          <w:rFonts w:eastAsia="Arial" w:cs="Arial"/>
        </w:rPr>
        <w:t xml:space="preserve">.1.3 </w:t>
      </w:r>
      <w:r w:rsidR="030EAB0A" w:rsidRPr="78491731">
        <w:rPr>
          <w:rFonts w:eastAsia="Arial" w:cs="Arial"/>
        </w:rPr>
        <w:t>Resíduos</w:t>
      </w:r>
      <w:bookmarkEnd w:id="121"/>
      <w:bookmarkEnd w:id="122"/>
      <w:bookmarkEnd w:id="123"/>
      <w:bookmarkEnd w:id="124"/>
      <w:r w:rsidR="2FEA031C" w:rsidRPr="78491731">
        <w:rPr>
          <w:rFonts w:eastAsia="Arial" w:cs="Arial"/>
        </w:rPr>
        <w:t xml:space="preserve"> </w:t>
      </w:r>
    </w:p>
    <w:p w14:paraId="0E64E51C" w14:textId="5A1E79E8" w:rsidR="5C2E35C9" w:rsidRPr="00DE5669" w:rsidRDefault="35E23AA5" w:rsidP="00740B5E">
      <w:r>
        <w:t xml:space="preserve">Como destaque do mês, durante a Semana do Meio Ambiente, a equipe de </w:t>
      </w:r>
      <w:proofErr w:type="spellStart"/>
      <w:r>
        <w:t>Facilities</w:t>
      </w:r>
      <w:proofErr w:type="spellEnd"/>
      <w:r>
        <w:t xml:space="preserve"> participou ativamente das ações de educação ambiental e sustentabilidade promovidas na instituição, envolvendo também os colaboradores da Higienização em atividades de conscientização sobre o descarte correto de resíduos e a reciclagem.</w:t>
      </w:r>
    </w:p>
    <w:p w14:paraId="4FCEE429" w14:textId="1DED6AFE" w:rsidR="5C2E35C9" w:rsidRPr="00DE5669" w:rsidRDefault="35E23AA5" w:rsidP="00740B5E">
      <w:r>
        <w:t xml:space="preserve">Em reconhecimento ao impacto e aos resultados alcançados pelo Projeto </w:t>
      </w:r>
      <w:proofErr w:type="spellStart"/>
      <w:r>
        <w:t>RePET</w:t>
      </w:r>
      <w:proofErr w:type="spellEnd"/>
      <w:r>
        <w:t xml:space="preserve">, o setor de </w:t>
      </w:r>
      <w:proofErr w:type="spellStart"/>
      <w:r>
        <w:t>Facilities</w:t>
      </w:r>
      <w:proofErr w:type="spellEnd"/>
      <w:r>
        <w:t xml:space="preserve"> foi homenageado com um troféu de reconhecimento, evidenciando o protagonismo da equipe na implementação de práticas sustentáveis e no fortalecimento da cultura de responsabilidade socioambiental no HUGO.</w:t>
      </w:r>
    </w:p>
    <w:p w14:paraId="347F3994" w14:textId="64AA585F" w:rsidR="5C2E35C9" w:rsidRPr="00DE5669" w:rsidRDefault="6CCC400C" w:rsidP="78491731">
      <w:r>
        <w:rPr>
          <w:noProof/>
        </w:rPr>
        <w:drawing>
          <wp:anchor distT="0" distB="0" distL="114300" distR="114300" simplePos="0" relativeHeight="251658249" behindDoc="0" locked="0" layoutInCell="1" allowOverlap="1" wp14:anchorId="7F4BF07F" wp14:editId="2AD91771">
            <wp:simplePos x="0" y="0"/>
            <wp:positionH relativeFrom="column">
              <wp:posOffset>0</wp:posOffset>
            </wp:positionH>
            <wp:positionV relativeFrom="paragraph">
              <wp:posOffset>76200</wp:posOffset>
            </wp:positionV>
            <wp:extent cx="5791200" cy="1382973"/>
            <wp:effectExtent l="0" t="0" r="0" b="0"/>
            <wp:wrapNone/>
            <wp:docPr id="2054188304" name="Imagem 2054188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88304" name="Picture 2054188304"/>
                    <pic:cNvPicPr/>
                  </pic:nvPicPr>
                  <pic:blipFill>
                    <a:blip r:embed="rId87">
                      <a:extLst>
                        <a:ext uri="{28A0092B-C50C-407E-A947-70E740481C1C}">
                          <a14:useLocalDpi xmlns:a14="http://schemas.microsoft.com/office/drawing/2010/main"/>
                        </a:ext>
                      </a:extLst>
                    </a:blip>
                    <a:stretch>
                      <a:fillRect/>
                    </a:stretch>
                  </pic:blipFill>
                  <pic:spPr>
                    <a:xfrm>
                      <a:off x="0" y="0"/>
                      <a:ext cx="5791200" cy="1382973"/>
                    </a:xfrm>
                    <a:prstGeom prst="rect">
                      <a:avLst/>
                    </a:prstGeom>
                  </pic:spPr>
                </pic:pic>
              </a:graphicData>
            </a:graphic>
            <wp14:sizeRelH relativeFrom="page">
              <wp14:pctWidth>0</wp14:pctWidth>
            </wp14:sizeRelH>
            <wp14:sizeRelV relativeFrom="page">
              <wp14:pctHeight>0</wp14:pctHeight>
            </wp14:sizeRelV>
          </wp:anchor>
        </w:drawing>
      </w:r>
    </w:p>
    <w:p w14:paraId="507D44D2" w14:textId="7CBEB626" w:rsidR="5C2E35C9" w:rsidRPr="00DE5669" w:rsidRDefault="5C2E35C9" w:rsidP="6CCC400C"/>
    <w:p w14:paraId="698BC4A4" w14:textId="011F6628" w:rsidR="5C2E35C9" w:rsidRPr="00DE5669" w:rsidRDefault="5C2E35C9" w:rsidP="6CCC400C"/>
    <w:p w14:paraId="3913B36C" w14:textId="14299D25" w:rsidR="5C2E35C9" w:rsidRPr="00DE5669" w:rsidRDefault="5C2E35C9" w:rsidP="6CCC400C"/>
    <w:p w14:paraId="17F4B758" w14:textId="38701129" w:rsidR="5C2E35C9" w:rsidRPr="00DE5669" w:rsidRDefault="5C2E35C9" w:rsidP="78491731">
      <w:pPr>
        <w:spacing w:before="240" w:after="240" w:line="360" w:lineRule="auto"/>
      </w:pPr>
    </w:p>
    <w:p w14:paraId="0ECE5DB6" w14:textId="469FC7B9" w:rsidR="78491731" w:rsidRDefault="35E23AA5" w:rsidP="00740B5E">
      <w:r>
        <w:t xml:space="preserve">O Projeto </w:t>
      </w:r>
      <w:proofErr w:type="spellStart"/>
      <w:r>
        <w:t>RePET</w:t>
      </w:r>
      <w:proofErr w:type="spellEnd"/>
      <w:r>
        <w:t>, aliado à campanha Copinha HUGO, tem promovido o engajamento dos colaboradores na coleta seletiva de garrafas PET, ampliando a reciclagem de materiais, reduzindo o envio de resíduos ao aterro sanitário e fortalecendo os princípios da economia circular e da sustentabilidade institucional.</w:t>
      </w:r>
      <w:r w:rsidR="70094E06">
        <w:t xml:space="preserve"> </w:t>
      </w:r>
    </w:p>
    <w:p w14:paraId="60001BDF" w14:textId="6F7AC3FC" w:rsidR="0035CCED" w:rsidRDefault="6E35D0DB" w:rsidP="0035CCED">
      <w:r>
        <w:rPr>
          <w:noProof/>
        </w:rPr>
        <w:drawing>
          <wp:anchor distT="0" distB="0" distL="114300" distR="114300" simplePos="0" relativeHeight="251658247" behindDoc="0" locked="0" layoutInCell="1" allowOverlap="1" wp14:anchorId="6DC01BB1" wp14:editId="49BFE805">
            <wp:simplePos x="0" y="0"/>
            <wp:positionH relativeFrom="column">
              <wp:posOffset>-85725</wp:posOffset>
            </wp:positionH>
            <wp:positionV relativeFrom="paragraph">
              <wp:posOffset>76200</wp:posOffset>
            </wp:positionV>
            <wp:extent cx="5905500" cy="1400475"/>
            <wp:effectExtent l="0" t="0" r="0" b="0"/>
            <wp:wrapNone/>
            <wp:docPr id="1792881021" name="Imagem 179288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881021" name="Picture 1792881021"/>
                    <pic:cNvPicPr/>
                  </pic:nvPicPr>
                  <pic:blipFill>
                    <a:blip r:embed="rId88">
                      <a:extLst>
                        <a:ext uri="{28A0092B-C50C-407E-A947-70E740481C1C}">
                          <a14:useLocalDpi xmlns:a14="http://schemas.microsoft.com/office/drawing/2010/main"/>
                        </a:ext>
                      </a:extLst>
                    </a:blip>
                    <a:stretch>
                      <a:fillRect/>
                    </a:stretch>
                  </pic:blipFill>
                  <pic:spPr>
                    <a:xfrm>
                      <a:off x="0" y="0"/>
                      <a:ext cx="5905500" cy="1400475"/>
                    </a:xfrm>
                    <a:prstGeom prst="rect">
                      <a:avLst/>
                    </a:prstGeom>
                  </pic:spPr>
                </pic:pic>
              </a:graphicData>
            </a:graphic>
            <wp14:sizeRelH relativeFrom="page">
              <wp14:pctWidth>0</wp14:pctWidth>
            </wp14:sizeRelH>
            <wp14:sizeRelV relativeFrom="page">
              <wp14:pctHeight>0</wp14:pctHeight>
            </wp14:sizeRelV>
          </wp:anchor>
        </w:drawing>
      </w:r>
    </w:p>
    <w:p w14:paraId="271CA116" w14:textId="227B6E4F" w:rsidR="0035CCED" w:rsidRDefault="0035CCED" w:rsidP="0035CCED"/>
    <w:p w14:paraId="22DDA377" w14:textId="5B25E1D7" w:rsidR="0035CCED" w:rsidRDefault="0035CCED" w:rsidP="0035CCED"/>
    <w:p w14:paraId="6AE0C438" w14:textId="45C7EEA8" w:rsidR="0035CCED" w:rsidRDefault="0035CCED" w:rsidP="0035CCED"/>
    <w:p w14:paraId="55CBC0F3" w14:textId="10893C32" w:rsidR="0035CCED" w:rsidRDefault="0035CCED" w:rsidP="0035CCED"/>
    <w:p w14:paraId="79A06DBB" w14:textId="55C18276" w:rsidR="6E35D0DB" w:rsidRDefault="6E35D0DB" w:rsidP="6E35D0DB"/>
    <w:p w14:paraId="6A24E45D" w14:textId="77777777" w:rsidR="00740B5E" w:rsidRDefault="00740B5E" w:rsidP="6E35D0DB"/>
    <w:p w14:paraId="1F903750" w14:textId="77777777" w:rsidR="00740B5E" w:rsidRDefault="00740B5E" w:rsidP="6E35D0DB"/>
    <w:p w14:paraId="67AC1C76" w14:textId="3A26D056" w:rsidR="00A4224E" w:rsidRPr="00DE5669" w:rsidRDefault="00BD3413" w:rsidP="006532A4">
      <w:pPr>
        <w:pStyle w:val="Ttulo2"/>
        <w:ind w:left="-5"/>
      </w:pPr>
      <w:bookmarkStart w:id="125" w:name="_Toc229241838"/>
      <w:bookmarkStart w:id="126" w:name="_Toc231974408"/>
      <w:bookmarkStart w:id="127" w:name="_Toc234260379"/>
      <w:r>
        <w:rPr>
          <w:b w:val="0"/>
        </w:rPr>
        <w:lastRenderedPageBreak/>
        <w:t>10</w:t>
      </w:r>
      <w:r w:rsidR="2A83DD1E" w:rsidRPr="00DE5669">
        <w:rPr>
          <w:b w:val="0"/>
        </w:rPr>
        <w:t xml:space="preserve">.2. </w:t>
      </w:r>
      <w:r w:rsidR="2A83DD1E" w:rsidRPr="00DE5669">
        <w:t>Projetos e Obras</w:t>
      </w:r>
      <w:bookmarkEnd w:id="125"/>
      <w:bookmarkEnd w:id="126"/>
      <w:bookmarkEnd w:id="127"/>
      <w:r w:rsidR="2A83DD1E" w:rsidRPr="00DE5669">
        <w:rPr>
          <w:b w:val="0"/>
        </w:rPr>
        <w:t xml:space="preserve"> </w:t>
      </w:r>
    </w:p>
    <w:p w14:paraId="60C0BDC2" w14:textId="3174EB12" w:rsidR="70932043" w:rsidRDefault="70932043" w:rsidP="70932043"/>
    <w:p w14:paraId="27022CD3" w14:textId="70C2E2A2" w:rsidR="56DC09DF" w:rsidRDefault="00BD3413" w:rsidP="70932043">
      <w:pPr>
        <w:pStyle w:val="Ttulo2"/>
        <w:ind w:left="-5"/>
      </w:pPr>
      <w:bookmarkStart w:id="128" w:name="_Toc234254735"/>
      <w:bookmarkStart w:id="129" w:name="_Toc234260380"/>
      <w:bookmarkStart w:id="130" w:name="_Toc229241839"/>
      <w:bookmarkStart w:id="131" w:name="_Toc231974409"/>
      <w:r>
        <w:rPr>
          <w:b w:val="0"/>
        </w:rPr>
        <w:t>10</w:t>
      </w:r>
      <w:r w:rsidR="46034717">
        <w:rPr>
          <w:b w:val="0"/>
        </w:rPr>
        <w:t>.2.</w:t>
      </w:r>
      <w:r w:rsidR="210804D0">
        <w:rPr>
          <w:b w:val="0"/>
        </w:rPr>
        <w:t>1</w:t>
      </w:r>
      <w:r w:rsidR="46034717">
        <w:rPr>
          <w:b w:val="0"/>
        </w:rPr>
        <w:t xml:space="preserve">- </w:t>
      </w:r>
      <w:r w:rsidR="62CD6A6C">
        <w:t>Obra UTI 5</w:t>
      </w:r>
      <w:bookmarkEnd w:id="128"/>
      <w:bookmarkEnd w:id="129"/>
    </w:p>
    <w:p w14:paraId="3D6DF97A" w14:textId="52E0A642" w:rsidR="53B20CAA" w:rsidRDefault="53B20CAA" w:rsidP="00740B5E">
      <w:pPr>
        <w:rPr>
          <w:rFonts w:cs="Arial"/>
        </w:rPr>
      </w:pPr>
      <w:r w:rsidRPr="70932043">
        <w:rPr>
          <w:rFonts w:cs="Arial"/>
        </w:rPr>
        <w:t xml:space="preserve">Ao final do período de referência, a obra apresentou 95% de execução física, em relação aos 100% previstos no cronograma físico-gerencial. O avanço financeiro acumulado correspondeu a 74,17% do valor contratado. A diferença entre os percentuais de execução física e financeira decorre da sistemática de medição adotada para fins de pagamento, que considera exclusivamente os serviços integralmente concluídos, aferidos e aprovados pela fiscalização, enquanto o avanço físico contempla também serviços em execução. Tal metodologia assegura maior rigor técnico no acompanhamento da obra e na liberação dos recursos financeiros. </w:t>
      </w:r>
    </w:p>
    <w:p w14:paraId="0FC3E066" w14:textId="56DAE2D0" w:rsidR="53B20CAA" w:rsidRDefault="53B20CAA" w:rsidP="00740B5E">
      <w:pPr>
        <w:rPr>
          <w:rFonts w:cs="Arial"/>
        </w:rPr>
      </w:pPr>
      <w:r w:rsidRPr="70932043">
        <w:rPr>
          <w:rFonts w:cs="Arial"/>
        </w:rPr>
        <w:t xml:space="preserve">No período, foram executados serviços de instalações elétricas, hidrossanitárias e de climatização, implantação do sistema de prevenção e combate a incêndio, execução de fechamentos em </w:t>
      </w:r>
      <w:proofErr w:type="spellStart"/>
      <w:r w:rsidRPr="70932043">
        <w:rPr>
          <w:rFonts w:cs="Arial"/>
        </w:rPr>
        <w:t>drywall</w:t>
      </w:r>
      <w:proofErr w:type="spellEnd"/>
      <w:r w:rsidRPr="70932043">
        <w:rPr>
          <w:rFonts w:cs="Arial"/>
        </w:rPr>
        <w:t xml:space="preserve"> e atividades de acabamento, compreendendo pintura, forros, revestimentos, pisos, esquadrias, louças e metais, além da continuidade dos serviços necessários à preparação dos ambientes para comissionamento e conclusão da obra. As atividades permaneceram sob acompanhamento da fiscalização técnica, em conformidade com as especificações contratuais e normativas aplicáveis.</w:t>
      </w:r>
    </w:p>
    <w:p w14:paraId="5ECF7625" w14:textId="5ADB4384" w:rsidR="62CD6A6C" w:rsidRDefault="62CD6A6C" w:rsidP="70932043">
      <w:pPr>
        <w:jc w:val="center"/>
      </w:pPr>
      <w:r>
        <w:rPr>
          <w:noProof/>
        </w:rPr>
        <w:drawing>
          <wp:inline distT="0" distB="0" distL="0" distR="0" wp14:anchorId="612F7C02" wp14:editId="11E7F8CD">
            <wp:extent cx="2420037" cy="3240000"/>
            <wp:effectExtent l="0" t="0" r="0" b="0"/>
            <wp:docPr id="7270124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012446" name="Picture 727012446"/>
                    <pic:cNvPicPr/>
                  </pic:nvPicPr>
                  <pic:blipFill>
                    <a:blip r:embed="rId89">
                      <a:extLst>
                        <a:ext uri="{28A0092B-C50C-407E-A947-70E740481C1C}">
                          <a14:useLocalDpi xmlns:a14="http://schemas.microsoft.com/office/drawing/2010/main"/>
                        </a:ext>
                      </a:extLst>
                    </a:blip>
                    <a:stretch>
                      <a:fillRect/>
                    </a:stretch>
                  </pic:blipFill>
                  <pic:spPr>
                    <a:xfrm>
                      <a:off x="0" y="0"/>
                      <a:ext cx="2420037" cy="3240000"/>
                    </a:xfrm>
                    <a:prstGeom prst="rect">
                      <a:avLst/>
                    </a:prstGeom>
                  </pic:spPr>
                </pic:pic>
              </a:graphicData>
            </a:graphic>
          </wp:inline>
        </w:drawing>
      </w:r>
      <w:r>
        <w:t xml:space="preserve"> </w:t>
      </w:r>
      <w:r w:rsidR="2FCDE6E5">
        <w:t xml:space="preserve"> </w:t>
      </w:r>
      <w:r>
        <w:rPr>
          <w:noProof/>
        </w:rPr>
        <w:drawing>
          <wp:inline distT="0" distB="0" distL="0" distR="0" wp14:anchorId="1FCC9074" wp14:editId="46E47E00">
            <wp:extent cx="2461482" cy="3240000"/>
            <wp:effectExtent l="0" t="0" r="0" b="0"/>
            <wp:docPr id="18336085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608526" name="Picture 1833608526"/>
                    <pic:cNvPicPr/>
                  </pic:nvPicPr>
                  <pic:blipFill>
                    <a:blip r:embed="rId90">
                      <a:extLst>
                        <a:ext uri="{28A0092B-C50C-407E-A947-70E740481C1C}">
                          <a14:useLocalDpi xmlns:a14="http://schemas.microsoft.com/office/drawing/2010/main"/>
                        </a:ext>
                      </a:extLst>
                    </a:blip>
                    <a:stretch>
                      <a:fillRect/>
                    </a:stretch>
                  </pic:blipFill>
                  <pic:spPr>
                    <a:xfrm>
                      <a:off x="0" y="0"/>
                      <a:ext cx="2461482" cy="3240000"/>
                    </a:xfrm>
                    <a:prstGeom prst="rect">
                      <a:avLst/>
                    </a:prstGeom>
                  </pic:spPr>
                </pic:pic>
              </a:graphicData>
            </a:graphic>
          </wp:inline>
        </w:drawing>
      </w:r>
    </w:p>
    <w:p w14:paraId="43A50613" w14:textId="67FF5AD4" w:rsidR="0873DF03" w:rsidRDefault="0873DF03" w:rsidP="70932043">
      <w:pPr>
        <w:jc w:val="left"/>
        <w:rPr>
          <w:rFonts w:cs="Arial"/>
        </w:rPr>
      </w:pPr>
      <w:r>
        <w:rPr>
          <w:noProof/>
        </w:rPr>
        <w:lastRenderedPageBreak/>
        <w:drawing>
          <wp:inline distT="0" distB="0" distL="0" distR="0" wp14:anchorId="38BC7F82" wp14:editId="62EA21D7">
            <wp:extent cx="2151141" cy="2880000"/>
            <wp:effectExtent l="0" t="0" r="0" b="0"/>
            <wp:docPr id="84039466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296534" name="Picture 1376296534"/>
                    <pic:cNvPicPr/>
                  </pic:nvPicPr>
                  <pic:blipFill>
                    <a:blip r:embed="rId91">
                      <a:extLst>
                        <a:ext uri="{28A0092B-C50C-407E-A947-70E740481C1C}">
                          <a14:useLocalDpi xmlns:a14="http://schemas.microsoft.com/office/drawing/2010/main"/>
                        </a:ext>
                      </a:extLst>
                    </a:blip>
                    <a:stretch>
                      <a:fillRect/>
                    </a:stretch>
                  </pic:blipFill>
                  <pic:spPr>
                    <a:xfrm>
                      <a:off x="0" y="0"/>
                      <a:ext cx="2151141" cy="2880000"/>
                    </a:xfrm>
                    <a:prstGeom prst="rect">
                      <a:avLst/>
                    </a:prstGeom>
                  </pic:spPr>
                </pic:pic>
              </a:graphicData>
            </a:graphic>
          </wp:inline>
        </w:drawing>
      </w:r>
      <w:r w:rsidR="14247FAB">
        <w:t xml:space="preserve"> </w:t>
      </w:r>
      <w:r w:rsidR="62CD6A6C">
        <w:rPr>
          <w:noProof/>
        </w:rPr>
        <w:drawing>
          <wp:inline distT="0" distB="0" distL="0" distR="0" wp14:anchorId="712C0991" wp14:editId="26F79239">
            <wp:extent cx="1604499" cy="2880000"/>
            <wp:effectExtent l="0" t="0" r="0" b="0"/>
            <wp:docPr id="20794049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404996" name="Picture 2079404996"/>
                    <pic:cNvPicPr/>
                  </pic:nvPicPr>
                  <pic:blipFill>
                    <a:blip r:embed="rId92">
                      <a:extLst>
                        <a:ext uri="{28A0092B-C50C-407E-A947-70E740481C1C}">
                          <a14:useLocalDpi xmlns:a14="http://schemas.microsoft.com/office/drawing/2010/main"/>
                        </a:ext>
                      </a:extLst>
                    </a:blip>
                    <a:stretch>
                      <a:fillRect/>
                    </a:stretch>
                  </pic:blipFill>
                  <pic:spPr>
                    <a:xfrm>
                      <a:off x="0" y="0"/>
                      <a:ext cx="1604499" cy="2880000"/>
                    </a:xfrm>
                    <a:prstGeom prst="rect">
                      <a:avLst/>
                    </a:prstGeom>
                  </pic:spPr>
                </pic:pic>
              </a:graphicData>
            </a:graphic>
          </wp:inline>
        </w:drawing>
      </w:r>
      <w:r w:rsidR="1A80CD8C">
        <w:t xml:space="preserve"> </w:t>
      </w:r>
      <w:r w:rsidR="456ECD9B">
        <w:rPr>
          <w:noProof/>
        </w:rPr>
        <w:drawing>
          <wp:inline distT="0" distB="0" distL="0" distR="0" wp14:anchorId="62BBAB50" wp14:editId="645AFBA5">
            <wp:extent cx="1620001" cy="2880000"/>
            <wp:effectExtent l="0" t="0" r="0" b="0"/>
            <wp:docPr id="121294911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949114" name="Picture 1212949114"/>
                    <pic:cNvPicPr/>
                  </pic:nvPicPr>
                  <pic:blipFill>
                    <a:blip r:embed="rId93">
                      <a:extLst>
                        <a:ext uri="{28A0092B-C50C-407E-A947-70E740481C1C}">
                          <a14:useLocalDpi xmlns:a14="http://schemas.microsoft.com/office/drawing/2010/main"/>
                        </a:ext>
                      </a:extLst>
                    </a:blip>
                    <a:stretch>
                      <a:fillRect/>
                    </a:stretch>
                  </pic:blipFill>
                  <pic:spPr>
                    <a:xfrm>
                      <a:off x="0" y="0"/>
                      <a:ext cx="1620001" cy="2880000"/>
                    </a:xfrm>
                    <a:prstGeom prst="rect">
                      <a:avLst/>
                    </a:prstGeom>
                  </pic:spPr>
                </pic:pic>
              </a:graphicData>
            </a:graphic>
          </wp:inline>
        </w:drawing>
      </w:r>
      <w:r w:rsidR="456ECD9B">
        <w:t xml:space="preserve"> </w:t>
      </w:r>
      <w:r w:rsidR="04C303DB">
        <w:t xml:space="preserve"> </w:t>
      </w:r>
      <w:r w:rsidR="62CD6A6C">
        <w:rPr>
          <w:noProof/>
        </w:rPr>
        <w:drawing>
          <wp:inline distT="0" distB="0" distL="0" distR="0" wp14:anchorId="6D30A621" wp14:editId="2FDD4755">
            <wp:extent cx="2689890" cy="3600000"/>
            <wp:effectExtent l="0" t="0" r="0" b="0"/>
            <wp:docPr id="19341530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153057" name="Picture 1934153057"/>
                    <pic:cNvPicPr/>
                  </pic:nvPicPr>
                  <pic:blipFill>
                    <a:blip r:embed="rId94">
                      <a:extLst>
                        <a:ext uri="{28A0092B-C50C-407E-A947-70E740481C1C}">
                          <a14:useLocalDpi xmlns:a14="http://schemas.microsoft.com/office/drawing/2010/main"/>
                        </a:ext>
                      </a:extLst>
                    </a:blip>
                    <a:stretch>
                      <a:fillRect/>
                    </a:stretch>
                  </pic:blipFill>
                  <pic:spPr>
                    <a:xfrm>
                      <a:off x="0" y="0"/>
                      <a:ext cx="2689890" cy="3600000"/>
                    </a:xfrm>
                    <a:prstGeom prst="rect">
                      <a:avLst/>
                    </a:prstGeom>
                  </pic:spPr>
                </pic:pic>
              </a:graphicData>
            </a:graphic>
          </wp:inline>
        </w:drawing>
      </w:r>
      <w:r w:rsidR="4A79487F">
        <w:t xml:space="preserve"> </w:t>
      </w:r>
      <w:r w:rsidR="67995BAD">
        <w:t xml:space="preserve"> </w:t>
      </w:r>
      <w:r w:rsidR="4A79487F">
        <w:rPr>
          <w:noProof/>
        </w:rPr>
        <w:drawing>
          <wp:inline distT="0" distB="0" distL="0" distR="0" wp14:anchorId="567DBF65" wp14:editId="4BD8D380">
            <wp:extent cx="2689960" cy="3600000"/>
            <wp:effectExtent l="0" t="0" r="0" b="0"/>
            <wp:docPr id="4609919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527553" name="Picture 883527553"/>
                    <pic:cNvPicPr/>
                  </pic:nvPicPr>
                  <pic:blipFill>
                    <a:blip r:embed="rId95">
                      <a:extLst>
                        <a:ext uri="{28A0092B-C50C-407E-A947-70E740481C1C}">
                          <a14:useLocalDpi xmlns:a14="http://schemas.microsoft.com/office/drawing/2010/main"/>
                        </a:ext>
                      </a:extLst>
                    </a:blip>
                    <a:stretch>
                      <a:fillRect/>
                    </a:stretch>
                  </pic:blipFill>
                  <pic:spPr>
                    <a:xfrm>
                      <a:off x="0" y="0"/>
                      <a:ext cx="2689960" cy="3600000"/>
                    </a:xfrm>
                    <a:prstGeom prst="rect">
                      <a:avLst/>
                    </a:prstGeom>
                  </pic:spPr>
                </pic:pic>
              </a:graphicData>
            </a:graphic>
          </wp:inline>
        </w:drawing>
      </w:r>
    </w:p>
    <w:p w14:paraId="28373380" w14:textId="77777777" w:rsidR="00740B5E" w:rsidRDefault="00740B5E" w:rsidP="70932043">
      <w:pPr>
        <w:pStyle w:val="Ttulo2"/>
        <w:ind w:left="-5"/>
        <w:rPr>
          <w:b w:val="0"/>
        </w:rPr>
      </w:pPr>
      <w:r>
        <w:rPr>
          <w:b w:val="0"/>
        </w:rPr>
        <w:br w:type="page"/>
      </w:r>
    </w:p>
    <w:p w14:paraId="0E432D5E" w14:textId="44EC34EB" w:rsidR="62CD6A6C" w:rsidRDefault="00BD3413" w:rsidP="70932043">
      <w:pPr>
        <w:pStyle w:val="Ttulo2"/>
        <w:ind w:left="-5"/>
      </w:pPr>
      <w:bookmarkStart w:id="132" w:name="_Toc234254736"/>
      <w:bookmarkStart w:id="133" w:name="_Toc234260381"/>
      <w:r>
        <w:rPr>
          <w:b w:val="0"/>
        </w:rPr>
        <w:lastRenderedPageBreak/>
        <w:t>10</w:t>
      </w:r>
      <w:r w:rsidR="62CD6A6C">
        <w:rPr>
          <w:b w:val="0"/>
        </w:rPr>
        <w:t xml:space="preserve">.2.2- </w:t>
      </w:r>
      <w:r w:rsidR="599745EA" w:rsidRPr="70932043">
        <w:rPr>
          <w:bCs/>
          <w:szCs w:val="28"/>
        </w:rPr>
        <w:t>Obra Reforma Sanitários</w:t>
      </w:r>
      <w:bookmarkEnd w:id="132"/>
      <w:bookmarkEnd w:id="133"/>
      <w:r w:rsidR="599745EA">
        <w:t xml:space="preserve"> </w:t>
      </w:r>
    </w:p>
    <w:p w14:paraId="17979AE3" w14:textId="0FB539F5" w:rsidR="599745EA" w:rsidRDefault="599745EA" w:rsidP="00740B5E">
      <w:pPr>
        <w:rPr>
          <w:rFonts w:cs="Arial"/>
        </w:rPr>
      </w:pPr>
      <w:r w:rsidRPr="70932043">
        <w:rPr>
          <w:rFonts w:cs="Arial"/>
        </w:rPr>
        <w:t>No período de referência, a obra permaneceu temporariamente paralisada em razão da indisponibilidade das áreas previstas para execução, as quais não puderam ser liberadas para o início das intervenções programadas. Em decorrência da ausência de frentes de trabalho disponíveis, não houve execução de serviços no período, não sendo realizada, portanto, medição física e financeira da obra.</w:t>
      </w:r>
    </w:p>
    <w:bookmarkEnd w:id="130"/>
    <w:bookmarkEnd w:id="131"/>
    <w:p w14:paraId="084FE255" w14:textId="750B4E62" w:rsidR="599745EA" w:rsidRDefault="599745EA" w:rsidP="00740B5E">
      <w:r w:rsidRPr="70932043">
        <w:rPr>
          <w:rFonts w:cs="Arial"/>
        </w:rPr>
        <w:t>As áreas previstas para a sequência da execução encontram-se em processo de liberação, estando programada a retomada dos serviços no período subsequente, conforme o planejamento estabelecido.</w:t>
      </w:r>
    </w:p>
    <w:p w14:paraId="39265C39" w14:textId="5DB942E7" w:rsidR="00A97186" w:rsidRDefault="00A97186" w:rsidP="70932043">
      <w:pPr>
        <w:ind w:firstLine="708"/>
        <w:rPr>
          <w:rFonts w:cs="Arial"/>
        </w:rPr>
      </w:pPr>
    </w:p>
    <w:p w14:paraId="4D566C7D" w14:textId="55152E4F" w:rsidR="35899537" w:rsidRDefault="00BD3413" w:rsidP="1A6EC8B6">
      <w:pPr>
        <w:pStyle w:val="Ttulo2"/>
        <w:ind w:left="-5"/>
      </w:pPr>
      <w:bookmarkStart w:id="134" w:name="_Toc229241844"/>
      <w:bookmarkStart w:id="135" w:name="_Toc231974412"/>
      <w:bookmarkStart w:id="136" w:name="_Toc234260382"/>
      <w:r>
        <w:rPr>
          <w:b w:val="0"/>
        </w:rPr>
        <w:t>10</w:t>
      </w:r>
      <w:r w:rsidR="72D7F414">
        <w:rPr>
          <w:b w:val="0"/>
        </w:rPr>
        <w:t>.</w:t>
      </w:r>
      <w:r w:rsidR="0C8BC884">
        <w:rPr>
          <w:b w:val="0"/>
        </w:rPr>
        <w:t>3</w:t>
      </w:r>
      <w:r w:rsidR="72D7F414">
        <w:rPr>
          <w:b w:val="0"/>
        </w:rPr>
        <w:t xml:space="preserve"> </w:t>
      </w:r>
      <w:r w:rsidR="72D7F414">
        <w:t>Manutenção Predial</w:t>
      </w:r>
      <w:bookmarkEnd w:id="134"/>
      <w:bookmarkEnd w:id="135"/>
      <w:bookmarkEnd w:id="136"/>
      <w:r w:rsidR="72D7F414">
        <w:t xml:space="preserve"> </w:t>
      </w:r>
    </w:p>
    <w:p w14:paraId="36E44C28" w14:textId="0B73933B" w:rsidR="131D67B4" w:rsidRDefault="131D67B4" w:rsidP="00740B5E">
      <w:r w:rsidRPr="1CCADB7B">
        <w:rPr>
          <w:rFonts w:cs="Arial"/>
        </w:rPr>
        <w:t>No mês de junho, a equipe de Manutenção Predial concentrou seus esforços na execução de serviços de pintura e revitalização de áreas estratégicas da unidade, promovendo significativa melhoria na conservação, organização e ambientação dos espaços assistenciais e de circulação.</w:t>
      </w:r>
    </w:p>
    <w:p w14:paraId="62907C8F" w14:textId="2A47A561" w:rsidR="131D67B4" w:rsidRDefault="131D67B4" w:rsidP="00740B5E">
      <w:r w:rsidRPr="1CCADB7B">
        <w:rPr>
          <w:rFonts w:cs="Arial"/>
        </w:rPr>
        <w:t>Foram integralmente revitalizados os ambulatórios, corredores, térreo e subsolo, proporcionando melhores condições de uso, valorização da infraestrutura física e maior conforto para pacientes, acompanhantes e colaboradores.</w:t>
      </w:r>
    </w:p>
    <w:p w14:paraId="1C07F3A5" w14:textId="5E0DE723" w:rsidR="131D67B4" w:rsidRDefault="131D67B4" w:rsidP="00740B5E">
      <w:r w:rsidRPr="1CCADB7B">
        <w:rPr>
          <w:rFonts w:cs="Arial"/>
        </w:rPr>
        <w:t>Adicionalmente, foi realizada a revitalização completa da sala de Raios X, incluindo sua adequação para utilização como sala de procedimentos. A intervenção contemplou as adaptações necessárias para atender às demandas operacionais da unidade, garantindo uma estrutura física compatível com a finalidade proposta, em conformidade com os requisitos técnicos e funcionais.</w:t>
      </w:r>
    </w:p>
    <w:p w14:paraId="02ABE7AC" w14:textId="29309965" w:rsidR="131D67B4" w:rsidRDefault="131D67B4" w:rsidP="00740B5E">
      <w:r w:rsidRPr="1CCADB7B">
        <w:rPr>
          <w:rFonts w:cs="Arial"/>
        </w:rPr>
        <w:t>As atividades desenvolvidas refletem o compromisso da equipe de manutenção com a preservação do patrimônio, a melhoria contínua da infraestrutura hospitalar e o suporte às áreas assistenciais, contribuindo diretamente para a segurança, eficiência operacional e qualidade dos serviços prestados à população.</w:t>
      </w:r>
    </w:p>
    <w:p w14:paraId="3F391C4A" w14:textId="10D20364" w:rsidR="1CCADB7B" w:rsidRDefault="1CCADB7B" w:rsidP="1CCADB7B">
      <w:pPr>
        <w:spacing w:after="0" w:line="247" w:lineRule="auto"/>
        <w:ind w:hanging="10"/>
        <w:rPr>
          <w:highlight w:val="yellow"/>
        </w:rPr>
      </w:pPr>
    </w:p>
    <w:tbl>
      <w:tblPr>
        <w:tblStyle w:val="Tabelacomgrade"/>
        <w:tblW w:w="0" w:type="auto"/>
        <w:jc w:val="center"/>
        <w:tblLook w:val="06A0" w:firstRow="1" w:lastRow="0" w:firstColumn="1" w:lastColumn="0" w:noHBand="1" w:noVBand="1"/>
      </w:tblPr>
      <w:tblGrid>
        <w:gridCol w:w="4515"/>
        <w:gridCol w:w="4515"/>
      </w:tblGrid>
      <w:tr w:rsidR="1CCADB7B" w14:paraId="61B2AE46" w14:textId="77777777" w:rsidTr="1CCADB7B">
        <w:trPr>
          <w:trHeight w:val="300"/>
          <w:jc w:val="center"/>
        </w:trPr>
        <w:tc>
          <w:tcPr>
            <w:tcW w:w="4515" w:type="dxa"/>
          </w:tcPr>
          <w:p w14:paraId="35A5B059" w14:textId="10216A35" w:rsidR="1CCADB7B" w:rsidRDefault="1CCADB7B" w:rsidP="1CCADB7B">
            <w:r>
              <w:rPr>
                <w:noProof/>
              </w:rPr>
              <w:lastRenderedPageBreak/>
              <w:drawing>
                <wp:inline distT="0" distB="0" distL="0" distR="0" wp14:anchorId="369EF179" wp14:editId="131F6581">
                  <wp:extent cx="2423283" cy="3240000"/>
                  <wp:effectExtent l="0" t="0" r="0" b="0"/>
                  <wp:docPr id="1621686629" name="Imagem 1621686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787026" name="Picture 760787026"/>
                          <pic:cNvPicPr/>
                        </pic:nvPicPr>
                        <pic:blipFill>
                          <a:blip r:embed="rId96">
                            <a:extLst>
                              <a:ext uri="{28A0092B-C50C-407E-A947-70E740481C1C}">
                                <a14:useLocalDpi xmlns:a14="http://schemas.microsoft.com/office/drawing/2010/main"/>
                              </a:ext>
                            </a:extLst>
                          </a:blip>
                          <a:stretch>
                            <a:fillRect/>
                          </a:stretch>
                        </pic:blipFill>
                        <pic:spPr>
                          <a:xfrm>
                            <a:off x="0" y="0"/>
                            <a:ext cx="2423283" cy="3240000"/>
                          </a:xfrm>
                          <a:prstGeom prst="rect">
                            <a:avLst/>
                          </a:prstGeom>
                        </pic:spPr>
                      </pic:pic>
                    </a:graphicData>
                  </a:graphic>
                </wp:inline>
              </w:drawing>
            </w:r>
          </w:p>
        </w:tc>
        <w:tc>
          <w:tcPr>
            <w:tcW w:w="4515" w:type="dxa"/>
          </w:tcPr>
          <w:p w14:paraId="589D4261" w14:textId="1D74E9D1" w:rsidR="1CCADB7B" w:rsidRDefault="1CCADB7B" w:rsidP="1CCADB7B">
            <w:r>
              <w:rPr>
                <w:noProof/>
              </w:rPr>
              <w:drawing>
                <wp:inline distT="0" distB="0" distL="0" distR="0" wp14:anchorId="5993719D" wp14:editId="425239B8">
                  <wp:extent cx="2423283" cy="3240000"/>
                  <wp:effectExtent l="0" t="0" r="0" b="0"/>
                  <wp:docPr id="1863085554" name="Imagem 1863085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787026" name="Picture 760787026"/>
                          <pic:cNvPicPr/>
                        </pic:nvPicPr>
                        <pic:blipFill>
                          <a:blip r:embed="rId96">
                            <a:extLst>
                              <a:ext uri="{28A0092B-C50C-407E-A947-70E740481C1C}">
                                <a14:useLocalDpi xmlns:a14="http://schemas.microsoft.com/office/drawing/2010/main"/>
                              </a:ext>
                            </a:extLst>
                          </a:blip>
                          <a:stretch>
                            <a:fillRect/>
                          </a:stretch>
                        </pic:blipFill>
                        <pic:spPr>
                          <a:xfrm>
                            <a:off x="0" y="0"/>
                            <a:ext cx="2423283" cy="3240000"/>
                          </a:xfrm>
                          <a:prstGeom prst="rect">
                            <a:avLst/>
                          </a:prstGeom>
                        </pic:spPr>
                      </pic:pic>
                    </a:graphicData>
                  </a:graphic>
                </wp:inline>
              </w:drawing>
            </w:r>
          </w:p>
        </w:tc>
      </w:tr>
    </w:tbl>
    <w:p w14:paraId="42549987" w14:textId="460096F6" w:rsidR="1CCADB7B" w:rsidRDefault="1CCADB7B" w:rsidP="1CCADB7B">
      <w:pPr>
        <w:spacing w:after="0" w:line="247" w:lineRule="auto"/>
        <w:ind w:hanging="10"/>
        <w:jc w:val="center"/>
        <w:rPr>
          <w:highlight w:val="yellow"/>
        </w:rPr>
      </w:pPr>
    </w:p>
    <w:p w14:paraId="7D338A3C" w14:textId="36205FFA" w:rsidR="1CCADB7B" w:rsidRDefault="1CCADB7B" w:rsidP="1CCADB7B">
      <w:pPr>
        <w:spacing w:after="0" w:line="247" w:lineRule="auto"/>
        <w:ind w:hanging="10"/>
        <w:jc w:val="center"/>
      </w:pPr>
    </w:p>
    <w:tbl>
      <w:tblPr>
        <w:tblStyle w:val="Tabelacomgrade"/>
        <w:tblW w:w="0" w:type="auto"/>
        <w:jc w:val="center"/>
        <w:tblLook w:val="06A0" w:firstRow="1" w:lastRow="0" w:firstColumn="1" w:lastColumn="0" w:noHBand="1" w:noVBand="1"/>
      </w:tblPr>
      <w:tblGrid>
        <w:gridCol w:w="4515"/>
        <w:gridCol w:w="4515"/>
      </w:tblGrid>
      <w:tr w:rsidR="1CCADB7B" w14:paraId="613C5873" w14:textId="77777777" w:rsidTr="1CCADB7B">
        <w:trPr>
          <w:trHeight w:val="300"/>
          <w:jc w:val="center"/>
        </w:trPr>
        <w:tc>
          <w:tcPr>
            <w:tcW w:w="4515" w:type="dxa"/>
          </w:tcPr>
          <w:p w14:paraId="725080C1" w14:textId="71185CDC" w:rsidR="15F9E07C" w:rsidRDefault="15F9E07C" w:rsidP="1CCADB7B">
            <w:r>
              <w:rPr>
                <w:noProof/>
              </w:rPr>
              <w:drawing>
                <wp:inline distT="0" distB="0" distL="0" distR="0" wp14:anchorId="387A6AF8" wp14:editId="6D640FC9">
                  <wp:extent cx="2637663" cy="3558357"/>
                  <wp:effectExtent l="0" t="0" r="0" b="0"/>
                  <wp:docPr id="1984260875" name="Imagem 1984260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260875" name="Picture 1984260875"/>
                          <pic:cNvPicPr/>
                        </pic:nvPicPr>
                        <pic:blipFill>
                          <a:blip r:embed="rId97">
                            <a:extLst>
                              <a:ext uri="{28A0092B-C50C-407E-A947-70E740481C1C}">
                                <a14:useLocalDpi xmlns:a14="http://schemas.microsoft.com/office/drawing/2010/main"/>
                              </a:ext>
                            </a:extLst>
                          </a:blip>
                          <a:stretch>
                            <a:fillRect/>
                          </a:stretch>
                        </pic:blipFill>
                        <pic:spPr>
                          <a:xfrm>
                            <a:off x="0" y="0"/>
                            <a:ext cx="2637663" cy="3558357"/>
                          </a:xfrm>
                          <a:prstGeom prst="rect">
                            <a:avLst/>
                          </a:prstGeom>
                        </pic:spPr>
                      </pic:pic>
                    </a:graphicData>
                  </a:graphic>
                </wp:inline>
              </w:drawing>
            </w:r>
          </w:p>
        </w:tc>
        <w:tc>
          <w:tcPr>
            <w:tcW w:w="4515" w:type="dxa"/>
          </w:tcPr>
          <w:p w14:paraId="48BEEB3F" w14:textId="169DA9FF" w:rsidR="4B3490E9" w:rsidRDefault="4B3490E9" w:rsidP="1CCADB7B">
            <w:r>
              <w:rPr>
                <w:noProof/>
              </w:rPr>
              <w:drawing>
                <wp:inline distT="0" distB="0" distL="0" distR="0" wp14:anchorId="356878EB" wp14:editId="4D55A856">
                  <wp:extent cx="2637663" cy="3575226"/>
                  <wp:effectExtent l="0" t="0" r="0" b="0"/>
                  <wp:docPr id="858037610" name="Imagem 858037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037610" name="Picture 858037610"/>
                          <pic:cNvPicPr/>
                        </pic:nvPicPr>
                        <pic:blipFill>
                          <a:blip r:embed="rId98">
                            <a:extLst>
                              <a:ext uri="{28A0092B-C50C-407E-A947-70E740481C1C}">
                                <a14:useLocalDpi xmlns:a14="http://schemas.microsoft.com/office/drawing/2010/main"/>
                              </a:ext>
                            </a:extLst>
                          </a:blip>
                          <a:stretch>
                            <a:fillRect/>
                          </a:stretch>
                        </pic:blipFill>
                        <pic:spPr>
                          <a:xfrm>
                            <a:off x="0" y="0"/>
                            <a:ext cx="2637663" cy="3575226"/>
                          </a:xfrm>
                          <a:prstGeom prst="rect">
                            <a:avLst/>
                          </a:prstGeom>
                        </pic:spPr>
                      </pic:pic>
                    </a:graphicData>
                  </a:graphic>
                </wp:inline>
              </w:drawing>
            </w:r>
          </w:p>
        </w:tc>
      </w:tr>
      <w:tr w:rsidR="1CCADB7B" w14:paraId="400EF29A" w14:textId="77777777" w:rsidTr="1CCADB7B">
        <w:trPr>
          <w:trHeight w:val="300"/>
          <w:jc w:val="center"/>
        </w:trPr>
        <w:tc>
          <w:tcPr>
            <w:tcW w:w="4515" w:type="dxa"/>
          </w:tcPr>
          <w:p w14:paraId="2B0D30B8" w14:textId="7BF42FB0" w:rsidR="15F9E07C" w:rsidRDefault="15F9E07C" w:rsidP="1CCADB7B">
            <w:r>
              <w:rPr>
                <w:noProof/>
              </w:rPr>
              <w:lastRenderedPageBreak/>
              <w:drawing>
                <wp:inline distT="0" distB="0" distL="0" distR="0" wp14:anchorId="5AA90A24" wp14:editId="4C58CD79">
                  <wp:extent cx="2514965" cy="3240000"/>
                  <wp:effectExtent l="0" t="0" r="0" b="0"/>
                  <wp:docPr id="709265580" name="Imagem 709265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265580" name="Picture 709265580"/>
                          <pic:cNvPicPr/>
                        </pic:nvPicPr>
                        <pic:blipFill>
                          <a:blip r:embed="rId99">
                            <a:extLst>
                              <a:ext uri="{28A0092B-C50C-407E-A947-70E740481C1C}">
                                <a14:useLocalDpi xmlns:a14="http://schemas.microsoft.com/office/drawing/2010/main"/>
                              </a:ext>
                            </a:extLst>
                          </a:blip>
                          <a:stretch>
                            <a:fillRect/>
                          </a:stretch>
                        </pic:blipFill>
                        <pic:spPr>
                          <a:xfrm>
                            <a:off x="0" y="0"/>
                            <a:ext cx="2514965" cy="3240000"/>
                          </a:xfrm>
                          <a:prstGeom prst="rect">
                            <a:avLst/>
                          </a:prstGeom>
                        </pic:spPr>
                      </pic:pic>
                    </a:graphicData>
                  </a:graphic>
                </wp:inline>
              </w:drawing>
            </w:r>
          </w:p>
        </w:tc>
        <w:tc>
          <w:tcPr>
            <w:tcW w:w="4515" w:type="dxa"/>
          </w:tcPr>
          <w:p w14:paraId="038FAD61" w14:textId="285208D9" w:rsidR="15F9E07C" w:rsidRDefault="15F9E07C" w:rsidP="1CCADB7B">
            <w:r>
              <w:rPr>
                <w:noProof/>
              </w:rPr>
              <w:drawing>
                <wp:inline distT="0" distB="0" distL="0" distR="0" wp14:anchorId="23E8A03B" wp14:editId="494483CF">
                  <wp:extent cx="2537622" cy="3240000"/>
                  <wp:effectExtent l="0" t="0" r="0" b="0"/>
                  <wp:docPr id="718549114" name="Imagem 718549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549114" name="Picture 718549114"/>
                          <pic:cNvPicPr/>
                        </pic:nvPicPr>
                        <pic:blipFill>
                          <a:blip r:embed="rId100">
                            <a:extLst>
                              <a:ext uri="{28A0092B-C50C-407E-A947-70E740481C1C}">
                                <a14:useLocalDpi xmlns:a14="http://schemas.microsoft.com/office/drawing/2010/main"/>
                              </a:ext>
                            </a:extLst>
                          </a:blip>
                          <a:stretch>
                            <a:fillRect/>
                          </a:stretch>
                        </pic:blipFill>
                        <pic:spPr>
                          <a:xfrm>
                            <a:off x="0" y="0"/>
                            <a:ext cx="2537622" cy="3240000"/>
                          </a:xfrm>
                          <a:prstGeom prst="rect">
                            <a:avLst/>
                          </a:prstGeom>
                        </pic:spPr>
                      </pic:pic>
                    </a:graphicData>
                  </a:graphic>
                </wp:inline>
              </w:drawing>
            </w:r>
          </w:p>
        </w:tc>
      </w:tr>
    </w:tbl>
    <w:p w14:paraId="24D381E1" w14:textId="460096F6" w:rsidR="1CCADB7B" w:rsidRDefault="1CCADB7B" w:rsidP="1CCADB7B">
      <w:pPr>
        <w:spacing w:after="0" w:line="247" w:lineRule="auto"/>
        <w:ind w:hanging="10"/>
        <w:jc w:val="center"/>
        <w:rPr>
          <w:highlight w:val="yellow"/>
        </w:rPr>
      </w:pPr>
    </w:p>
    <w:p w14:paraId="4C1DDD77" w14:textId="36205FFA" w:rsidR="1CCADB7B" w:rsidRDefault="1CCADB7B" w:rsidP="1CCADB7B">
      <w:pPr>
        <w:spacing w:after="0" w:line="247" w:lineRule="auto"/>
        <w:ind w:hanging="10"/>
      </w:pPr>
    </w:p>
    <w:tbl>
      <w:tblPr>
        <w:tblStyle w:val="Tabelacomgrade"/>
        <w:tblW w:w="0" w:type="auto"/>
        <w:jc w:val="center"/>
        <w:tblLook w:val="06A0" w:firstRow="1" w:lastRow="0" w:firstColumn="1" w:lastColumn="0" w:noHBand="1" w:noVBand="1"/>
      </w:tblPr>
      <w:tblGrid>
        <w:gridCol w:w="4515"/>
        <w:gridCol w:w="4515"/>
      </w:tblGrid>
      <w:tr w:rsidR="1CCADB7B" w14:paraId="6AFEC934" w14:textId="77777777" w:rsidTr="1CCADB7B">
        <w:trPr>
          <w:trHeight w:val="300"/>
          <w:jc w:val="center"/>
        </w:trPr>
        <w:tc>
          <w:tcPr>
            <w:tcW w:w="4515" w:type="dxa"/>
          </w:tcPr>
          <w:p w14:paraId="18471AD2" w14:textId="391839A8" w:rsidR="722DC560" w:rsidRDefault="722DC560" w:rsidP="1CCADB7B">
            <w:r>
              <w:rPr>
                <w:noProof/>
              </w:rPr>
              <w:drawing>
                <wp:inline distT="0" distB="0" distL="0" distR="0" wp14:anchorId="0D3ABAB7" wp14:editId="4371526C">
                  <wp:extent cx="2637663" cy="3525096"/>
                  <wp:effectExtent l="0" t="0" r="0" b="0"/>
                  <wp:docPr id="951142970" name="Imagem 951142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142970" name="Picture 951142970"/>
                          <pic:cNvPicPr/>
                        </pic:nvPicPr>
                        <pic:blipFill>
                          <a:blip r:embed="rId101">
                            <a:extLst>
                              <a:ext uri="{28A0092B-C50C-407E-A947-70E740481C1C}">
                                <a14:useLocalDpi xmlns:a14="http://schemas.microsoft.com/office/drawing/2010/main"/>
                              </a:ext>
                            </a:extLst>
                          </a:blip>
                          <a:stretch>
                            <a:fillRect/>
                          </a:stretch>
                        </pic:blipFill>
                        <pic:spPr>
                          <a:xfrm>
                            <a:off x="0" y="0"/>
                            <a:ext cx="2637663" cy="3525096"/>
                          </a:xfrm>
                          <a:prstGeom prst="rect">
                            <a:avLst/>
                          </a:prstGeom>
                        </pic:spPr>
                      </pic:pic>
                    </a:graphicData>
                  </a:graphic>
                </wp:inline>
              </w:drawing>
            </w:r>
          </w:p>
        </w:tc>
        <w:tc>
          <w:tcPr>
            <w:tcW w:w="4515" w:type="dxa"/>
          </w:tcPr>
          <w:p w14:paraId="57BD3603" w14:textId="6EF7156E" w:rsidR="722DC560" w:rsidRDefault="722DC560" w:rsidP="1CCADB7B">
            <w:r>
              <w:rPr>
                <w:noProof/>
              </w:rPr>
              <w:drawing>
                <wp:inline distT="0" distB="0" distL="0" distR="0" wp14:anchorId="4A6138F3" wp14:editId="51E00D73">
                  <wp:extent cx="2637663" cy="3525096"/>
                  <wp:effectExtent l="0" t="0" r="0" b="0"/>
                  <wp:docPr id="397181702" name="Imagem 397181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181702" name="Picture 397181702"/>
                          <pic:cNvPicPr/>
                        </pic:nvPicPr>
                        <pic:blipFill>
                          <a:blip r:embed="rId102">
                            <a:extLst>
                              <a:ext uri="{28A0092B-C50C-407E-A947-70E740481C1C}">
                                <a14:useLocalDpi xmlns:a14="http://schemas.microsoft.com/office/drawing/2010/main"/>
                              </a:ext>
                            </a:extLst>
                          </a:blip>
                          <a:stretch>
                            <a:fillRect/>
                          </a:stretch>
                        </pic:blipFill>
                        <pic:spPr>
                          <a:xfrm>
                            <a:off x="0" y="0"/>
                            <a:ext cx="2637663" cy="3525096"/>
                          </a:xfrm>
                          <a:prstGeom prst="rect">
                            <a:avLst/>
                          </a:prstGeom>
                        </pic:spPr>
                      </pic:pic>
                    </a:graphicData>
                  </a:graphic>
                </wp:inline>
              </w:drawing>
            </w:r>
          </w:p>
        </w:tc>
      </w:tr>
      <w:tr w:rsidR="1CCADB7B" w14:paraId="1C42675A" w14:textId="77777777" w:rsidTr="1CCADB7B">
        <w:tblPrEx>
          <w:jc w:val="left"/>
        </w:tblPrEx>
        <w:trPr>
          <w:trHeight w:val="300"/>
        </w:trPr>
        <w:tc>
          <w:tcPr>
            <w:tcW w:w="4515" w:type="dxa"/>
          </w:tcPr>
          <w:p w14:paraId="5EC23850" w14:textId="15D0A78B" w:rsidR="67CF8122" w:rsidRDefault="67CF8122" w:rsidP="1CCADB7B">
            <w:pPr>
              <w:jc w:val="center"/>
            </w:pPr>
            <w:r>
              <w:rPr>
                <w:noProof/>
              </w:rPr>
              <w:lastRenderedPageBreak/>
              <w:drawing>
                <wp:inline distT="0" distB="0" distL="0" distR="0" wp14:anchorId="009F4CAC" wp14:editId="3FFB2F19">
                  <wp:extent cx="2637663" cy="3508710"/>
                  <wp:effectExtent l="0" t="0" r="0" b="0"/>
                  <wp:docPr id="1091871165" name="Imagem 109187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871165" name="Picture 1091871165"/>
                          <pic:cNvPicPr/>
                        </pic:nvPicPr>
                        <pic:blipFill>
                          <a:blip r:embed="rId103">
                            <a:extLst>
                              <a:ext uri="{28A0092B-C50C-407E-A947-70E740481C1C}">
                                <a14:useLocalDpi xmlns:a14="http://schemas.microsoft.com/office/drawing/2010/main"/>
                              </a:ext>
                            </a:extLst>
                          </a:blip>
                          <a:stretch>
                            <a:fillRect/>
                          </a:stretch>
                        </pic:blipFill>
                        <pic:spPr>
                          <a:xfrm>
                            <a:off x="0" y="0"/>
                            <a:ext cx="2637663" cy="3508710"/>
                          </a:xfrm>
                          <a:prstGeom prst="rect">
                            <a:avLst/>
                          </a:prstGeom>
                        </pic:spPr>
                      </pic:pic>
                    </a:graphicData>
                  </a:graphic>
                </wp:inline>
              </w:drawing>
            </w:r>
          </w:p>
        </w:tc>
        <w:tc>
          <w:tcPr>
            <w:tcW w:w="4515" w:type="dxa"/>
          </w:tcPr>
          <w:p w14:paraId="1DAF7B08" w14:textId="4AAB8F17" w:rsidR="498CCE5F" w:rsidRDefault="498CCE5F" w:rsidP="1CCADB7B">
            <w:pPr>
              <w:jc w:val="center"/>
            </w:pPr>
            <w:r>
              <w:rPr>
                <w:noProof/>
              </w:rPr>
              <w:drawing>
                <wp:inline distT="0" distB="0" distL="0" distR="0" wp14:anchorId="3419D885" wp14:editId="79F916AB">
                  <wp:extent cx="2637663" cy="3476365"/>
                  <wp:effectExtent l="0" t="0" r="0" b="0"/>
                  <wp:docPr id="1515491011" name="Imagem 151549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491011" name="Picture 1515491011"/>
                          <pic:cNvPicPr/>
                        </pic:nvPicPr>
                        <pic:blipFill>
                          <a:blip r:embed="rId104">
                            <a:extLst>
                              <a:ext uri="{28A0092B-C50C-407E-A947-70E740481C1C}">
                                <a14:useLocalDpi xmlns:a14="http://schemas.microsoft.com/office/drawing/2010/main"/>
                              </a:ext>
                            </a:extLst>
                          </a:blip>
                          <a:stretch>
                            <a:fillRect/>
                          </a:stretch>
                        </pic:blipFill>
                        <pic:spPr>
                          <a:xfrm>
                            <a:off x="0" y="0"/>
                            <a:ext cx="2637663" cy="3476365"/>
                          </a:xfrm>
                          <a:prstGeom prst="rect">
                            <a:avLst/>
                          </a:prstGeom>
                        </pic:spPr>
                      </pic:pic>
                    </a:graphicData>
                  </a:graphic>
                </wp:inline>
              </w:drawing>
            </w:r>
          </w:p>
        </w:tc>
      </w:tr>
    </w:tbl>
    <w:p w14:paraId="000BEA5F" w14:textId="460096F6" w:rsidR="1CCADB7B" w:rsidRDefault="1CCADB7B" w:rsidP="1CCADB7B">
      <w:pPr>
        <w:spacing w:after="0" w:line="247" w:lineRule="auto"/>
        <w:ind w:hanging="10"/>
        <w:rPr>
          <w:highlight w:val="yellow"/>
        </w:rPr>
      </w:pPr>
    </w:p>
    <w:p w14:paraId="5F00D7C1" w14:textId="36205FFA" w:rsidR="1CCADB7B" w:rsidRDefault="1CCADB7B" w:rsidP="1CCADB7B">
      <w:pPr>
        <w:spacing w:after="0" w:line="247" w:lineRule="auto"/>
        <w:ind w:hanging="10"/>
      </w:pPr>
    </w:p>
    <w:p w14:paraId="5D8108F1" w14:textId="0FD0F14E" w:rsidR="1CCADB7B" w:rsidRDefault="1CCADB7B" w:rsidP="1CCADB7B">
      <w:pPr>
        <w:spacing w:after="0" w:line="247" w:lineRule="auto"/>
        <w:ind w:hanging="10"/>
      </w:pPr>
    </w:p>
    <w:p w14:paraId="0019AC81" w14:textId="5DCA7A06" w:rsidR="1CCADB7B" w:rsidRDefault="1CCADB7B" w:rsidP="1CCADB7B">
      <w:pPr>
        <w:spacing w:after="0" w:line="247" w:lineRule="auto"/>
        <w:ind w:hanging="10"/>
        <w:rPr>
          <w:rFonts w:cs="Arial"/>
          <w:b/>
          <w:bCs/>
        </w:rPr>
      </w:pPr>
    </w:p>
    <w:p w14:paraId="20CF8697" w14:textId="24C2FF58" w:rsidR="1CCADB7B" w:rsidRDefault="1CCADB7B" w:rsidP="1CCADB7B"/>
    <w:p w14:paraId="768D9871" w14:textId="2D9602CD" w:rsidR="1CCADB7B" w:rsidRDefault="1CCADB7B" w:rsidP="1CCADB7B"/>
    <w:p w14:paraId="69D69371" w14:textId="6E8684F7" w:rsidR="1CCADB7B" w:rsidRDefault="1CCADB7B" w:rsidP="1CCADB7B"/>
    <w:p w14:paraId="0D9D0F2C" w14:textId="7AB0798C" w:rsidR="1CCADB7B" w:rsidRDefault="1CCADB7B" w:rsidP="1CCADB7B"/>
    <w:p w14:paraId="04F1C33D" w14:textId="1AE3C948" w:rsidR="1CCADB7B" w:rsidRDefault="1CCADB7B" w:rsidP="1CCADB7B"/>
    <w:p w14:paraId="0389EEA7" w14:textId="6ED6E470" w:rsidR="1CCADB7B" w:rsidRDefault="1CCADB7B" w:rsidP="1CCADB7B"/>
    <w:p w14:paraId="19A2DAB6" w14:textId="05442A11" w:rsidR="1CCADB7B" w:rsidRDefault="1CCADB7B" w:rsidP="1CCADB7B"/>
    <w:p w14:paraId="0C68CE9F" w14:textId="7A9B987E" w:rsidR="1CCADB7B" w:rsidRDefault="1CCADB7B" w:rsidP="1CCADB7B"/>
    <w:p w14:paraId="212AA990" w14:textId="57F9E39F" w:rsidR="1CCADB7B" w:rsidRDefault="1CCADB7B" w:rsidP="1CCADB7B"/>
    <w:p w14:paraId="45D67E9A" w14:textId="0BD291C4" w:rsidR="00A4224E" w:rsidRPr="00DE5669" w:rsidRDefault="00BD3413" w:rsidP="3D15A949">
      <w:pPr>
        <w:pStyle w:val="Ttulo2"/>
        <w:ind w:left="0"/>
      </w:pPr>
      <w:bookmarkStart w:id="137" w:name="_Toc229241845"/>
      <w:bookmarkStart w:id="138" w:name="_Toc231974415"/>
      <w:bookmarkStart w:id="139" w:name="_Toc234260383"/>
      <w:r>
        <w:rPr>
          <w:b w:val="0"/>
        </w:rPr>
        <w:lastRenderedPageBreak/>
        <w:t>10</w:t>
      </w:r>
      <w:r w:rsidR="1EA22D78">
        <w:rPr>
          <w:b w:val="0"/>
        </w:rPr>
        <w:t>.</w:t>
      </w:r>
      <w:r w:rsidR="25E6C021">
        <w:rPr>
          <w:b w:val="0"/>
        </w:rPr>
        <w:t>4</w:t>
      </w:r>
      <w:r w:rsidR="1EA22D78">
        <w:rPr>
          <w:b w:val="0"/>
        </w:rPr>
        <w:t xml:space="preserve">. </w:t>
      </w:r>
      <w:r w:rsidR="1EA22D78">
        <w:t>Segurança Patrimonial</w:t>
      </w:r>
      <w:bookmarkEnd w:id="137"/>
      <w:bookmarkEnd w:id="138"/>
      <w:bookmarkEnd w:id="139"/>
    </w:p>
    <w:p w14:paraId="02DF4FFB" w14:textId="5E34C01B" w:rsidR="1CCADB7B" w:rsidRDefault="00BD3413" w:rsidP="441FF443">
      <w:pPr>
        <w:rPr>
          <w:b/>
          <w:bCs/>
        </w:rPr>
      </w:pPr>
      <w:r>
        <w:rPr>
          <w:b/>
          <w:bCs/>
        </w:rPr>
        <w:t>10</w:t>
      </w:r>
      <w:r w:rsidR="0DBBF871" w:rsidRPr="441FF443">
        <w:rPr>
          <w:b/>
          <w:bCs/>
        </w:rPr>
        <w:t>.4.1 - Segurança de dignatários</w:t>
      </w:r>
      <w:r w:rsidR="6C34BB94" w:rsidRPr="441FF443">
        <w:rPr>
          <w:b/>
          <w:bCs/>
        </w:rPr>
        <w:t>:</w:t>
      </w:r>
    </w:p>
    <w:p w14:paraId="22E18623" w14:textId="583E0871" w:rsidR="6C34BB94" w:rsidRDefault="6C34BB94" w:rsidP="441FF443">
      <w:r>
        <w:rPr>
          <w:noProof/>
        </w:rPr>
        <w:drawing>
          <wp:inline distT="0" distB="0" distL="0" distR="0" wp14:anchorId="0C845985" wp14:editId="7E8B2556">
            <wp:extent cx="2689486" cy="2016000"/>
            <wp:effectExtent l="0" t="0" r="0" b="3810"/>
            <wp:docPr id="389334441" name="Imagem 389334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334441" name="Picture 389334441"/>
                    <pic:cNvPicPr/>
                  </pic:nvPicPr>
                  <pic:blipFill>
                    <a:blip r:embed="rId105">
                      <a:extLst>
                        <a:ext uri="{28A0092B-C50C-407E-A947-70E740481C1C}">
                          <a14:useLocalDpi xmlns:a14="http://schemas.microsoft.com/office/drawing/2010/main"/>
                        </a:ext>
                      </a:extLst>
                    </a:blip>
                    <a:stretch>
                      <a:fillRect/>
                    </a:stretch>
                  </pic:blipFill>
                  <pic:spPr>
                    <a:xfrm>
                      <a:off x="0" y="0"/>
                      <a:ext cx="2689486" cy="2016000"/>
                    </a:xfrm>
                    <a:prstGeom prst="rect">
                      <a:avLst/>
                    </a:prstGeom>
                  </pic:spPr>
                </pic:pic>
              </a:graphicData>
            </a:graphic>
          </wp:inline>
        </w:drawing>
      </w:r>
      <w:r w:rsidR="18611070">
        <w:rPr>
          <w:noProof/>
        </w:rPr>
        <w:drawing>
          <wp:inline distT="0" distB="0" distL="0" distR="0" wp14:anchorId="7D4BAB58" wp14:editId="76B384E5">
            <wp:extent cx="2894373" cy="2016000"/>
            <wp:effectExtent l="0" t="0" r="1270" b="3810"/>
            <wp:docPr id="1588549977" name="Imagem 1588549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549977" name="Picture 1588549977"/>
                    <pic:cNvPicPr/>
                  </pic:nvPicPr>
                  <pic:blipFill>
                    <a:blip r:embed="rId106">
                      <a:extLst>
                        <a:ext uri="{28A0092B-C50C-407E-A947-70E740481C1C}">
                          <a14:useLocalDpi xmlns:a14="http://schemas.microsoft.com/office/drawing/2010/main"/>
                        </a:ext>
                      </a:extLst>
                    </a:blip>
                    <a:srcRect b="50859"/>
                    <a:stretch>
                      <a:fillRect/>
                    </a:stretch>
                  </pic:blipFill>
                  <pic:spPr>
                    <a:xfrm>
                      <a:off x="0" y="0"/>
                      <a:ext cx="2894373" cy="2016000"/>
                    </a:xfrm>
                    <a:prstGeom prst="rect">
                      <a:avLst/>
                    </a:prstGeom>
                  </pic:spPr>
                </pic:pic>
              </a:graphicData>
            </a:graphic>
          </wp:inline>
        </w:drawing>
      </w:r>
    </w:p>
    <w:p w14:paraId="268B06C0" w14:textId="626CF9F0" w:rsidR="03B77003" w:rsidRDefault="03B77003" w:rsidP="441FF443">
      <w:r w:rsidRPr="441FF443">
        <w:rPr>
          <w:rFonts w:cs="Arial"/>
        </w:rPr>
        <w:t>A Segurança Patrimonial, no mês de junho de 2026, realizou o planejamento e a execução das ações de segurança relacionadas à visita técnica do Exmo. Sr. Governador do Estado de Goiás. Para o atendimento da demanda, foram empregadas atividades de Inteligência em Segurança Institucional em conjunto com a Casa Militar, órgão responsável pela segurança do Chefe do Poder Executivo Estadual, com o objetivo de identificar, avaliar e mitigar riscos potenciais, bem como subsidiar a tomada de decisões estratégicas para a proteção da autoridade. Além das ações de inteligência, foi disponibilizada equipe especializada e devidamente capacitada para atuar na segurança de dignitários, assegurando a integridade física da comitiva, a manutenção da ordem e o pleno êxito da agenda institucional realizada nas dependências da unidade.</w:t>
      </w:r>
    </w:p>
    <w:p w14:paraId="4B5EEE52" w14:textId="6CBF7939" w:rsidR="1CCADB7B" w:rsidRDefault="00BD3413" w:rsidP="441FF443">
      <w:pPr>
        <w:rPr>
          <w:b/>
          <w:bCs/>
        </w:rPr>
      </w:pPr>
      <w:r>
        <w:rPr>
          <w:b/>
          <w:bCs/>
        </w:rPr>
        <w:t>10</w:t>
      </w:r>
      <w:r w:rsidR="03B77003" w:rsidRPr="441FF443">
        <w:rPr>
          <w:b/>
          <w:bCs/>
        </w:rPr>
        <w:t>.4.2 - Apoio a operação aeromédica:</w:t>
      </w:r>
    </w:p>
    <w:p w14:paraId="38E7035F" w14:textId="77777777" w:rsidR="00740B5E" w:rsidRDefault="18986DB2" w:rsidP="441FF443">
      <w:r>
        <w:rPr>
          <w:noProof/>
        </w:rPr>
        <w:drawing>
          <wp:inline distT="0" distB="0" distL="0" distR="0" wp14:anchorId="62998363" wp14:editId="672728C4">
            <wp:extent cx="2466974" cy="2124000"/>
            <wp:effectExtent l="0" t="0" r="0" b="0"/>
            <wp:docPr id="146386357" name="Imagem 146386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155135" name="Picture 1899155135"/>
                    <pic:cNvPicPr/>
                  </pic:nvPicPr>
                  <pic:blipFill>
                    <a:blip r:embed="rId107">
                      <a:extLst>
                        <a:ext uri="{28A0092B-C50C-407E-A947-70E740481C1C}">
                          <a14:useLocalDpi xmlns:a14="http://schemas.microsoft.com/office/drawing/2010/main"/>
                        </a:ext>
                      </a:extLst>
                    </a:blip>
                    <a:stretch>
                      <a:fillRect/>
                    </a:stretch>
                  </pic:blipFill>
                  <pic:spPr>
                    <a:xfrm>
                      <a:off x="0" y="0"/>
                      <a:ext cx="2466974" cy="2124000"/>
                    </a:xfrm>
                    <a:prstGeom prst="rect">
                      <a:avLst/>
                    </a:prstGeom>
                  </pic:spPr>
                </pic:pic>
              </a:graphicData>
            </a:graphic>
          </wp:inline>
        </w:drawing>
      </w:r>
      <w:r>
        <w:rPr>
          <w:noProof/>
        </w:rPr>
        <w:drawing>
          <wp:inline distT="0" distB="0" distL="0" distR="0" wp14:anchorId="61D9CC5B" wp14:editId="1A623E05">
            <wp:extent cx="2434928" cy="2124000"/>
            <wp:effectExtent l="0" t="0" r="3810" b="0"/>
            <wp:docPr id="1392819660" name="Imagem 1392819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819660" name="Picture 1392819660"/>
                    <pic:cNvPicPr/>
                  </pic:nvPicPr>
                  <pic:blipFill>
                    <a:blip r:embed="rId108">
                      <a:extLst>
                        <a:ext uri="{28A0092B-C50C-407E-A947-70E740481C1C}">
                          <a14:useLocalDpi xmlns:a14="http://schemas.microsoft.com/office/drawing/2010/main"/>
                        </a:ext>
                      </a:extLst>
                    </a:blip>
                    <a:stretch>
                      <a:fillRect/>
                    </a:stretch>
                  </pic:blipFill>
                  <pic:spPr>
                    <a:xfrm>
                      <a:off x="0" y="0"/>
                      <a:ext cx="2434928" cy="2124000"/>
                    </a:xfrm>
                    <a:prstGeom prst="rect">
                      <a:avLst/>
                    </a:prstGeom>
                  </pic:spPr>
                </pic:pic>
              </a:graphicData>
            </a:graphic>
          </wp:inline>
        </w:drawing>
      </w:r>
      <w:r w:rsidR="4F3D44AB">
        <w:t xml:space="preserve"> </w:t>
      </w:r>
    </w:p>
    <w:p w14:paraId="1EEA384F" w14:textId="5FFE4697" w:rsidR="18986DB2" w:rsidRDefault="51E32F45" w:rsidP="441FF443">
      <w:r>
        <w:rPr>
          <w:noProof/>
        </w:rPr>
        <w:lastRenderedPageBreak/>
        <w:drawing>
          <wp:inline distT="0" distB="0" distL="0" distR="0" wp14:anchorId="79D7D8EC" wp14:editId="60AADC65">
            <wp:extent cx="2483132" cy="2088000"/>
            <wp:effectExtent l="0" t="0" r="0" b="7620"/>
            <wp:docPr id="2042083829" name="Imagem 2042083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276212" name="Picture 1787276212"/>
                    <pic:cNvPicPr/>
                  </pic:nvPicPr>
                  <pic:blipFill>
                    <a:blip r:embed="rId109">
                      <a:extLst>
                        <a:ext uri="{28A0092B-C50C-407E-A947-70E740481C1C}">
                          <a14:useLocalDpi xmlns:a14="http://schemas.microsoft.com/office/drawing/2010/main"/>
                        </a:ext>
                      </a:extLst>
                    </a:blip>
                    <a:stretch>
                      <a:fillRect/>
                    </a:stretch>
                  </pic:blipFill>
                  <pic:spPr>
                    <a:xfrm>
                      <a:off x="0" y="0"/>
                      <a:ext cx="2483132" cy="2088000"/>
                    </a:xfrm>
                    <a:prstGeom prst="rect">
                      <a:avLst/>
                    </a:prstGeom>
                  </pic:spPr>
                </pic:pic>
              </a:graphicData>
            </a:graphic>
          </wp:inline>
        </w:drawing>
      </w:r>
      <w:r>
        <w:rPr>
          <w:noProof/>
        </w:rPr>
        <w:drawing>
          <wp:inline distT="0" distB="0" distL="0" distR="0" wp14:anchorId="1516E29F" wp14:editId="4976A006">
            <wp:extent cx="2472833" cy="2088000"/>
            <wp:effectExtent l="0" t="0" r="3810" b="7620"/>
            <wp:docPr id="1862921352" name="Imagem 186292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921352" name="Picture 1862921352"/>
                    <pic:cNvPicPr/>
                  </pic:nvPicPr>
                  <pic:blipFill>
                    <a:blip r:embed="rId110">
                      <a:extLst>
                        <a:ext uri="{28A0092B-C50C-407E-A947-70E740481C1C}">
                          <a14:useLocalDpi xmlns:a14="http://schemas.microsoft.com/office/drawing/2010/main"/>
                        </a:ext>
                      </a:extLst>
                    </a:blip>
                    <a:srcRect t="33110"/>
                    <a:stretch>
                      <a:fillRect/>
                    </a:stretch>
                  </pic:blipFill>
                  <pic:spPr>
                    <a:xfrm>
                      <a:off x="0" y="0"/>
                      <a:ext cx="2472833" cy="2088000"/>
                    </a:xfrm>
                    <a:prstGeom prst="rect">
                      <a:avLst/>
                    </a:prstGeom>
                  </pic:spPr>
                </pic:pic>
              </a:graphicData>
            </a:graphic>
          </wp:inline>
        </w:drawing>
      </w:r>
    </w:p>
    <w:p w14:paraId="0848C6C2" w14:textId="179F7702" w:rsidR="3EDDE6E7" w:rsidRDefault="3EDDE6E7" w:rsidP="441FF443">
      <w:r w:rsidRPr="441FF443">
        <w:rPr>
          <w:rFonts w:cs="Arial"/>
        </w:rPr>
        <w:t>A Segurança Patrimonial, no mês de junho de 2026, realizou diversas missões de apoio às operações de atendimento aeromédico conduzidas pelo Corpo de Bombeiros Militar do Estado de Goiás e pela Polícia Militar do Estado de Goiás. No âmbito dessas operações, foram executadas ações de prevenção e combate a incêndio, bem como atividades de segurança operacional voltadas à proteção das áreas de pouso e decolagem das aeronaves. Tais medidas são essenciais para a mitigação de riscos, prevenção de acidentes e garantia de pronta resposta a eventuais ocorrências de segurança, contribuindo para a eficiência e continuidade das missões aeromédicas. As ações desenvolvidas reforçam o compromisso da Segurança Patrimonial com a preservação da integridade das equipes envolvidas, dos pacientes transportados e dos recursos empregados nas operações de atendimento de emergência.</w:t>
      </w:r>
    </w:p>
    <w:p w14:paraId="570F44BB" w14:textId="13964DC6" w:rsidR="3EDDE6E7" w:rsidRDefault="00BD3413" w:rsidP="441FF443">
      <w:r>
        <w:rPr>
          <w:b/>
          <w:bCs/>
        </w:rPr>
        <w:t>10</w:t>
      </w:r>
      <w:r w:rsidR="3EDDE6E7" w:rsidRPr="441FF443">
        <w:rPr>
          <w:b/>
          <w:bCs/>
        </w:rPr>
        <w:t>.4.3 - Apoio nas operações e atividades de risco:</w:t>
      </w:r>
    </w:p>
    <w:p w14:paraId="6BC763DD" w14:textId="7FFDB651" w:rsidR="631A567E" w:rsidRDefault="631A567E" w:rsidP="441FF443">
      <w:pPr>
        <w:rPr>
          <w:b/>
          <w:bCs/>
        </w:rPr>
      </w:pPr>
      <w:r>
        <w:rPr>
          <w:noProof/>
        </w:rPr>
        <w:drawing>
          <wp:inline distT="0" distB="0" distL="0" distR="0" wp14:anchorId="1FDB90B3" wp14:editId="374EE5D5">
            <wp:extent cx="2220057" cy="2700000"/>
            <wp:effectExtent l="0" t="0" r="8890" b="5715"/>
            <wp:docPr id="1673113546" name="Imagem 1673113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113546" name="Picture 1673113546"/>
                    <pic:cNvPicPr/>
                  </pic:nvPicPr>
                  <pic:blipFill>
                    <a:blip r:embed="rId111">
                      <a:extLst>
                        <a:ext uri="{28A0092B-C50C-407E-A947-70E740481C1C}">
                          <a14:useLocalDpi xmlns:a14="http://schemas.microsoft.com/office/drawing/2010/main"/>
                        </a:ext>
                      </a:extLst>
                    </a:blip>
                    <a:srcRect t="26533"/>
                    <a:stretch>
                      <a:fillRect/>
                    </a:stretch>
                  </pic:blipFill>
                  <pic:spPr>
                    <a:xfrm>
                      <a:off x="0" y="0"/>
                      <a:ext cx="2220057" cy="2700000"/>
                    </a:xfrm>
                    <a:prstGeom prst="rect">
                      <a:avLst/>
                    </a:prstGeom>
                  </pic:spPr>
                </pic:pic>
              </a:graphicData>
            </a:graphic>
          </wp:inline>
        </w:drawing>
      </w:r>
      <w:r>
        <w:rPr>
          <w:noProof/>
        </w:rPr>
        <w:drawing>
          <wp:inline distT="0" distB="0" distL="0" distR="0" wp14:anchorId="780FEB2A" wp14:editId="3B713CA5">
            <wp:extent cx="2153702" cy="2700000"/>
            <wp:effectExtent l="0" t="0" r="0" b="5715"/>
            <wp:docPr id="36731414" name="Imagem 3673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31414" name="Picture 36731414"/>
                    <pic:cNvPicPr/>
                  </pic:nvPicPr>
                  <pic:blipFill>
                    <a:blip r:embed="rId112">
                      <a:extLst>
                        <a:ext uri="{28A0092B-C50C-407E-A947-70E740481C1C}">
                          <a14:useLocalDpi xmlns:a14="http://schemas.microsoft.com/office/drawing/2010/main"/>
                        </a:ext>
                      </a:extLst>
                    </a:blip>
                    <a:srcRect t="24709"/>
                    <a:stretch>
                      <a:fillRect/>
                    </a:stretch>
                  </pic:blipFill>
                  <pic:spPr>
                    <a:xfrm>
                      <a:off x="0" y="0"/>
                      <a:ext cx="2153702" cy="2700000"/>
                    </a:xfrm>
                    <a:prstGeom prst="rect">
                      <a:avLst/>
                    </a:prstGeom>
                  </pic:spPr>
                </pic:pic>
              </a:graphicData>
            </a:graphic>
          </wp:inline>
        </w:drawing>
      </w:r>
    </w:p>
    <w:p w14:paraId="591D2118" w14:textId="60197CA4" w:rsidR="7F05F9D9" w:rsidRDefault="7F05F9D9" w:rsidP="441FF443">
      <w:r w:rsidRPr="441FF443">
        <w:rPr>
          <w:rFonts w:cs="Arial"/>
        </w:rPr>
        <w:lastRenderedPageBreak/>
        <w:t>A Segurança Patrimonial, no mês de junho de 2026, acompanhou diversas frentes de trabalho e atividades classificadas como de risco, atuando de forma preventiva por meio de orientações de segurança, sinalização das áreas operacionais e adoção de medidas voltadas à prevenção de acidentes. Durante a execução dessas atividades, as equipes permaneceram em prontidão para atuar em situações que demandassem intervenção imediata, contribuindo para a mitigação de riscos, preservação da integridade física dos colaboradores, terceiros e usuários, bem como para a manutenção da segurança e continuidade das operações institucionais. A atuação preventiva e o acompanhamento contínuo das atividades reforçam o compromisso da Segurança Patrimonial com a promoção de um ambiente seguro e alinhado às melhores práticas de gestão de riscos e segurança operacional.</w:t>
      </w:r>
    </w:p>
    <w:p w14:paraId="7BAAC946" w14:textId="45D884E6" w:rsidR="441FF443" w:rsidRDefault="441FF443" w:rsidP="441FF443"/>
    <w:p w14:paraId="352983A6" w14:textId="5A792740" w:rsidR="00A4224E" w:rsidRDefault="00BD3413" w:rsidP="006532A4">
      <w:pPr>
        <w:pStyle w:val="Ttulo2"/>
        <w:ind w:left="-5"/>
        <w:rPr>
          <w:b w:val="0"/>
        </w:rPr>
      </w:pPr>
      <w:bookmarkStart w:id="140" w:name="_Toc229241846"/>
      <w:bookmarkStart w:id="141" w:name="_Toc231974416"/>
      <w:bookmarkStart w:id="142" w:name="_Toc234260384"/>
      <w:r>
        <w:rPr>
          <w:b w:val="0"/>
        </w:rPr>
        <w:t>10</w:t>
      </w:r>
      <w:r w:rsidR="144AD31D">
        <w:rPr>
          <w:b w:val="0"/>
        </w:rPr>
        <w:t>.</w:t>
      </w:r>
      <w:r w:rsidR="66E4FB22">
        <w:rPr>
          <w:b w:val="0"/>
        </w:rPr>
        <w:t>5</w:t>
      </w:r>
      <w:r w:rsidR="144AD31D">
        <w:rPr>
          <w:b w:val="0"/>
        </w:rPr>
        <w:t xml:space="preserve"> </w:t>
      </w:r>
      <w:r w:rsidR="144AD31D">
        <w:t>Engenharia Clínica</w:t>
      </w:r>
      <w:bookmarkEnd w:id="140"/>
      <w:bookmarkEnd w:id="141"/>
      <w:bookmarkEnd w:id="142"/>
      <w:r w:rsidR="144AD31D">
        <w:rPr>
          <w:b w:val="0"/>
        </w:rPr>
        <w:t xml:space="preserve"> </w:t>
      </w:r>
    </w:p>
    <w:p w14:paraId="536C3437" w14:textId="07AA3C04" w:rsidR="004852BD" w:rsidRPr="00740B5E" w:rsidRDefault="004852BD" w:rsidP="00740B5E">
      <w:pPr>
        <w:pStyle w:val="paragraph"/>
        <w:spacing w:before="0" w:beforeAutospacing="0" w:after="0" w:afterAutospacing="0"/>
        <w:jc w:val="both"/>
        <w:textAlignment w:val="baseline"/>
        <w:rPr>
          <w:rFonts w:ascii="Arial" w:eastAsia="Arial" w:hAnsi="Arial" w:cs="Arial"/>
          <w:color w:val="000000" w:themeColor="text1"/>
        </w:rPr>
      </w:pPr>
      <w:r w:rsidRPr="00740B5E">
        <w:rPr>
          <w:rFonts w:ascii="Arial" w:eastAsia="Arial" w:hAnsi="Arial"/>
        </w:rPr>
        <w:t xml:space="preserve">Durante o mês de junho 2026, foram abertas, ao total, </w:t>
      </w:r>
      <w:r w:rsidR="00167F43" w:rsidRPr="00740B5E">
        <w:rPr>
          <w:rFonts w:ascii="Arial" w:eastAsia="Arial" w:hAnsi="Arial"/>
        </w:rPr>
        <w:t>1.5</w:t>
      </w:r>
      <w:r w:rsidR="00884324" w:rsidRPr="00740B5E">
        <w:rPr>
          <w:rFonts w:ascii="Arial" w:eastAsia="Arial" w:hAnsi="Arial"/>
        </w:rPr>
        <w:t>92</w:t>
      </w:r>
      <w:r w:rsidRPr="00740B5E">
        <w:rPr>
          <w:rFonts w:ascii="Arial" w:eastAsia="Arial" w:hAnsi="Arial"/>
        </w:rPr>
        <w:t xml:space="preserve"> ordens de serviço. Destas, foram executadas um total de </w:t>
      </w:r>
      <w:r w:rsidR="00884324" w:rsidRPr="00740B5E">
        <w:rPr>
          <w:rFonts w:ascii="Arial" w:eastAsia="Arial" w:hAnsi="Arial"/>
        </w:rPr>
        <w:t>1.</w:t>
      </w:r>
      <w:r w:rsidR="00E64F48" w:rsidRPr="00740B5E">
        <w:rPr>
          <w:rFonts w:ascii="Arial" w:eastAsia="Arial" w:hAnsi="Arial"/>
        </w:rPr>
        <w:t>513</w:t>
      </w:r>
      <w:r w:rsidRPr="00740B5E">
        <w:rPr>
          <w:rFonts w:ascii="Arial" w:eastAsia="Arial" w:hAnsi="Arial"/>
        </w:rPr>
        <w:t xml:space="preserve"> ordens de serviço, </w:t>
      </w:r>
      <w:r w:rsidR="006035EE" w:rsidRPr="00740B5E">
        <w:rPr>
          <w:rFonts w:ascii="Arial" w:eastAsia="Arial" w:hAnsi="Arial"/>
        </w:rPr>
        <w:t>representando um percentual de conclusão de 95,03%. </w:t>
      </w:r>
      <w:r w:rsidR="006035EE" w:rsidRPr="00740B5E">
        <w:rPr>
          <w:rFonts w:eastAsia="Arial"/>
        </w:rPr>
        <w:t> </w:t>
      </w:r>
      <w:r w:rsidR="001A0961" w:rsidRPr="00740B5E">
        <w:rPr>
          <w:rFonts w:ascii="Arial" w:eastAsia="Arial" w:hAnsi="Arial"/>
        </w:rPr>
        <w:t>Foram fechadas</w:t>
      </w:r>
      <w:r w:rsidRPr="00740B5E">
        <w:rPr>
          <w:rFonts w:ascii="Arial" w:eastAsia="Arial" w:hAnsi="Arial"/>
        </w:rPr>
        <w:t xml:space="preserve"> </w:t>
      </w:r>
      <w:r w:rsidR="006035EE" w:rsidRPr="00740B5E">
        <w:rPr>
          <w:rFonts w:ascii="Arial" w:eastAsia="Arial" w:hAnsi="Arial"/>
        </w:rPr>
        <w:t>392</w:t>
      </w:r>
      <w:r w:rsidRPr="00740B5E">
        <w:rPr>
          <w:rFonts w:ascii="Arial" w:eastAsia="Arial" w:hAnsi="Arial"/>
        </w:rPr>
        <w:t xml:space="preserve"> ordens de serviços pendentes de meses anteriores</w:t>
      </w:r>
      <w:r w:rsidR="00582848" w:rsidRPr="00740B5E">
        <w:rPr>
          <w:rFonts w:ascii="Arial" w:eastAsia="Arial" w:hAnsi="Arial"/>
        </w:rPr>
        <w:t>.</w:t>
      </w:r>
      <w:r w:rsidRPr="00740B5E">
        <w:rPr>
          <w:rFonts w:ascii="Arial" w:eastAsia="Arial" w:hAnsi="Arial"/>
        </w:rPr>
        <w:t> </w:t>
      </w:r>
    </w:p>
    <w:p w14:paraId="52F13A7B" w14:textId="2E485642" w:rsidR="00167F43" w:rsidRPr="00740B5E" w:rsidRDefault="004852BD" w:rsidP="00740B5E">
      <w:pPr>
        <w:pStyle w:val="paragraph"/>
        <w:spacing w:before="0" w:beforeAutospacing="0" w:after="0" w:afterAutospacing="0"/>
        <w:jc w:val="both"/>
        <w:textAlignment w:val="baseline"/>
        <w:rPr>
          <w:rFonts w:eastAsia="Arial"/>
        </w:rPr>
      </w:pPr>
      <w:r w:rsidRPr="00740B5E">
        <w:rPr>
          <w:rFonts w:ascii="Arial" w:eastAsia="Arial" w:hAnsi="Arial"/>
        </w:rPr>
        <w:t xml:space="preserve">O gráfico abaixo demonstra o perfil das atividades desenvolvidas pelo serviço de engenharia clínica no mês de </w:t>
      </w:r>
      <w:r w:rsidR="00582848" w:rsidRPr="00740B5E">
        <w:rPr>
          <w:rFonts w:ascii="Arial" w:eastAsia="Arial" w:hAnsi="Arial"/>
        </w:rPr>
        <w:t>junho</w:t>
      </w:r>
      <w:r w:rsidRPr="00740B5E">
        <w:rPr>
          <w:rFonts w:ascii="Arial" w:eastAsia="Arial" w:hAnsi="Arial"/>
        </w:rPr>
        <w:t xml:space="preserve"> de 2026. </w:t>
      </w:r>
      <w:r w:rsidRPr="00740B5E">
        <w:rPr>
          <w:rFonts w:eastAsia="Arial"/>
        </w:rPr>
        <w:t> </w:t>
      </w:r>
    </w:p>
    <w:p w14:paraId="18BF88D6" w14:textId="21E295E4" w:rsidR="00167F43" w:rsidRDefault="00CE0D8A" w:rsidP="0068623F">
      <w:pPr>
        <w:pStyle w:val="paragraph"/>
        <w:spacing w:before="0" w:beforeAutospacing="0" w:after="0" w:afterAutospacing="0"/>
        <w:textAlignment w:val="baseline"/>
        <w:rPr>
          <w:rStyle w:val="eop"/>
          <w:rFonts w:ascii="Arial" w:hAnsi="Arial" w:cs="Arial"/>
          <w:color w:val="000000"/>
        </w:rPr>
      </w:pPr>
      <w:r w:rsidRPr="00CE0D8A">
        <w:rPr>
          <w:rStyle w:val="eop"/>
          <w:rFonts w:ascii="Arial" w:hAnsi="Arial" w:cs="Arial"/>
          <w:noProof/>
          <w:color w:val="000000"/>
        </w:rPr>
        <w:drawing>
          <wp:inline distT="0" distB="0" distL="0" distR="0" wp14:anchorId="51804B7F" wp14:editId="35922FA8">
            <wp:extent cx="5741670" cy="358267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741670" cy="3582670"/>
                    </a:xfrm>
                    <a:prstGeom prst="rect">
                      <a:avLst/>
                    </a:prstGeom>
                  </pic:spPr>
                </pic:pic>
              </a:graphicData>
            </a:graphic>
          </wp:inline>
        </w:drawing>
      </w:r>
    </w:p>
    <w:p w14:paraId="316D403F" w14:textId="310C1303" w:rsidR="002F3203" w:rsidRPr="00740B5E" w:rsidRDefault="00317DF8" w:rsidP="00740B5E">
      <w:pPr>
        <w:pStyle w:val="paragraph"/>
        <w:spacing w:before="0" w:beforeAutospacing="0" w:after="0" w:afterAutospacing="0"/>
        <w:jc w:val="both"/>
        <w:textAlignment w:val="baseline"/>
        <w:rPr>
          <w:rFonts w:ascii="Arial" w:eastAsia="Arial" w:hAnsi="Arial" w:cs="Arial"/>
          <w:color w:val="000000" w:themeColor="text1"/>
        </w:rPr>
      </w:pPr>
      <w:r w:rsidRPr="00740B5E">
        <w:rPr>
          <w:rFonts w:ascii="Arial" w:eastAsia="Arial" w:hAnsi="Arial" w:cs="Arial"/>
          <w:color w:val="000000" w:themeColor="text1"/>
        </w:rPr>
        <w:lastRenderedPageBreak/>
        <w:t xml:space="preserve">Nos </w:t>
      </w:r>
      <w:proofErr w:type="gramStart"/>
      <w:r w:rsidRPr="00740B5E">
        <w:rPr>
          <w:rFonts w:ascii="Arial" w:eastAsia="Arial" w:hAnsi="Arial" w:cs="Arial"/>
          <w:color w:val="000000" w:themeColor="text1"/>
        </w:rPr>
        <w:t>meses  de</w:t>
      </w:r>
      <w:proofErr w:type="gramEnd"/>
      <w:r w:rsidRPr="00740B5E">
        <w:rPr>
          <w:rFonts w:ascii="Arial" w:eastAsia="Arial" w:hAnsi="Arial" w:cs="Arial"/>
          <w:color w:val="000000" w:themeColor="text1"/>
        </w:rPr>
        <w:t xml:space="preserve"> </w:t>
      </w:r>
      <w:r w:rsidR="004B5323" w:rsidRPr="00740B5E">
        <w:rPr>
          <w:rFonts w:ascii="Arial" w:eastAsia="Arial" w:hAnsi="Arial" w:cs="Arial"/>
          <w:color w:val="000000" w:themeColor="text1"/>
        </w:rPr>
        <w:t xml:space="preserve">maio abril começamos a </w:t>
      </w:r>
      <w:r w:rsidR="00886E5F" w:rsidRPr="00740B5E">
        <w:rPr>
          <w:rFonts w:ascii="Arial" w:eastAsia="Arial" w:hAnsi="Arial" w:cs="Arial"/>
          <w:color w:val="000000" w:themeColor="text1"/>
        </w:rPr>
        <w:t>reestruturar</w:t>
      </w:r>
      <w:r w:rsidR="004B5323" w:rsidRPr="00740B5E">
        <w:rPr>
          <w:rFonts w:ascii="Arial" w:eastAsia="Arial" w:hAnsi="Arial" w:cs="Arial"/>
          <w:color w:val="000000" w:themeColor="text1"/>
        </w:rPr>
        <w:t xml:space="preserve"> as </w:t>
      </w:r>
      <w:r w:rsidR="00886E5F" w:rsidRPr="00740B5E">
        <w:rPr>
          <w:rFonts w:ascii="Arial" w:eastAsia="Arial" w:hAnsi="Arial" w:cs="Arial"/>
          <w:color w:val="000000" w:themeColor="text1"/>
        </w:rPr>
        <w:t xml:space="preserve">adequações nas rotinas </w:t>
      </w:r>
      <w:proofErr w:type="gramStart"/>
      <w:r w:rsidR="00886E5F" w:rsidRPr="00740B5E">
        <w:rPr>
          <w:rFonts w:ascii="Arial" w:eastAsia="Arial" w:hAnsi="Arial" w:cs="Arial"/>
          <w:color w:val="000000" w:themeColor="text1"/>
        </w:rPr>
        <w:t>da  equipe</w:t>
      </w:r>
      <w:proofErr w:type="gramEnd"/>
      <w:r w:rsidR="00886E5F" w:rsidRPr="00740B5E">
        <w:rPr>
          <w:rFonts w:ascii="Arial" w:eastAsia="Arial" w:hAnsi="Arial" w:cs="Arial"/>
          <w:color w:val="000000" w:themeColor="text1"/>
        </w:rPr>
        <w:t xml:space="preserve"> para melhor desempenho </w:t>
      </w:r>
      <w:r w:rsidR="00D03C97" w:rsidRPr="00740B5E">
        <w:rPr>
          <w:rFonts w:ascii="Arial" w:eastAsia="Arial" w:hAnsi="Arial" w:cs="Arial"/>
          <w:color w:val="000000" w:themeColor="text1"/>
        </w:rPr>
        <w:t>nas conclusões d</w:t>
      </w:r>
      <w:r w:rsidR="000D7B81" w:rsidRPr="00740B5E">
        <w:rPr>
          <w:rFonts w:ascii="Arial" w:eastAsia="Arial" w:hAnsi="Arial" w:cs="Arial"/>
          <w:color w:val="000000" w:themeColor="text1"/>
        </w:rPr>
        <w:t xml:space="preserve">as atividades. O mês de junho começa a dar melhores resultados </w:t>
      </w:r>
      <w:r w:rsidR="005A5B92" w:rsidRPr="00740B5E">
        <w:rPr>
          <w:rFonts w:ascii="Arial" w:eastAsia="Arial" w:hAnsi="Arial" w:cs="Arial"/>
          <w:color w:val="000000" w:themeColor="text1"/>
        </w:rPr>
        <w:t>onde a taxa de conclusão d</w:t>
      </w:r>
      <w:r w:rsidR="00B5548E" w:rsidRPr="00740B5E">
        <w:rPr>
          <w:rFonts w:ascii="Arial" w:eastAsia="Arial" w:hAnsi="Arial" w:cs="Arial"/>
          <w:color w:val="000000" w:themeColor="text1"/>
        </w:rPr>
        <w:t>e</w:t>
      </w:r>
      <w:r w:rsidR="00164FF0" w:rsidRPr="00740B5E">
        <w:rPr>
          <w:rFonts w:ascii="Arial" w:eastAsia="Arial" w:hAnsi="Arial" w:cs="Arial"/>
          <w:color w:val="000000" w:themeColor="text1"/>
        </w:rPr>
        <w:t xml:space="preserve"> ordens de </w:t>
      </w:r>
      <w:proofErr w:type="gramStart"/>
      <w:r w:rsidR="00164FF0" w:rsidRPr="00740B5E">
        <w:rPr>
          <w:rFonts w:ascii="Arial" w:eastAsia="Arial" w:hAnsi="Arial" w:cs="Arial"/>
          <w:color w:val="000000" w:themeColor="text1"/>
        </w:rPr>
        <w:t xml:space="preserve">serviço </w:t>
      </w:r>
      <w:r w:rsidR="001A3683" w:rsidRPr="00740B5E">
        <w:rPr>
          <w:rFonts w:ascii="Arial" w:eastAsia="Arial" w:hAnsi="Arial" w:cs="Arial"/>
          <w:color w:val="000000" w:themeColor="text1"/>
        </w:rPr>
        <w:t xml:space="preserve"> terminamos</w:t>
      </w:r>
      <w:proofErr w:type="gramEnd"/>
      <w:r w:rsidR="001A3683" w:rsidRPr="00740B5E">
        <w:rPr>
          <w:rFonts w:ascii="Arial" w:eastAsia="Arial" w:hAnsi="Arial" w:cs="Arial"/>
          <w:color w:val="000000" w:themeColor="text1"/>
        </w:rPr>
        <w:t xml:space="preserve"> com 95</w:t>
      </w:r>
      <w:r w:rsidR="006F6E7F" w:rsidRPr="00740B5E">
        <w:rPr>
          <w:rFonts w:ascii="Arial" w:eastAsia="Arial" w:hAnsi="Arial" w:cs="Arial"/>
          <w:color w:val="000000" w:themeColor="text1"/>
        </w:rPr>
        <w:t xml:space="preserve">,03 de todos os serviços </w:t>
      </w:r>
      <w:proofErr w:type="gramStart"/>
      <w:r w:rsidR="006F6E7F" w:rsidRPr="00740B5E">
        <w:rPr>
          <w:rFonts w:ascii="Arial" w:eastAsia="Arial" w:hAnsi="Arial" w:cs="Arial"/>
          <w:color w:val="000000" w:themeColor="text1"/>
        </w:rPr>
        <w:t>concluídos,  redução</w:t>
      </w:r>
      <w:proofErr w:type="gramEnd"/>
      <w:r w:rsidR="006F6E7F" w:rsidRPr="00740B5E">
        <w:rPr>
          <w:rFonts w:ascii="Arial" w:eastAsia="Arial" w:hAnsi="Arial" w:cs="Arial"/>
          <w:color w:val="000000" w:themeColor="text1"/>
        </w:rPr>
        <w:t xml:space="preserve"> no backlog</w:t>
      </w:r>
      <w:r w:rsidR="001872E4" w:rsidRPr="00740B5E">
        <w:rPr>
          <w:rFonts w:ascii="Arial" w:eastAsia="Arial" w:hAnsi="Arial" w:cs="Arial"/>
          <w:color w:val="000000" w:themeColor="text1"/>
        </w:rPr>
        <w:t xml:space="preserve"> de ordens de meses anteriores.</w:t>
      </w:r>
      <w:r w:rsidR="00F84250" w:rsidRPr="00740B5E">
        <w:rPr>
          <w:rFonts w:ascii="Arial" w:eastAsia="Arial" w:hAnsi="Arial" w:cs="Arial"/>
          <w:color w:val="000000" w:themeColor="text1"/>
        </w:rPr>
        <w:t xml:space="preserve">  Estas ações visam o melhor tratamento do parque tecnológico do hospital.</w:t>
      </w:r>
    </w:p>
    <w:p w14:paraId="0161C80D" w14:textId="51B71B43" w:rsidR="00F84250" w:rsidRPr="00740B5E" w:rsidRDefault="00F84250" w:rsidP="00740B5E">
      <w:pPr>
        <w:pStyle w:val="paragraph"/>
        <w:spacing w:before="0" w:beforeAutospacing="0" w:after="0" w:afterAutospacing="0"/>
        <w:jc w:val="both"/>
        <w:textAlignment w:val="baseline"/>
        <w:rPr>
          <w:rFonts w:ascii="Arial" w:eastAsia="Arial" w:hAnsi="Arial" w:cs="Arial"/>
          <w:color w:val="000000" w:themeColor="text1"/>
        </w:rPr>
      </w:pPr>
      <w:r w:rsidRPr="00740B5E">
        <w:rPr>
          <w:rFonts w:ascii="Arial" w:eastAsia="Arial" w:hAnsi="Arial" w:cs="Arial"/>
          <w:color w:val="000000" w:themeColor="text1"/>
        </w:rPr>
        <w:t>N</w:t>
      </w:r>
      <w:r w:rsidR="006F01D5" w:rsidRPr="00740B5E">
        <w:rPr>
          <w:rFonts w:ascii="Arial" w:eastAsia="Arial" w:hAnsi="Arial" w:cs="Arial"/>
          <w:color w:val="000000" w:themeColor="text1"/>
        </w:rPr>
        <w:t xml:space="preserve">o mês de junho foram </w:t>
      </w:r>
      <w:proofErr w:type="gramStart"/>
      <w:r w:rsidR="006F01D5" w:rsidRPr="00740B5E">
        <w:rPr>
          <w:rFonts w:ascii="Arial" w:eastAsia="Arial" w:hAnsi="Arial" w:cs="Arial"/>
          <w:color w:val="000000" w:themeColor="text1"/>
        </w:rPr>
        <w:t xml:space="preserve">realizados </w:t>
      </w:r>
      <w:r w:rsidR="00DA1BCB" w:rsidRPr="00740B5E">
        <w:rPr>
          <w:rFonts w:ascii="Arial" w:eastAsia="Arial" w:hAnsi="Arial" w:cs="Arial"/>
          <w:color w:val="000000" w:themeColor="text1"/>
        </w:rPr>
        <w:t xml:space="preserve"> treinamentos</w:t>
      </w:r>
      <w:proofErr w:type="gramEnd"/>
      <w:r w:rsidR="00DA1BCB" w:rsidRPr="00740B5E">
        <w:rPr>
          <w:rFonts w:ascii="Arial" w:eastAsia="Arial" w:hAnsi="Arial" w:cs="Arial"/>
          <w:color w:val="000000" w:themeColor="text1"/>
        </w:rPr>
        <w:t xml:space="preserve"> de novos </w:t>
      </w:r>
      <w:proofErr w:type="gramStart"/>
      <w:r w:rsidR="00DA1BCB" w:rsidRPr="00740B5E">
        <w:rPr>
          <w:rFonts w:ascii="Arial" w:eastAsia="Arial" w:hAnsi="Arial" w:cs="Arial"/>
          <w:color w:val="000000" w:themeColor="text1"/>
        </w:rPr>
        <w:t xml:space="preserve">equipamentos, </w:t>
      </w:r>
      <w:r w:rsidR="007F1F34" w:rsidRPr="00740B5E">
        <w:rPr>
          <w:rFonts w:ascii="Arial" w:eastAsia="Arial" w:hAnsi="Arial" w:cs="Arial"/>
          <w:color w:val="000000" w:themeColor="text1"/>
        </w:rPr>
        <w:t xml:space="preserve"> reciclagem</w:t>
      </w:r>
      <w:proofErr w:type="gramEnd"/>
      <w:r w:rsidR="00120F74" w:rsidRPr="00740B5E">
        <w:rPr>
          <w:rFonts w:ascii="Arial" w:eastAsia="Arial" w:hAnsi="Arial" w:cs="Arial"/>
          <w:color w:val="000000" w:themeColor="text1"/>
        </w:rPr>
        <w:t xml:space="preserve"> das equipes. Os treinamentos ofertados foram</w:t>
      </w:r>
      <w:r w:rsidR="00DA1B4A" w:rsidRPr="00740B5E">
        <w:rPr>
          <w:rFonts w:ascii="Arial" w:eastAsia="Arial" w:hAnsi="Arial" w:cs="Arial"/>
          <w:color w:val="000000" w:themeColor="text1"/>
        </w:rPr>
        <w:t>:</w:t>
      </w:r>
      <w:r w:rsidR="0094694F" w:rsidRPr="00740B5E">
        <w:rPr>
          <w:rFonts w:ascii="Arial" w:eastAsia="Arial" w:hAnsi="Arial" w:cs="Arial"/>
          <w:color w:val="000000" w:themeColor="text1"/>
        </w:rPr>
        <w:t xml:space="preserve"> treinamento e reciclagem C</w:t>
      </w:r>
      <w:r w:rsidR="0009753B" w:rsidRPr="00740B5E">
        <w:rPr>
          <w:rFonts w:ascii="Arial" w:eastAsia="Arial" w:hAnsi="Arial" w:cs="Arial"/>
          <w:color w:val="000000" w:themeColor="text1"/>
        </w:rPr>
        <w:t>PM (Movimentação passiva continua)</w:t>
      </w:r>
      <w:r w:rsidR="00DA1B4A" w:rsidRPr="00740B5E">
        <w:rPr>
          <w:rFonts w:ascii="Arial" w:eastAsia="Arial" w:hAnsi="Arial" w:cs="Arial"/>
          <w:color w:val="000000" w:themeColor="text1"/>
        </w:rPr>
        <w:t xml:space="preserve">, aplicação e treinamento do ultrassom de transporte, </w:t>
      </w:r>
      <w:r w:rsidR="00422684" w:rsidRPr="00740B5E">
        <w:rPr>
          <w:rFonts w:ascii="Arial" w:eastAsia="Arial" w:hAnsi="Arial" w:cs="Arial"/>
          <w:color w:val="000000" w:themeColor="text1"/>
        </w:rPr>
        <w:t xml:space="preserve">aplicação e treinamento do ultrassom </w:t>
      </w:r>
      <w:proofErr w:type="spellStart"/>
      <w:r w:rsidR="00422684" w:rsidRPr="00740B5E">
        <w:rPr>
          <w:rFonts w:ascii="Arial" w:eastAsia="Arial" w:hAnsi="Arial" w:cs="Arial"/>
          <w:color w:val="000000" w:themeColor="text1"/>
        </w:rPr>
        <w:t>Transesofagico</w:t>
      </w:r>
      <w:proofErr w:type="spellEnd"/>
      <w:r w:rsidR="00422684" w:rsidRPr="00740B5E">
        <w:rPr>
          <w:rFonts w:ascii="Arial" w:eastAsia="Arial" w:hAnsi="Arial" w:cs="Arial"/>
          <w:color w:val="000000" w:themeColor="text1"/>
        </w:rPr>
        <w:t>.</w:t>
      </w:r>
      <w:r w:rsidR="0094694F" w:rsidRPr="00740B5E">
        <w:rPr>
          <w:rFonts w:ascii="Arial" w:eastAsia="Arial" w:hAnsi="Arial" w:cs="Arial"/>
          <w:color w:val="000000" w:themeColor="text1"/>
        </w:rPr>
        <w:t xml:space="preserve"> </w:t>
      </w:r>
    </w:p>
    <w:p w14:paraId="4A49F54E" w14:textId="50512095" w:rsidR="00451686" w:rsidRDefault="00451686" w:rsidP="00451686"/>
    <w:p w14:paraId="22316880" w14:textId="5C0CC387" w:rsidR="002A31B2" w:rsidRDefault="002A31B2" w:rsidP="004E2D2B">
      <w:pPr>
        <w:pStyle w:val="paragraph"/>
        <w:pBdr>
          <w:top w:val="single" w:sz="4" w:space="4" w:color="000000"/>
          <w:left w:val="single" w:sz="4" w:space="4" w:color="000000"/>
          <w:bottom w:val="single" w:sz="4" w:space="4" w:color="000000"/>
          <w:right w:val="single" w:sz="4" w:space="0" w:color="000000"/>
        </w:pBdr>
        <w:spacing w:before="0" w:beforeAutospacing="0" w:after="0" w:afterAutospacing="0"/>
        <w:textAlignment w:val="baseline"/>
        <w:rPr>
          <w:rFonts w:ascii="Segoe UI" w:hAnsi="Segoe UI" w:cs="Segoe UI"/>
          <w:color w:val="000000"/>
          <w:sz w:val="18"/>
          <w:szCs w:val="18"/>
        </w:rPr>
      </w:pPr>
      <w:r>
        <w:rPr>
          <w:rStyle w:val="eop"/>
          <w:rFonts w:ascii="Calibri" w:hAnsi="Calibri" w:cs="Calibri"/>
          <w:color w:val="000000"/>
          <w:sz w:val="22"/>
          <w:szCs w:val="22"/>
        </w:rPr>
        <w:t> </w:t>
      </w:r>
      <w:r w:rsidR="00853418" w:rsidRPr="00853418">
        <w:rPr>
          <w:rStyle w:val="eop"/>
          <w:rFonts w:ascii="Calibri" w:hAnsi="Calibri" w:cs="Calibri"/>
          <w:noProof/>
          <w:color w:val="000000"/>
          <w:sz w:val="22"/>
          <w:szCs w:val="22"/>
        </w:rPr>
        <w:drawing>
          <wp:inline distT="0" distB="0" distL="0" distR="0" wp14:anchorId="50CCB055" wp14:editId="73DD526F">
            <wp:extent cx="1429200" cy="252000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1429200" cy="2520000"/>
                    </a:xfrm>
                    <a:prstGeom prst="rect">
                      <a:avLst/>
                    </a:prstGeom>
                  </pic:spPr>
                </pic:pic>
              </a:graphicData>
            </a:graphic>
          </wp:inline>
        </w:drawing>
      </w:r>
      <w:r w:rsidR="001515E2" w:rsidRPr="001515E2">
        <w:rPr>
          <w:rStyle w:val="eop"/>
          <w:rFonts w:ascii="Calibri" w:hAnsi="Calibri" w:cs="Calibri"/>
          <w:noProof/>
          <w:color w:val="000000"/>
          <w:sz w:val="22"/>
          <w:szCs w:val="22"/>
        </w:rPr>
        <w:drawing>
          <wp:inline distT="0" distB="0" distL="0" distR="0" wp14:anchorId="737A689F" wp14:editId="266E631F">
            <wp:extent cx="2170800" cy="2520000"/>
            <wp:effectExtent l="0" t="0" r="127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2170800" cy="2520000"/>
                    </a:xfrm>
                    <a:prstGeom prst="rect">
                      <a:avLst/>
                    </a:prstGeom>
                  </pic:spPr>
                </pic:pic>
              </a:graphicData>
            </a:graphic>
          </wp:inline>
        </w:drawing>
      </w:r>
      <w:r w:rsidR="00E55F66" w:rsidRPr="00E55F66">
        <w:rPr>
          <w:rStyle w:val="eop"/>
          <w:rFonts w:ascii="Calibri" w:hAnsi="Calibri" w:cs="Calibri"/>
          <w:noProof/>
          <w:color w:val="000000"/>
          <w:sz w:val="22"/>
          <w:szCs w:val="22"/>
        </w:rPr>
        <w:drawing>
          <wp:inline distT="0" distB="0" distL="0" distR="0" wp14:anchorId="70B60B80" wp14:editId="5381292E">
            <wp:extent cx="1904400" cy="2520000"/>
            <wp:effectExtent l="0" t="0" r="63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1904400" cy="2520000"/>
                    </a:xfrm>
                    <a:prstGeom prst="rect">
                      <a:avLst/>
                    </a:prstGeom>
                  </pic:spPr>
                </pic:pic>
              </a:graphicData>
            </a:graphic>
          </wp:inline>
        </w:drawing>
      </w:r>
    </w:p>
    <w:p w14:paraId="5C82B2F7" w14:textId="4940165B" w:rsidR="002A31B2" w:rsidRDefault="002A31B2" w:rsidP="002A31B2">
      <w:pPr>
        <w:pStyle w:val="paragraph"/>
        <w:spacing w:before="0" w:beforeAutospacing="0" w:after="0" w:afterAutospacing="0"/>
        <w:ind w:left="-15"/>
        <w:jc w:val="center"/>
        <w:textAlignment w:val="baseline"/>
        <w:rPr>
          <w:rStyle w:val="normaltextrun"/>
          <w:rFonts w:eastAsiaTheme="majorEastAsia" w:cs="Arial"/>
          <w:sz w:val="20"/>
          <w:szCs w:val="20"/>
        </w:rPr>
      </w:pPr>
      <w:r>
        <w:rPr>
          <w:rStyle w:val="normaltextrun"/>
          <w:rFonts w:eastAsiaTheme="majorEastAsia" w:cs="Arial"/>
          <w:b/>
          <w:bCs/>
          <w:color w:val="000000"/>
          <w:sz w:val="20"/>
          <w:szCs w:val="20"/>
        </w:rPr>
        <w:t>Figura </w:t>
      </w:r>
      <w:proofErr w:type="gramStart"/>
      <w:r>
        <w:rPr>
          <w:rStyle w:val="normaltextrun"/>
          <w:rFonts w:eastAsiaTheme="majorEastAsia" w:cs="Arial"/>
          <w:b/>
          <w:bCs/>
          <w:sz w:val="20"/>
          <w:szCs w:val="20"/>
        </w:rPr>
        <w:t>–</w:t>
      </w:r>
      <w:r>
        <w:rPr>
          <w:rStyle w:val="normaltextrun"/>
          <w:rFonts w:eastAsiaTheme="majorEastAsia" w:cs="Arial"/>
          <w:sz w:val="20"/>
          <w:szCs w:val="20"/>
        </w:rPr>
        <w:t xml:space="preserve">  </w:t>
      </w:r>
      <w:r w:rsidR="00CA4643">
        <w:rPr>
          <w:rStyle w:val="normaltextrun"/>
          <w:rFonts w:eastAsiaTheme="majorEastAsia" w:cs="Arial"/>
          <w:sz w:val="20"/>
          <w:szCs w:val="20"/>
        </w:rPr>
        <w:t>Treinamento</w:t>
      </w:r>
      <w:proofErr w:type="gramEnd"/>
      <w:r w:rsidR="00CA4643">
        <w:rPr>
          <w:rStyle w:val="normaltextrun"/>
          <w:rFonts w:eastAsiaTheme="majorEastAsia" w:cs="Arial"/>
          <w:sz w:val="20"/>
          <w:szCs w:val="20"/>
        </w:rPr>
        <w:t xml:space="preserve"> </w:t>
      </w:r>
      <w:proofErr w:type="gramStart"/>
      <w:r w:rsidR="00F06C30">
        <w:rPr>
          <w:rStyle w:val="normaltextrun"/>
          <w:rFonts w:eastAsiaTheme="majorEastAsia" w:cs="Arial"/>
          <w:sz w:val="20"/>
          <w:szCs w:val="20"/>
        </w:rPr>
        <w:t>CPM</w:t>
      </w:r>
      <w:r w:rsidR="0009753B">
        <w:rPr>
          <w:rStyle w:val="normaltextrun"/>
          <w:rFonts w:eastAsiaTheme="majorEastAsia" w:cs="Arial"/>
          <w:sz w:val="20"/>
          <w:szCs w:val="20"/>
        </w:rPr>
        <w:t>( Movimentação</w:t>
      </w:r>
      <w:proofErr w:type="gramEnd"/>
      <w:r w:rsidR="0009753B">
        <w:rPr>
          <w:rStyle w:val="normaltextrun"/>
          <w:rFonts w:eastAsiaTheme="majorEastAsia" w:cs="Arial"/>
          <w:sz w:val="20"/>
          <w:szCs w:val="20"/>
        </w:rPr>
        <w:t>, passiva continua</w:t>
      </w:r>
      <w:r w:rsidR="00F06C30">
        <w:rPr>
          <w:rStyle w:val="normaltextrun"/>
          <w:rFonts w:eastAsiaTheme="majorEastAsia" w:cs="Arial"/>
          <w:sz w:val="20"/>
          <w:szCs w:val="20"/>
        </w:rPr>
        <w:t xml:space="preserve">, Ultrassom </w:t>
      </w:r>
      <w:r w:rsidR="00735CA9">
        <w:rPr>
          <w:rStyle w:val="normaltextrun"/>
          <w:rFonts w:eastAsiaTheme="majorEastAsia" w:cs="Arial"/>
          <w:sz w:val="20"/>
          <w:szCs w:val="20"/>
        </w:rPr>
        <w:t>Portátil</w:t>
      </w:r>
      <w:r w:rsidR="00F06C30">
        <w:rPr>
          <w:rStyle w:val="normaltextrun"/>
          <w:rFonts w:eastAsiaTheme="majorEastAsia" w:cs="Arial"/>
          <w:sz w:val="20"/>
          <w:szCs w:val="20"/>
        </w:rPr>
        <w:t xml:space="preserve">, Ultrassom de Eco com </w:t>
      </w:r>
      <w:r w:rsidR="00735CA9">
        <w:rPr>
          <w:rStyle w:val="normaltextrun"/>
          <w:rFonts w:eastAsiaTheme="majorEastAsia" w:cs="Arial"/>
          <w:sz w:val="20"/>
          <w:szCs w:val="20"/>
        </w:rPr>
        <w:t>Trans esofágico.</w:t>
      </w:r>
    </w:p>
    <w:p w14:paraId="129D81DB" w14:textId="77777777" w:rsidR="0009753B" w:rsidRDefault="0009753B" w:rsidP="0009753B">
      <w:pPr>
        <w:pStyle w:val="paragraph"/>
        <w:spacing w:before="0" w:beforeAutospacing="0" w:after="0" w:afterAutospacing="0"/>
        <w:ind w:left="-15"/>
        <w:textAlignment w:val="baseline"/>
        <w:rPr>
          <w:rStyle w:val="eop"/>
          <w:rFonts w:ascii="Arial" w:hAnsi="Arial" w:cs="Arial"/>
          <w:sz w:val="20"/>
          <w:szCs w:val="20"/>
        </w:rPr>
      </w:pPr>
    </w:p>
    <w:p w14:paraId="06FFA5EB" w14:textId="2DBF5EC9" w:rsidR="00B1747A" w:rsidRPr="00740B5E" w:rsidRDefault="00B1747A" w:rsidP="00740B5E">
      <w:pPr>
        <w:pStyle w:val="paragraph"/>
        <w:spacing w:before="0" w:beforeAutospacing="0" w:after="0" w:afterAutospacing="0"/>
        <w:jc w:val="both"/>
        <w:textAlignment w:val="baseline"/>
        <w:rPr>
          <w:rFonts w:ascii="Arial" w:eastAsia="Arial" w:hAnsi="Arial" w:cs="Arial"/>
          <w:color w:val="000000" w:themeColor="text1"/>
        </w:rPr>
      </w:pPr>
      <w:r w:rsidRPr="00740B5E">
        <w:rPr>
          <w:rFonts w:ascii="Arial" w:eastAsia="Arial" w:hAnsi="Arial" w:cs="Arial"/>
          <w:color w:val="000000" w:themeColor="text1"/>
        </w:rPr>
        <w:t xml:space="preserve">O mês de junho foram realizadas </w:t>
      </w:r>
      <w:r w:rsidR="00C97142" w:rsidRPr="00740B5E">
        <w:rPr>
          <w:rFonts w:ascii="Arial" w:eastAsia="Arial" w:hAnsi="Arial" w:cs="Arial"/>
          <w:color w:val="000000" w:themeColor="text1"/>
        </w:rPr>
        <w:t xml:space="preserve">atividades em conjunto com </w:t>
      </w:r>
      <w:r w:rsidR="007D32F2" w:rsidRPr="00740B5E">
        <w:rPr>
          <w:rFonts w:ascii="Arial" w:eastAsia="Arial" w:hAnsi="Arial" w:cs="Arial"/>
          <w:color w:val="000000" w:themeColor="text1"/>
        </w:rPr>
        <w:t>todas as equipes d</w:t>
      </w:r>
      <w:r w:rsidR="00F17961" w:rsidRPr="00740B5E">
        <w:rPr>
          <w:rFonts w:ascii="Arial" w:eastAsia="Arial" w:hAnsi="Arial" w:cs="Arial"/>
          <w:color w:val="000000" w:themeColor="text1"/>
        </w:rPr>
        <w:t xml:space="preserve">a </w:t>
      </w:r>
      <w:r w:rsidR="003472E3" w:rsidRPr="00740B5E">
        <w:rPr>
          <w:rFonts w:ascii="Arial" w:eastAsia="Arial" w:hAnsi="Arial" w:cs="Arial"/>
          <w:color w:val="000000" w:themeColor="text1"/>
        </w:rPr>
        <w:t>gerência</w:t>
      </w:r>
      <w:r w:rsidR="00F17961" w:rsidRPr="00740B5E">
        <w:rPr>
          <w:rFonts w:ascii="Arial" w:eastAsia="Arial" w:hAnsi="Arial" w:cs="Arial"/>
          <w:color w:val="000000" w:themeColor="text1"/>
        </w:rPr>
        <w:t xml:space="preserve"> de operações </w:t>
      </w:r>
      <w:r w:rsidR="00EF5B3B" w:rsidRPr="00740B5E">
        <w:rPr>
          <w:rFonts w:ascii="Arial" w:eastAsia="Arial" w:hAnsi="Arial" w:cs="Arial"/>
          <w:color w:val="000000" w:themeColor="text1"/>
        </w:rPr>
        <w:t xml:space="preserve">(Manutenção, Bombeiros, Segurança, </w:t>
      </w:r>
      <w:r w:rsidR="00A00236" w:rsidRPr="00740B5E">
        <w:rPr>
          <w:rFonts w:ascii="Arial" w:eastAsia="Arial" w:hAnsi="Arial" w:cs="Arial"/>
          <w:color w:val="000000" w:themeColor="text1"/>
        </w:rPr>
        <w:t>Faciliteis</w:t>
      </w:r>
      <w:r w:rsidR="008C00CF" w:rsidRPr="00740B5E">
        <w:rPr>
          <w:rFonts w:ascii="Arial" w:eastAsia="Arial" w:hAnsi="Arial" w:cs="Arial"/>
          <w:color w:val="000000" w:themeColor="text1"/>
        </w:rPr>
        <w:t>)</w:t>
      </w:r>
      <w:r w:rsidR="007F79AA" w:rsidRPr="00740B5E">
        <w:rPr>
          <w:rFonts w:ascii="Arial" w:eastAsia="Arial" w:hAnsi="Arial" w:cs="Arial"/>
          <w:color w:val="000000" w:themeColor="text1"/>
        </w:rPr>
        <w:t xml:space="preserve"> para adequação</w:t>
      </w:r>
      <w:r w:rsidR="007C2FFC" w:rsidRPr="00740B5E">
        <w:rPr>
          <w:rFonts w:ascii="Arial" w:eastAsia="Arial" w:hAnsi="Arial" w:cs="Arial"/>
          <w:color w:val="000000" w:themeColor="text1"/>
        </w:rPr>
        <w:t xml:space="preserve"> de espaços para receber </w:t>
      </w:r>
      <w:r w:rsidR="00431CDC" w:rsidRPr="00740B5E">
        <w:rPr>
          <w:rFonts w:ascii="Arial" w:eastAsia="Arial" w:hAnsi="Arial" w:cs="Arial"/>
          <w:color w:val="000000" w:themeColor="text1"/>
        </w:rPr>
        <w:t>novos serviço</w:t>
      </w:r>
      <w:r w:rsidR="00610E18" w:rsidRPr="00740B5E">
        <w:rPr>
          <w:rFonts w:ascii="Arial" w:eastAsia="Arial" w:hAnsi="Arial" w:cs="Arial"/>
          <w:color w:val="000000" w:themeColor="text1"/>
        </w:rPr>
        <w:t xml:space="preserve">, eles são </w:t>
      </w:r>
      <w:r w:rsidR="00DC7C7C" w:rsidRPr="00740B5E">
        <w:rPr>
          <w:rFonts w:ascii="Arial" w:eastAsia="Arial" w:hAnsi="Arial" w:cs="Arial"/>
          <w:color w:val="000000" w:themeColor="text1"/>
        </w:rPr>
        <w:t xml:space="preserve">sala </w:t>
      </w:r>
      <w:proofErr w:type="gramStart"/>
      <w:r w:rsidR="00DC7C7C" w:rsidRPr="00740B5E">
        <w:rPr>
          <w:rFonts w:ascii="Arial" w:eastAsia="Arial" w:hAnsi="Arial" w:cs="Arial"/>
          <w:color w:val="000000" w:themeColor="text1"/>
        </w:rPr>
        <w:t>de  ultrassom</w:t>
      </w:r>
      <w:proofErr w:type="gramEnd"/>
      <w:r w:rsidR="00DC7C7C" w:rsidRPr="00740B5E">
        <w:rPr>
          <w:rFonts w:ascii="Arial" w:eastAsia="Arial" w:hAnsi="Arial" w:cs="Arial"/>
          <w:color w:val="000000" w:themeColor="text1"/>
        </w:rPr>
        <w:t xml:space="preserve"> par</w:t>
      </w:r>
      <w:r w:rsidR="00A00236" w:rsidRPr="00740B5E">
        <w:rPr>
          <w:rFonts w:ascii="Arial" w:eastAsia="Arial" w:hAnsi="Arial" w:cs="Arial"/>
          <w:color w:val="000000" w:themeColor="text1"/>
        </w:rPr>
        <w:t>a Eco trans esofágico</w:t>
      </w:r>
      <w:r w:rsidR="00796217" w:rsidRPr="00740B5E">
        <w:rPr>
          <w:rFonts w:ascii="Arial" w:eastAsia="Arial" w:hAnsi="Arial" w:cs="Arial"/>
          <w:color w:val="000000" w:themeColor="text1"/>
        </w:rPr>
        <w:t>,</w:t>
      </w:r>
      <w:r w:rsidR="00A00236" w:rsidRPr="00740B5E">
        <w:rPr>
          <w:rFonts w:ascii="Arial" w:eastAsia="Arial" w:hAnsi="Arial" w:cs="Arial"/>
          <w:color w:val="000000" w:themeColor="text1"/>
        </w:rPr>
        <w:t xml:space="preserve"> UTI 5</w:t>
      </w:r>
      <w:r w:rsidR="00796217" w:rsidRPr="00740B5E">
        <w:rPr>
          <w:rFonts w:ascii="Arial" w:eastAsia="Arial" w:hAnsi="Arial" w:cs="Arial"/>
          <w:color w:val="000000" w:themeColor="text1"/>
        </w:rPr>
        <w:t xml:space="preserve"> e troca da usina de gases medicinais.</w:t>
      </w:r>
    </w:p>
    <w:p w14:paraId="0F753086" w14:textId="6772DF26" w:rsidR="000A5D3A" w:rsidRPr="00740B5E" w:rsidRDefault="00B17403" w:rsidP="00740B5E">
      <w:pPr>
        <w:pStyle w:val="paragraph"/>
        <w:spacing w:before="0" w:beforeAutospacing="0" w:after="0" w:afterAutospacing="0"/>
        <w:jc w:val="both"/>
        <w:textAlignment w:val="baseline"/>
        <w:rPr>
          <w:rFonts w:ascii="Arial" w:eastAsia="Arial" w:hAnsi="Arial" w:cs="Arial"/>
          <w:color w:val="000000" w:themeColor="text1"/>
        </w:rPr>
      </w:pPr>
      <w:r w:rsidRPr="00740B5E">
        <w:rPr>
          <w:rFonts w:ascii="Arial" w:eastAsia="Arial" w:hAnsi="Arial" w:cs="Arial"/>
          <w:color w:val="000000" w:themeColor="text1"/>
        </w:rPr>
        <w:t xml:space="preserve">No processo de liberação do Ultrassom de </w:t>
      </w:r>
      <w:r w:rsidR="00BD2A74" w:rsidRPr="00740B5E">
        <w:rPr>
          <w:rFonts w:ascii="Arial" w:eastAsia="Arial" w:hAnsi="Arial" w:cs="Arial"/>
          <w:color w:val="000000" w:themeColor="text1"/>
        </w:rPr>
        <w:t xml:space="preserve">Eco com </w:t>
      </w:r>
      <w:proofErr w:type="spellStart"/>
      <w:r w:rsidR="00BD2A74" w:rsidRPr="00740B5E">
        <w:rPr>
          <w:rFonts w:ascii="Arial" w:eastAsia="Arial" w:hAnsi="Arial" w:cs="Arial"/>
          <w:color w:val="000000" w:themeColor="text1"/>
        </w:rPr>
        <w:t>Transesofagico</w:t>
      </w:r>
      <w:proofErr w:type="spellEnd"/>
      <w:r w:rsidR="0016057D" w:rsidRPr="00740B5E">
        <w:rPr>
          <w:rFonts w:ascii="Arial" w:eastAsia="Arial" w:hAnsi="Arial" w:cs="Arial"/>
          <w:color w:val="000000" w:themeColor="text1"/>
        </w:rPr>
        <w:t xml:space="preserve"> foram </w:t>
      </w:r>
      <w:r w:rsidR="00E64731" w:rsidRPr="00740B5E">
        <w:rPr>
          <w:rFonts w:ascii="Arial" w:eastAsia="Arial" w:hAnsi="Arial" w:cs="Arial"/>
          <w:color w:val="000000" w:themeColor="text1"/>
        </w:rPr>
        <w:t>realizadas</w:t>
      </w:r>
      <w:r w:rsidR="0016057D" w:rsidRPr="00740B5E">
        <w:rPr>
          <w:rFonts w:ascii="Arial" w:eastAsia="Arial" w:hAnsi="Arial" w:cs="Arial"/>
          <w:color w:val="000000" w:themeColor="text1"/>
        </w:rPr>
        <w:t xml:space="preserve"> as atividades de montagem do equipamento</w:t>
      </w:r>
      <w:r w:rsidR="00D560F3" w:rsidRPr="00740B5E">
        <w:rPr>
          <w:rFonts w:ascii="Arial" w:eastAsia="Arial" w:hAnsi="Arial" w:cs="Arial"/>
          <w:color w:val="000000" w:themeColor="text1"/>
        </w:rPr>
        <w:t xml:space="preserve">, liberação da rede de gases medicinais, remanejamento dos equipamentos de anestesia e monitor </w:t>
      </w:r>
      <w:proofErr w:type="spellStart"/>
      <w:r w:rsidR="00D560F3" w:rsidRPr="00740B5E">
        <w:rPr>
          <w:rFonts w:ascii="Arial" w:eastAsia="Arial" w:hAnsi="Arial" w:cs="Arial"/>
          <w:color w:val="000000" w:themeColor="text1"/>
        </w:rPr>
        <w:t>multiparamentro</w:t>
      </w:r>
      <w:proofErr w:type="spellEnd"/>
      <w:r w:rsidR="00D560F3" w:rsidRPr="00740B5E">
        <w:rPr>
          <w:rFonts w:ascii="Arial" w:eastAsia="Arial" w:hAnsi="Arial" w:cs="Arial"/>
          <w:color w:val="000000" w:themeColor="text1"/>
        </w:rPr>
        <w:t xml:space="preserve"> para a realização dos exames</w:t>
      </w:r>
      <w:r w:rsidR="00FB2ABB" w:rsidRPr="00740B5E">
        <w:rPr>
          <w:rFonts w:ascii="Arial" w:eastAsia="Arial" w:hAnsi="Arial" w:cs="Arial"/>
          <w:color w:val="000000" w:themeColor="text1"/>
        </w:rPr>
        <w:t xml:space="preserve"> com sedação do paciente.</w:t>
      </w:r>
      <w:r w:rsidR="00E64731" w:rsidRPr="00740B5E">
        <w:rPr>
          <w:rFonts w:ascii="Arial" w:eastAsia="Arial" w:hAnsi="Arial" w:cs="Arial"/>
          <w:color w:val="000000" w:themeColor="text1"/>
        </w:rPr>
        <w:t xml:space="preserve"> </w:t>
      </w:r>
    </w:p>
    <w:p w14:paraId="70D4CEBD" w14:textId="77777777" w:rsidR="00B1747A" w:rsidRPr="00740B5E" w:rsidRDefault="00B1747A" w:rsidP="00422684">
      <w:pPr>
        <w:pStyle w:val="paragraph"/>
        <w:spacing w:before="0" w:beforeAutospacing="0" w:after="0" w:afterAutospacing="0"/>
        <w:ind w:firstLine="705"/>
        <w:jc w:val="both"/>
        <w:textAlignment w:val="baseline"/>
        <w:rPr>
          <w:rFonts w:ascii="Arial" w:eastAsia="Arial" w:hAnsi="Arial" w:cs="Arial"/>
          <w:color w:val="000000" w:themeColor="text1"/>
        </w:rPr>
      </w:pPr>
    </w:p>
    <w:p w14:paraId="46D9A3C0" w14:textId="47263175" w:rsidR="00422684" w:rsidRDefault="0094181F" w:rsidP="0094181F">
      <w:pPr>
        <w:jc w:val="center"/>
      </w:pPr>
      <w:r w:rsidRPr="0094181F">
        <w:rPr>
          <w:noProof/>
        </w:rPr>
        <w:lastRenderedPageBreak/>
        <w:drawing>
          <wp:inline distT="0" distB="0" distL="0" distR="0" wp14:anchorId="1F44405B" wp14:editId="21A4175E">
            <wp:extent cx="2138400" cy="252000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2138400" cy="2520000"/>
                    </a:xfrm>
                    <a:prstGeom prst="rect">
                      <a:avLst/>
                    </a:prstGeom>
                  </pic:spPr>
                </pic:pic>
              </a:graphicData>
            </a:graphic>
          </wp:inline>
        </w:drawing>
      </w:r>
    </w:p>
    <w:p w14:paraId="0EBC0A0E" w14:textId="77777777" w:rsidR="00C923CC" w:rsidRDefault="00C923CC" w:rsidP="002A31B2">
      <w:pPr>
        <w:pStyle w:val="paragraph"/>
        <w:spacing w:before="0" w:beforeAutospacing="0" w:after="0" w:afterAutospacing="0"/>
        <w:ind w:left="-15"/>
        <w:jc w:val="center"/>
        <w:textAlignment w:val="baseline"/>
        <w:rPr>
          <w:rFonts w:ascii="Segoe UI" w:hAnsi="Segoe UI" w:cs="Segoe UI"/>
          <w:color w:val="000000"/>
          <w:sz w:val="18"/>
          <w:szCs w:val="18"/>
        </w:rPr>
      </w:pPr>
    </w:p>
    <w:p w14:paraId="27DA835E" w14:textId="347F0357" w:rsidR="00B42B58" w:rsidRPr="00740B5E" w:rsidRDefault="004206E9" w:rsidP="00740B5E">
      <w:pPr>
        <w:pStyle w:val="paragraph"/>
        <w:spacing w:before="0" w:beforeAutospacing="0" w:after="0" w:afterAutospacing="0"/>
        <w:jc w:val="both"/>
        <w:textAlignment w:val="baseline"/>
        <w:rPr>
          <w:rFonts w:ascii="Arial" w:eastAsia="Arial" w:hAnsi="Arial" w:cs="Arial"/>
          <w:color w:val="000000" w:themeColor="text1"/>
        </w:rPr>
      </w:pPr>
      <w:r w:rsidRPr="00740B5E">
        <w:rPr>
          <w:rFonts w:ascii="Arial" w:eastAsia="Arial" w:hAnsi="Arial" w:cs="Arial"/>
          <w:color w:val="000000" w:themeColor="text1"/>
        </w:rPr>
        <w:t xml:space="preserve">Para a liberação da UTI 5 </w:t>
      </w:r>
      <w:r w:rsidR="004D4CC0" w:rsidRPr="00740B5E">
        <w:rPr>
          <w:rFonts w:ascii="Arial" w:eastAsia="Arial" w:hAnsi="Arial" w:cs="Arial"/>
          <w:color w:val="000000" w:themeColor="text1"/>
        </w:rPr>
        <w:t>várias</w:t>
      </w:r>
      <w:r w:rsidR="008A34B5" w:rsidRPr="00740B5E">
        <w:rPr>
          <w:rFonts w:ascii="Arial" w:eastAsia="Arial" w:hAnsi="Arial" w:cs="Arial"/>
          <w:color w:val="000000" w:themeColor="text1"/>
        </w:rPr>
        <w:t xml:space="preserve"> atividades foram durante o mês de junho para a liberação do </w:t>
      </w:r>
      <w:r w:rsidR="004352F4" w:rsidRPr="00740B5E">
        <w:rPr>
          <w:rFonts w:ascii="Arial" w:eastAsia="Arial" w:hAnsi="Arial" w:cs="Arial"/>
          <w:color w:val="000000" w:themeColor="text1"/>
        </w:rPr>
        <w:t xml:space="preserve">setor. Ações realizadas visam a liberação com segurança </w:t>
      </w:r>
      <w:proofErr w:type="gramStart"/>
      <w:r w:rsidR="004352F4" w:rsidRPr="00740B5E">
        <w:rPr>
          <w:rFonts w:ascii="Arial" w:eastAsia="Arial" w:hAnsi="Arial" w:cs="Arial"/>
          <w:color w:val="000000" w:themeColor="text1"/>
        </w:rPr>
        <w:t xml:space="preserve">do </w:t>
      </w:r>
      <w:r w:rsidR="00160C87" w:rsidRPr="00740B5E">
        <w:rPr>
          <w:rFonts w:ascii="Arial" w:eastAsia="Arial" w:hAnsi="Arial" w:cs="Arial"/>
          <w:color w:val="000000" w:themeColor="text1"/>
        </w:rPr>
        <w:t xml:space="preserve"> para</w:t>
      </w:r>
      <w:proofErr w:type="gramEnd"/>
      <w:r w:rsidR="00160C87" w:rsidRPr="00740B5E">
        <w:rPr>
          <w:rFonts w:ascii="Arial" w:eastAsia="Arial" w:hAnsi="Arial" w:cs="Arial"/>
          <w:color w:val="000000" w:themeColor="text1"/>
        </w:rPr>
        <w:t xml:space="preserve"> </w:t>
      </w:r>
      <w:proofErr w:type="gramStart"/>
      <w:r w:rsidR="00160C87" w:rsidRPr="00740B5E">
        <w:rPr>
          <w:rFonts w:ascii="Arial" w:eastAsia="Arial" w:hAnsi="Arial" w:cs="Arial"/>
          <w:color w:val="000000" w:themeColor="text1"/>
        </w:rPr>
        <w:t xml:space="preserve">colaboradores </w:t>
      </w:r>
      <w:r w:rsidR="00B42B58" w:rsidRPr="00740B5E">
        <w:rPr>
          <w:rFonts w:ascii="Arial" w:eastAsia="Arial" w:hAnsi="Arial" w:cs="Arial"/>
          <w:color w:val="000000" w:themeColor="text1"/>
        </w:rPr>
        <w:t xml:space="preserve"> </w:t>
      </w:r>
      <w:r w:rsidR="003161D0" w:rsidRPr="00740B5E">
        <w:rPr>
          <w:rFonts w:ascii="Arial" w:eastAsia="Arial" w:hAnsi="Arial" w:cs="Arial"/>
          <w:color w:val="000000" w:themeColor="text1"/>
        </w:rPr>
        <w:t>e</w:t>
      </w:r>
      <w:proofErr w:type="gramEnd"/>
      <w:r w:rsidR="003161D0" w:rsidRPr="00740B5E">
        <w:rPr>
          <w:rFonts w:ascii="Arial" w:eastAsia="Arial" w:hAnsi="Arial" w:cs="Arial"/>
          <w:color w:val="000000" w:themeColor="text1"/>
        </w:rPr>
        <w:t xml:space="preserve"> os futuros paciente. </w:t>
      </w:r>
      <w:r w:rsidR="00065705" w:rsidRPr="00740B5E">
        <w:rPr>
          <w:rFonts w:ascii="Arial" w:eastAsia="Arial" w:hAnsi="Arial" w:cs="Arial"/>
          <w:color w:val="000000" w:themeColor="text1"/>
        </w:rPr>
        <w:t xml:space="preserve">Além do recebimento, instalação, movimentação e </w:t>
      </w:r>
      <w:r w:rsidR="00DB289A" w:rsidRPr="00740B5E">
        <w:rPr>
          <w:rFonts w:ascii="Arial" w:eastAsia="Arial" w:hAnsi="Arial" w:cs="Arial"/>
          <w:color w:val="000000" w:themeColor="text1"/>
        </w:rPr>
        <w:t>montagem no novo local, uma atividade bem</w:t>
      </w:r>
      <w:r w:rsidR="00DC0B12" w:rsidRPr="00740B5E">
        <w:rPr>
          <w:rFonts w:ascii="Arial" w:eastAsia="Arial" w:hAnsi="Arial" w:cs="Arial"/>
          <w:color w:val="000000" w:themeColor="text1"/>
        </w:rPr>
        <w:t xml:space="preserve"> </w:t>
      </w:r>
      <w:proofErr w:type="spellStart"/>
      <w:r w:rsidR="00DC0B12" w:rsidRPr="00740B5E">
        <w:rPr>
          <w:rFonts w:ascii="Arial" w:eastAsia="Arial" w:hAnsi="Arial" w:cs="Arial"/>
          <w:color w:val="000000" w:themeColor="text1"/>
        </w:rPr>
        <w:t>critica</w:t>
      </w:r>
      <w:proofErr w:type="spellEnd"/>
      <w:r w:rsidR="00DC0B12" w:rsidRPr="00740B5E">
        <w:rPr>
          <w:rFonts w:ascii="Arial" w:eastAsia="Arial" w:hAnsi="Arial" w:cs="Arial"/>
          <w:color w:val="000000" w:themeColor="text1"/>
        </w:rPr>
        <w:t xml:space="preserve"> foi realizada neste mês que era a interligação da rede de gases medicinais </w:t>
      </w:r>
      <w:r w:rsidR="003927E7" w:rsidRPr="00740B5E">
        <w:rPr>
          <w:rFonts w:ascii="Arial" w:eastAsia="Arial" w:hAnsi="Arial" w:cs="Arial"/>
          <w:color w:val="000000" w:themeColor="text1"/>
        </w:rPr>
        <w:t>do novo ambiente a rede existente do hospital. Esta atividade foi planejada por aproximadamente</w:t>
      </w:r>
      <w:r w:rsidR="00E174EF" w:rsidRPr="00740B5E">
        <w:rPr>
          <w:rFonts w:ascii="Arial" w:eastAsia="Arial" w:hAnsi="Arial" w:cs="Arial"/>
          <w:color w:val="000000" w:themeColor="text1"/>
        </w:rPr>
        <w:t xml:space="preserve"> um ano devido as </w:t>
      </w:r>
      <w:proofErr w:type="gramStart"/>
      <w:r w:rsidR="00E174EF" w:rsidRPr="00740B5E">
        <w:rPr>
          <w:rFonts w:ascii="Arial" w:eastAsia="Arial" w:hAnsi="Arial" w:cs="Arial"/>
          <w:color w:val="000000" w:themeColor="text1"/>
        </w:rPr>
        <w:t xml:space="preserve">características </w:t>
      </w:r>
      <w:r w:rsidR="00461AF0" w:rsidRPr="00740B5E">
        <w:rPr>
          <w:rFonts w:ascii="Arial" w:eastAsia="Arial" w:hAnsi="Arial" w:cs="Arial"/>
          <w:color w:val="000000" w:themeColor="text1"/>
        </w:rPr>
        <w:t xml:space="preserve"> construtivas</w:t>
      </w:r>
      <w:proofErr w:type="gramEnd"/>
      <w:r w:rsidR="00461AF0" w:rsidRPr="00740B5E">
        <w:rPr>
          <w:rFonts w:ascii="Arial" w:eastAsia="Arial" w:hAnsi="Arial" w:cs="Arial"/>
          <w:color w:val="000000" w:themeColor="text1"/>
        </w:rPr>
        <w:t xml:space="preserve"> </w:t>
      </w:r>
      <w:r w:rsidR="00E174EF" w:rsidRPr="00740B5E">
        <w:rPr>
          <w:rFonts w:ascii="Arial" w:eastAsia="Arial" w:hAnsi="Arial" w:cs="Arial"/>
          <w:color w:val="000000" w:themeColor="text1"/>
        </w:rPr>
        <w:t>do hospital</w:t>
      </w:r>
      <w:r w:rsidR="00E074EE" w:rsidRPr="00740B5E">
        <w:rPr>
          <w:rFonts w:ascii="Arial" w:eastAsia="Arial" w:hAnsi="Arial" w:cs="Arial"/>
          <w:color w:val="000000" w:themeColor="text1"/>
        </w:rPr>
        <w:t>.</w:t>
      </w:r>
      <w:r w:rsidR="00E174EF" w:rsidRPr="00740B5E">
        <w:rPr>
          <w:rFonts w:ascii="Arial" w:eastAsia="Arial" w:hAnsi="Arial" w:cs="Arial"/>
          <w:color w:val="000000" w:themeColor="text1"/>
        </w:rPr>
        <w:t xml:space="preserve">  </w:t>
      </w:r>
      <w:r w:rsidR="00804049" w:rsidRPr="00740B5E">
        <w:rPr>
          <w:rFonts w:ascii="Arial" w:eastAsia="Arial" w:hAnsi="Arial" w:cs="Arial"/>
          <w:color w:val="000000" w:themeColor="text1"/>
        </w:rPr>
        <w:t>Toda a atividade ocorreu de forma segura para os</w:t>
      </w:r>
      <w:r w:rsidR="00CE724D" w:rsidRPr="00740B5E">
        <w:rPr>
          <w:rFonts w:ascii="Arial" w:eastAsia="Arial" w:hAnsi="Arial" w:cs="Arial"/>
          <w:color w:val="000000" w:themeColor="text1"/>
        </w:rPr>
        <w:t xml:space="preserve"> </w:t>
      </w:r>
      <w:proofErr w:type="gramStart"/>
      <w:r w:rsidR="00804049" w:rsidRPr="00740B5E">
        <w:rPr>
          <w:rFonts w:ascii="Arial" w:eastAsia="Arial" w:hAnsi="Arial" w:cs="Arial"/>
          <w:color w:val="000000" w:themeColor="text1"/>
        </w:rPr>
        <w:t>profissionais  e</w:t>
      </w:r>
      <w:proofErr w:type="gramEnd"/>
      <w:r w:rsidR="00804049" w:rsidRPr="00740B5E">
        <w:rPr>
          <w:rFonts w:ascii="Arial" w:eastAsia="Arial" w:hAnsi="Arial" w:cs="Arial"/>
          <w:color w:val="000000" w:themeColor="text1"/>
        </w:rPr>
        <w:t xml:space="preserve"> os pacientes do hospital.</w:t>
      </w:r>
    </w:p>
    <w:p w14:paraId="257C75C3" w14:textId="77777777" w:rsidR="00FA38FF" w:rsidRDefault="00FA38FF" w:rsidP="00B42B58">
      <w:pPr>
        <w:pStyle w:val="paragraph"/>
        <w:spacing w:before="0" w:beforeAutospacing="0" w:after="0" w:afterAutospacing="0"/>
        <w:ind w:firstLine="705"/>
        <w:jc w:val="both"/>
        <w:textAlignment w:val="baseline"/>
        <w:rPr>
          <w:rFonts w:ascii="Segoe UI" w:hAnsi="Segoe UI" w:cs="Segoe UI"/>
          <w:color w:val="000000"/>
          <w:sz w:val="18"/>
          <w:szCs w:val="18"/>
        </w:rPr>
      </w:pPr>
    </w:p>
    <w:p w14:paraId="1184E9C7" w14:textId="1DFCA039" w:rsidR="00FA38FF" w:rsidRDefault="00FA38FF" w:rsidP="00FA38FF">
      <w:pPr>
        <w:pStyle w:val="paragraph"/>
        <w:pBdr>
          <w:top w:val="single" w:sz="4" w:space="4" w:color="000000"/>
          <w:left w:val="single" w:sz="4" w:space="4" w:color="000000"/>
          <w:bottom w:val="single" w:sz="4" w:space="4" w:color="000000"/>
          <w:right w:val="single" w:sz="4" w:space="0" w:color="000000"/>
        </w:pBdr>
        <w:spacing w:before="0" w:beforeAutospacing="0" w:after="0" w:afterAutospacing="0"/>
        <w:textAlignment w:val="baseline"/>
        <w:rPr>
          <w:rFonts w:ascii="Segoe UI" w:hAnsi="Segoe UI" w:cs="Segoe UI"/>
          <w:color w:val="000000"/>
          <w:sz w:val="18"/>
          <w:szCs w:val="18"/>
        </w:rPr>
      </w:pPr>
      <w:r>
        <w:rPr>
          <w:rStyle w:val="eop"/>
          <w:rFonts w:ascii="Calibri" w:hAnsi="Calibri" w:cs="Calibri"/>
          <w:color w:val="000000"/>
          <w:sz w:val="22"/>
          <w:szCs w:val="22"/>
        </w:rPr>
        <w:t> </w:t>
      </w:r>
      <w:r w:rsidR="006425BA" w:rsidRPr="006425BA">
        <w:rPr>
          <w:rStyle w:val="eop"/>
          <w:rFonts w:ascii="Calibri" w:hAnsi="Calibri" w:cs="Calibri"/>
          <w:noProof/>
          <w:color w:val="000000"/>
          <w:sz w:val="22"/>
          <w:szCs w:val="22"/>
        </w:rPr>
        <w:drawing>
          <wp:inline distT="0" distB="0" distL="0" distR="0" wp14:anchorId="169716A9" wp14:editId="13D95E4A">
            <wp:extent cx="2520000" cy="1566000"/>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2520000" cy="1566000"/>
                    </a:xfrm>
                    <a:prstGeom prst="rect">
                      <a:avLst/>
                    </a:prstGeom>
                  </pic:spPr>
                </pic:pic>
              </a:graphicData>
            </a:graphic>
          </wp:inline>
        </w:drawing>
      </w:r>
      <w:r w:rsidR="00804049" w:rsidRPr="00804049">
        <w:rPr>
          <w:rStyle w:val="eop"/>
          <w:rFonts w:ascii="Calibri" w:hAnsi="Calibri" w:cs="Calibri"/>
          <w:noProof/>
          <w:color w:val="000000"/>
          <w:sz w:val="22"/>
          <w:szCs w:val="22"/>
        </w:rPr>
        <w:drawing>
          <wp:inline distT="0" distB="0" distL="0" distR="0" wp14:anchorId="7F9B7448" wp14:editId="1502FDEC">
            <wp:extent cx="2520000" cy="1551600"/>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2520000" cy="1551600"/>
                    </a:xfrm>
                    <a:prstGeom prst="rect">
                      <a:avLst/>
                    </a:prstGeom>
                  </pic:spPr>
                </pic:pic>
              </a:graphicData>
            </a:graphic>
          </wp:inline>
        </w:drawing>
      </w:r>
    </w:p>
    <w:p w14:paraId="3D9E34DC" w14:textId="77777777" w:rsidR="006B7035" w:rsidRDefault="006B7035" w:rsidP="006B7035">
      <w:pPr>
        <w:pStyle w:val="paragraph"/>
        <w:spacing w:before="0" w:beforeAutospacing="0" w:after="0" w:afterAutospacing="0"/>
        <w:ind w:left="-15"/>
        <w:textAlignment w:val="baseline"/>
        <w:rPr>
          <w:rFonts w:ascii="Segoe UI" w:hAnsi="Segoe UI" w:cs="Segoe UI"/>
          <w:color w:val="000000"/>
          <w:sz w:val="18"/>
          <w:szCs w:val="18"/>
        </w:rPr>
      </w:pPr>
    </w:p>
    <w:p w14:paraId="7BE0AFCB" w14:textId="77777777" w:rsidR="006B7035" w:rsidRDefault="006B7035" w:rsidP="006B7035">
      <w:pPr>
        <w:pStyle w:val="paragraph"/>
        <w:spacing w:before="0" w:beforeAutospacing="0" w:after="0" w:afterAutospacing="0"/>
        <w:ind w:left="-15"/>
        <w:textAlignment w:val="baseline"/>
        <w:rPr>
          <w:rFonts w:ascii="Segoe UI" w:hAnsi="Segoe UI" w:cs="Segoe UI"/>
          <w:color w:val="000000"/>
          <w:sz w:val="18"/>
          <w:szCs w:val="18"/>
        </w:rPr>
      </w:pPr>
    </w:p>
    <w:p w14:paraId="48E6B5CF" w14:textId="77777777" w:rsidR="00740B5E" w:rsidRDefault="00740B5E" w:rsidP="006B7035">
      <w:pPr>
        <w:pStyle w:val="paragraph"/>
        <w:spacing w:before="0" w:beforeAutospacing="0" w:after="0" w:afterAutospacing="0"/>
        <w:ind w:left="-15"/>
        <w:textAlignment w:val="baseline"/>
        <w:rPr>
          <w:rFonts w:ascii="Segoe UI" w:hAnsi="Segoe UI" w:cs="Segoe UI"/>
          <w:color w:val="000000"/>
          <w:sz w:val="18"/>
          <w:szCs w:val="18"/>
        </w:rPr>
      </w:pPr>
    </w:p>
    <w:p w14:paraId="18171A3B" w14:textId="77777777" w:rsidR="00740B5E" w:rsidRDefault="00740B5E" w:rsidP="006B7035">
      <w:pPr>
        <w:pStyle w:val="paragraph"/>
        <w:spacing w:before="0" w:beforeAutospacing="0" w:after="0" w:afterAutospacing="0"/>
        <w:ind w:left="-15"/>
        <w:textAlignment w:val="baseline"/>
        <w:rPr>
          <w:rFonts w:ascii="Segoe UI" w:hAnsi="Segoe UI" w:cs="Segoe UI"/>
          <w:color w:val="000000"/>
          <w:sz w:val="18"/>
          <w:szCs w:val="18"/>
        </w:rPr>
      </w:pPr>
    </w:p>
    <w:p w14:paraId="05218DCF" w14:textId="77777777" w:rsidR="00740B5E" w:rsidRDefault="00740B5E" w:rsidP="006B7035">
      <w:pPr>
        <w:pStyle w:val="paragraph"/>
        <w:spacing w:before="0" w:beforeAutospacing="0" w:after="0" w:afterAutospacing="0"/>
        <w:ind w:left="-15"/>
        <w:textAlignment w:val="baseline"/>
        <w:rPr>
          <w:rFonts w:ascii="Segoe UI" w:hAnsi="Segoe UI" w:cs="Segoe UI"/>
          <w:color w:val="000000"/>
          <w:sz w:val="18"/>
          <w:szCs w:val="18"/>
        </w:rPr>
      </w:pPr>
    </w:p>
    <w:p w14:paraId="76986DB7" w14:textId="77777777" w:rsidR="00740B5E" w:rsidRDefault="00740B5E" w:rsidP="006B7035">
      <w:pPr>
        <w:pStyle w:val="paragraph"/>
        <w:spacing w:before="0" w:beforeAutospacing="0" w:after="0" w:afterAutospacing="0"/>
        <w:ind w:left="-15"/>
        <w:textAlignment w:val="baseline"/>
        <w:rPr>
          <w:rFonts w:ascii="Segoe UI" w:hAnsi="Segoe UI" w:cs="Segoe UI"/>
          <w:color w:val="000000"/>
          <w:sz w:val="18"/>
          <w:szCs w:val="18"/>
        </w:rPr>
      </w:pPr>
    </w:p>
    <w:p w14:paraId="70F6A87A" w14:textId="77777777" w:rsidR="00740B5E" w:rsidRDefault="00740B5E" w:rsidP="006B7035">
      <w:pPr>
        <w:pStyle w:val="paragraph"/>
        <w:spacing w:before="0" w:beforeAutospacing="0" w:after="0" w:afterAutospacing="0"/>
        <w:ind w:left="-15"/>
        <w:textAlignment w:val="baseline"/>
        <w:rPr>
          <w:rFonts w:ascii="Segoe UI" w:hAnsi="Segoe UI" w:cs="Segoe UI"/>
          <w:color w:val="000000"/>
          <w:sz w:val="18"/>
          <w:szCs w:val="18"/>
        </w:rPr>
      </w:pPr>
    </w:p>
    <w:p w14:paraId="39AA06D9" w14:textId="77777777" w:rsidR="00740B5E" w:rsidRDefault="00740B5E" w:rsidP="006B7035">
      <w:pPr>
        <w:pStyle w:val="paragraph"/>
        <w:spacing w:before="0" w:beforeAutospacing="0" w:after="0" w:afterAutospacing="0"/>
        <w:ind w:left="-15"/>
        <w:textAlignment w:val="baseline"/>
        <w:rPr>
          <w:rFonts w:ascii="Segoe UI" w:hAnsi="Segoe UI" w:cs="Segoe UI"/>
          <w:color w:val="000000"/>
          <w:sz w:val="18"/>
          <w:szCs w:val="18"/>
        </w:rPr>
      </w:pPr>
    </w:p>
    <w:p w14:paraId="7F12022D" w14:textId="77777777" w:rsidR="00740B5E" w:rsidRDefault="00740B5E" w:rsidP="006B7035">
      <w:pPr>
        <w:pStyle w:val="paragraph"/>
        <w:spacing w:before="0" w:beforeAutospacing="0" w:after="0" w:afterAutospacing="0"/>
        <w:ind w:left="-15"/>
        <w:textAlignment w:val="baseline"/>
        <w:rPr>
          <w:rFonts w:ascii="Segoe UI" w:hAnsi="Segoe UI" w:cs="Segoe UI"/>
          <w:color w:val="000000"/>
          <w:sz w:val="18"/>
          <w:szCs w:val="18"/>
        </w:rPr>
      </w:pPr>
    </w:p>
    <w:p w14:paraId="1DD22BEE" w14:textId="141FFD89" w:rsidR="006B7035" w:rsidRPr="00740B5E" w:rsidRDefault="006B7035" w:rsidP="006B7035">
      <w:pPr>
        <w:pStyle w:val="paragraph"/>
        <w:spacing w:before="0" w:beforeAutospacing="0" w:after="0" w:afterAutospacing="0"/>
        <w:ind w:left="-15"/>
        <w:textAlignment w:val="baseline"/>
        <w:rPr>
          <w:rFonts w:ascii="Arial" w:eastAsia="Arial" w:hAnsi="Arial" w:cs="Arial"/>
          <w:color w:val="000000" w:themeColor="text1"/>
        </w:rPr>
      </w:pPr>
      <w:r w:rsidRPr="00740B5E">
        <w:rPr>
          <w:rFonts w:ascii="Arial" w:eastAsia="Arial" w:hAnsi="Arial" w:cs="Arial"/>
          <w:color w:val="000000" w:themeColor="text1"/>
        </w:rPr>
        <w:lastRenderedPageBreak/>
        <w:t>A montagem Final da UTI</w:t>
      </w:r>
      <w:r w:rsidR="00F5148C" w:rsidRPr="00740B5E">
        <w:rPr>
          <w:rFonts w:ascii="Arial" w:eastAsia="Arial" w:hAnsi="Arial" w:cs="Arial"/>
          <w:color w:val="000000" w:themeColor="text1"/>
        </w:rPr>
        <w:t>.</w:t>
      </w:r>
    </w:p>
    <w:p w14:paraId="588AD652" w14:textId="77777777" w:rsidR="00352CB7" w:rsidRDefault="00352CB7" w:rsidP="002A31B2">
      <w:pPr>
        <w:pStyle w:val="paragraph"/>
        <w:spacing w:before="0" w:beforeAutospacing="0" w:after="0" w:afterAutospacing="0"/>
        <w:ind w:left="-15"/>
        <w:jc w:val="center"/>
        <w:textAlignment w:val="baseline"/>
        <w:rPr>
          <w:rFonts w:ascii="Segoe UI" w:hAnsi="Segoe UI" w:cs="Segoe UI"/>
          <w:color w:val="000000"/>
          <w:sz w:val="18"/>
          <w:szCs w:val="18"/>
        </w:rPr>
      </w:pPr>
    </w:p>
    <w:p w14:paraId="5EE2DEDD" w14:textId="0EFE0573" w:rsidR="00352CB7" w:rsidRDefault="003E3910" w:rsidP="0093609D">
      <w:pPr>
        <w:pStyle w:val="paragraph"/>
        <w:pBdr>
          <w:top w:val="single" w:sz="4" w:space="4" w:color="000000"/>
          <w:left w:val="single" w:sz="4" w:space="4" w:color="000000"/>
          <w:bottom w:val="single" w:sz="4" w:space="4" w:color="000000"/>
          <w:right w:val="single" w:sz="4" w:space="0" w:color="000000"/>
        </w:pBdr>
        <w:spacing w:before="0" w:beforeAutospacing="0" w:after="0" w:afterAutospacing="0"/>
        <w:textAlignment w:val="baseline"/>
        <w:rPr>
          <w:rFonts w:ascii="Segoe UI" w:hAnsi="Segoe UI" w:cs="Segoe UI"/>
          <w:color w:val="000000"/>
          <w:sz w:val="18"/>
          <w:szCs w:val="18"/>
        </w:rPr>
      </w:pPr>
      <w:r w:rsidRPr="003E3910">
        <w:rPr>
          <w:rStyle w:val="eop"/>
          <w:rFonts w:ascii="Calibri" w:hAnsi="Calibri" w:cs="Calibri"/>
          <w:noProof/>
          <w:color w:val="000000"/>
          <w:sz w:val="22"/>
          <w:szCs w:val="22"/>
        </w:rPr>
        <w:drawing>
          <wp:inline distT="0" distB="0" distL="0" distR="0" wp14:anchorId="4223BFE1" wp14:editId="36F56B75">
            <wp:extent cx="1569600" cy="2880000"/>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1569600" cy="2880000"/>
                    </a:xfrm>
                    <a:prstGeom prst="rect">
                      <a:avLst/>
                    </a:prstGeom>
                  </pic:spPr>
                </pic:pic>
              </a:graphicData>
            </a:graphic>
          </wp:inline>
        </w:drawing>
      </w:r>
      <w:r w:rsidR="00352CB7">
        <w:rPr>
          <w:rStyle w:val="eop"/>
          <w:rFonts w:ascii="Calibri" w:hAnsi="Calibri" w:cs="Calibri"/>
          <w:color w:val="000000"/>
          <w:sz w:val="22"/>
          <w:szCs w:val="22"/>
        </w:rPr>
        <w:t> </w:t>
      </w:r>
      <w:r w:rsidR="00DD554C" w:rsidRPr="00DD554C">
        <w:rPr>
          <w:rStyle w:val="eop"/>
          <w:rFonts w:ascii="Calibri" w:hAnsi="Calibri" w:cs="Calibri"/>
          <w:noProof/>
          <w:color w:val="000000"/>
          <w:sz w:val="22"/>
          <w:szCs w:val="22"/>
        </w:rPr>
        <w:drawing>
          <wp:inline distT="0" distB="0" distL="0" distR="0" wp14:anchorId="323B3030" wp14:editId="4D88F17B">
            <wp:extent cx="1634400" cy="2880000"/>
            <wp:effectExtent l="0" t="0" r="4445"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1634400" cy="2880000"/>
                    </a:xfrm>
                    <a:prstGeom prst="rect">
                      <a:avLst/>
                    </a:prstGeom>
                  </pic:spPr>
                </pic:pic>
              </a:graphicData>
            </a:graphic>
          </wp:inline>
        </w:drawing>
      </w:r>
      <w:r w:rsidR="006C4A59" w:rsidRPr="006C4A59">
        <w:rPr>
          <w:rStyle w:val="eop"/>
          <w:rFonts w:ascii="Calibri" w:hAnsi="Calibri" w:cs="Calibri"/>
          <w:noProof/>
          <w:color w:val="000000"/>
          <w:sz w:val="22"/>
          <w:szCs w:val="22"/>
        </w:rPr>
        <w:drawing>
          <wp:inline distT="0" distB="0" distL="0" distR="0" wp14:anchorId="2F78D451" wp14:editId="19A4D693">
            <wp:extent cx="1616400" cy="2880000"/>
            <wp:effectExtent l="0" t="0" r="3175"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1616400" cy="2880000"/>
                    </a:xfrm>
                    <a:prstGeom prst="rect">
                      <a:avLst/>
                    </a:prstGeom>
                  </pic:spPr>
                </pic:pic>
              </a:graphicData>
            </a:graphic>
          </wp:inline>
        </w:drawing>
      </w:r>
    </w:p>
    <w:p w14:paraId="3350148E" w14:textId="77777777" w:rsidR="002A31B2" w:rsidRDefault="002A31B2" w:rsidP="00451686"/>
    <w:p w14:paraId="4C61670A" w14:textId="257135B0" w:rsidR="008963BE" w:rsidRDefault="00C2230C" w:rsidP="00451686">
      <w:proofErr w:type="gramStart"/>
      <w:r>
        <w:t>A  substituição</w:t>
      </w:r>
      <w:proofErr w:type="gramEnd"/>
      <w:r>
        <w:t xml:space="preserve"> da usina de oxig</w:t>
      </w:r>
      <w:r w:rsidR="00D1301C">
        <w:t>ê</w:t>
      </w:r>
      <w:r>
        <w:t xml:space="preserve">nio, ar medicinal e vácuo </w:t>
      </w:r>
      <w:r w:rsidR="00B8076C">
        <w:t>foi necessária devido ao fim do contrato</w:t>
      </w:r>
      <w:r w:rsidR="00FB4B30">
        <w:t xml:space="preserve"> com a antiga empresa</w:t>
      </w:r>
      <w:r w:rsidR="00923093">
        <w:t xml:space="preserve"> com a nova fornecedora. Os sistemas oferecidos na concorrência além da renovação do contrato foram tratados pontos de melhoria no sistema </w:t>
      </w:r>
      <w:proofErr w:type="gramStart"/>
      <w:r w:rsidR="00923093">
        <w:t>e  aumentar</w:t>
      </w:r>
      <w:proofErr w:type="gramEnd"/>
      <w:r w:rsidR="00923093">
        <w:t xml:space="preserve"> </w:t>
      </w:r>
      <w:r w:rsidR="008963BE">
        <w:t xml:space="preserve">a capacidade e autonomia </w:t>
      </w:r>
      <w:proofErr w:type="gramStart"/>
      <w:r w:rsidR="008963BE">
        <w:t xml:space="preserve">no </w:t>
      </w:r>
      <w:r w:rsidR="004741BB">
        <w:t>fornecimentos</w:t>
      </w:r>
      <w:proofErr w:type="gramEnd"/>
      <w:r w:rsidR="008963BE">
        <w:t xml:space="preserve"> dos gases </w:t>
      </w:r>
      <w:r w:rsidR="004741BB">
        <w:t>medicinais</w:t>
      </w:r>
      <w:r w:rsidR="008963BE">
        <w:t xml:space="preserve"> para o hospital.</w:t>
      </w:r>
    </w:p>
    <w:p w14:paraId="11AF03A0" w14:textId="764D2B57" w:rsidR="00F5148C" w:rsidRDefault="00B06F4B" w:rsidP="00451686">
      <w:r>
        <w:t>O sistema de usina</w:t>
      </w:r>
      <w:r w:rsidR="002B295C">
        <w:t xml:space="preserve"> de geração de oxigênio que era composto </w:t>
      </w:r>
      <w:proofErr w:type="gramStart"/>
      <w:r w:rsidR="002B295C">
        <w:t xml:space="preserve">por </w:t>
      </w:r>
      <w:r w:rsidR="00C62814">
        <w:t xml:space="preserve"> sistemas</w:t>
      </w:r>
      <w:proofErr w:type="gramEnd"/>
      <w:r w:rsidR="00C62814">
        <w:t xml:space="preserve"> de geração de 44</w:t>
      </w:r>
      <w:r w:rsidR="00BA3DDA">
        <w:t xml:space="preserve"> metros cúbicos hora, </w:t>
      </w:r>
      <w:proofErr w:type="gramStart"/>
      <w:r w:rsidR="00BA3DDA">
        <w:t>com  duas</w:t>
      </w:r>
      <w:proofErr w:type="gramEnd"/>
      <w:r w:rsidR="00BA3DDA">
        <w:t xml:space="preserve"> baterias reservas compostas por cilindr</w:t>
      </w:r>
      <w:r w:rsidR="007100D8">
        <w:t xml:space="preserve">os </w:t>
      </w:r>
      <w:proofErr w:type="gramStart"/>
      <w:r w:rsidR="007100D8">
        <w:t>com  12</w:t>
      </w:r>
      <w:proofErr w:type="gramEnd"/>
      <w:r w:rsidR="007100D8">
        <w:t xml:space="preserve"> cilindros </w:t>
      </w:r>
      <w:proofErr w:type="gramStart"/>
      <w:r w:rsidR="007100D8">
        <w:t>cada  foi</w:t>
      </w:r>
      <w:proofErr w:type="gramEnd"/>
      <w:r w:rsidR="007100D8">
        <w:t xml:space="preserve"> substituído por um sistema PSA de geração de 66 metros </w:t>
      </w:r>
      <w:proofErr w:type="gramStart"/>
      <w:r w:rsidR="007100D8">
        <w:t>cubico</w:t>
      </w:r>
      <w:proofErr w:type="gramEnd"/>
      <w:r w:rsidR="007100D8">
        <w:t xml:space="preserve"> por hora</w:t>
      </w:r>
      <w:r w:rsidR="00F514A8">
        <w:t xml:space="preserve"> e pelos sistemas de reservas composto por um tanque criogênico de 5 mil metros cúbicos de O2 </w:t>
      </w:r>
      <w:proofErr w:type="gramStart"/>
      <w:r w:rsidR="00F514A8">
        <w:t>liquido</w:t>
      </w:r>
      <w:proofErr w:type="gramEnd"/>
      <w:r w:rsidR="00F514A8">
        <w:t xml:space="preserve"> e </w:t>
      </w:r>
      <w:r w:rsidR="00B068E6">
        <w:t>dois sistemas de baterias reservas de cilindros de O2.</w:t>
      </w:r>
    </w:p>
    <w:p w14:paraId="17C1E9AD" w14:textId="0A310E78" w:rsidR="007D1CE5" w:rsidRDefault="00B068E6" w:rsidP="007D1CE5">
      <w:r>
        <w:t xml:space="preserve">O sistema de Ar </w:t>
      </w:r>
      <w:proofErr w:type="gramStart"/>
      <w:r>
        <w:t>medicinal  era</w:t>
      </w:r>
      <w:proofErr w:type="gramEnd"/>
      <w:r>
        <w:t xml:space="preserve"> composto por </w:t>
      </w:r>
      <w:r w:rsidR="00323BA0">
        <w:t>um sistema que possui a capacidade de geração de 222 metros cúbicos por hora</w:t>
      </w:r>
      <w:r w:rsidR="00133F6E">
        <w:t xml:space="preserve">, passou para um sistema de </w:t>
      </w:r>
      <w:r w:rsidR="007D1CE5">
        <w:t>290</w:t>
      </w:r>
      <w:r w:rsidR="00133F6E">
        <w:t xml:space="preserve"> metros </w:t>
      </w:r>
      <w:r w:rsidR="0042504F">
        <w:t>cúbicos por hora.</w:t>
      </w:r>
      <w:r w:rsidR="007D1CE5">
        <w:t xml:space="preserve"> O sistema de vácuo </w:t>
      </w:r>
      <w:r w:rsidR="004741BB">
        <w:t>também</w:t>
      </w:r>
      <w:r w:rsidR="007D1CE5">
        <w:t xml:space="preserve"> pa</w:t>
      </w:r>
      <w:r w:rsidR="004741BB">
        <w:t>ssou de um sistema de 222 metros cúbicos por hora para um sistema de 350 metros cúbicos por hora.</w:t>
      </w:r>
    </w:p>
    <w:p w14:paraId="5385233A" w14:textId="34B3EC9C" w:rsidR="006469AA" w:rsidRDefault="0066660A" w:rsidP="007D1CE5">
      <w:r>
        <w:t>Foram colocados 3 tanques com capacidade de 5 mil</w:t>
      </w:r>
      <w:r w:rsidR="00781A9F">
        <w:t xml:space="preserve"> para aumentar a capacidade de armazenamento de O2 e ar comprimido</w:t>
      </w:r>
      <w:r w:rsidR="009739AD">
        <w:t xml:space="preserve">. Estes tanques além de aumentar a </w:t>
      </w:r>
      <w:r w:rsidR="009739AD">
        <w:lastRenderedPageBreak/>
        <w:t xml:space="preserve">capacidade de armazenamento </w:t>
      </w:r>
      <w:r w:rsidR="00023AD2">
        <w:t>proporcionam</w:t>
      </w:r>
      <w:r w:rsidR="009739AD">
        <w:t xml:space="preserve"> </w:t>
      </w:r>
      <w:proofErr w:type="gramStart"/>
      <w:r w:rsidR="009739AD">
        <w:t xml:space="preserve">mais </w:t>
      </w:r>
      <w:r w:rsidR="00023AD2">
        <w:t xml:space="preserve"> estabilidade</w:t>
      </w:r>
      <w:proofErr w:type="gramEnd"/>
      <w:r w:rsidR="00023AD2">
        <w:t xml:space="preserve"> de fornecimento dos gases e reduzindo o consumo de energia elétrica dos equipamentos.</w:t>
      </w:r>
    </w:p>
    <w:p w14:paraId="229C6ECE" w14:textId="4A8C54F5" w:rsidR="00023AD2" w:rsidRDefault="008C3D85" w:rsidP="007D1CE5">
      <w:r>
        <w:t xml:space="preserve">Todo os sistemas possuem monitoramento remoto e sistemas de automação, </w:t>
      </w:r>
      <w:r w:rsidR="00312C0C">
        <w:t>um avanço tecnológico</w:t>
      </w:r>
      <w:r w:rsidR="00477437">
        <w:t xml:space="preserve"> que permite além do monitoramento, primeiro atendiment</w:t>
      </w:r>
      <w:r w:rsidR="00D138C6">
        <w:t>o</w:t>
      </w:r>
      <w:r w:rsidR="000E3735">
        <w:t xml:space="preserve"> também for</w:t>
      </w:r>
      <w:r w:rsidR="00E451F4">
        <w:t>ne</w:t>
      </w:r>
      <w:r w:rsidR="000E3735">
        <w:t>cer</w:t>
      </w:r>
      <w:r w:rsidR="00E451F4">
        <w:t>á</w:t>
      </w:r>
      <w:r w:rsidR="000E3735">
        <w:t xml:space="preserve"> informações de consumo </w:t>
      </w:r>
      <w:r w:rsidR="00E451F4">
        <w:t>dos gases.</w:t>
      </w:r>
    </w:p>
    <w:p w14:paraId="4A8465EB" w14:textId="3687B991" w:rsidR="00827B43" w:rsidRDefault="00827B43" w:rsidP="00343B86">
      <w:pPr>
        <w:jc w:val="center"/>
      </w:pPr>
      <w:r w:rsidRPr="00827B43">
        <w:rPr>
          <w:noProof/>
        </w:rPr>
        <w:drawing>
          <wp:inline distT="0" distB="0" distL="0" distR="0" wp14:anchorId="5A94A95F" wp14:editId="5250E3DE">
            <wp:extent cx="2016000" cy="2880000"/>
            <wp:effectExtent l="0" t="0" r="3810"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2016000" cy="2880000"/>
                    </a:xfrm>
                    <a:prstGeom prst="rect">
                      <a:avLst/>
                    </a:prstGeom>
                  </pic:spPr>
                </pic:pic>
              </a:graphicData>
            </a:graphic>
          </wp:inline>
        </w:drawing>
      </w:r>
      <w:r w:rsidR="00F85885" w:rsidRPr="00F85885">
        <w:rPr>
          <w:noProof/>
        </w:rPr>
        <w:drawing>
          <wp:inline distT="0" distB="0" distL="0" distR="0" wp14:anchorId="0FE6CAA4" wp14:editId="04428EF9">
            <wp:extent cx="2052000" cy="2880000"/>
            <wp:effectExtent l="0" t="0" r="5715"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2052000" cy="2880000"/>
                    </a:xfrm>
                    <a:prstGeom prst="rect">
                      <a:avLst/>
                    </a:prstGeom>
                  </pic:spPr>
                </pic:pic>
              </a:graphicData>
            </a:graphic>
          </wp:inline>
        </w:drawing>
      </w:r>
    </w:p>
    <w:p w14:paraId="4AAB521A" w14:textId="7A5CBF45" w:rsidR="004741BB" w:rsidRDefault="00A511C8" w:rsidP="00144D08">
      <w:pPr>
        <w:jc w:val="center"/>
      </w:pPr>
      <w:r w:rsidRPr="00A511C8">
        <w:rPr>
          <w:noProof/>
        </w:rPr>
        <w:drawing>
          <wp:inline distT="0" distB="0" distL="0" distR="0" wp14:anchorId="0B70B481" wp14:editId="5F1119FF">
            <wp:extent cx="2120400" cy="2880000"/>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2120400" cy="2880000"/>
                    </a:xfrm>
                    <a:prstGeom prst="rect">
                      <a:avLst/>
                    </a:prstGeom>
                  </pic:spPr>
                </pic:pic>
              </a:graphicData>
            </a:graphic>
          </wp:inline>
        </w:drawing>
      </w:r>
      <w:r w:rsidR="00144D08" w:rsidRPr="00144D08">
        <w:rPr>
          <w:noProof/>
        </w:rPr>
        <w:drawing>
          <wp:inline distT="0" distB="0" distL="0" distR="0" wp14:anchorId="5322B373" wp14:editId="2E1F44A6">
            <wp:extent cx="2066400" cy="2880000"/>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2066400" cy="2880000"/>
                    </a:xfrm>
                    <a:prstGeom prst="rect">
                      <a:avLst/>
                    </a:prstGeom>
                  </pic:spPr>
                </pic:pic>
              </a:graphicData>
            </a:graphic>
          </wp:inline>
        </w:drawing>
      </w:r>
    </w:p>
    <w:p w14:paraId="54ABBBED" w14:textId="77777777" w:rsidR="004972BB" w:rsidRDefault="004972BB" w:rsidP="00144D08">
      <w:pPr>
        <w:jc w:val="center"/>
      </w:pPr>
    </w:p>
    <w:p w14:paraId="75E7DD27" w14:textId="3D6A9329" w:rsidR="004972BB" w:rsidRDefault="004972BB" w:rsidP="00144D08">
      <w:pPr>
        <w:jc w:val="center"/>
      </w:pPr>
      <w:r w:rsidRPr="004972BB">
        <w:rPr>
          <w:noProof/>
        </w:rPr>
        <w:lastRenderedPageBreak/>
        <w:drawing>
          <wp:inline distT="0" distB="0" distL="0" distR="0" wp14:anchorId="5F599BD0" wp14:editId="26A56AE4">
            <wp:extent cx="1900800" cy="2520000"/>
            <wp:effectExtent l="0" t="0" r="4445"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1900800" cy="2520000"/>
                    </a:xfrm>
                    <a:prstGeom prst="rect">
                      <a:avLst/>
                    </a:prstGeom>
                  </pic:spPr>
                </pic:pic>
              </a:graphicData>
            </a:graphic>
          </wp:inline>
        </w:drawing>
      </w:r>
      <w:r w:rsidR="00B47C67" w:rsidRPr="00B47C67">
        <w:rPr>
          <w:noProof/>
        </w:rPr>
        <w:drawing>
          <wp:inline distT="0" distB="0" distL="0" distR="0" wp14:anchorId="5EBD0191" wp14:editId="33028445">
            <wp:extent cx="1504800" cy="2520000"/>
            <wp:effectExtent l="0" t="0" r="635"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1504800" cy="2520000"/>
                    </a:xfrm>
                    <a:prstGeom prst="rect">
                      <a:avLst/>
                    </a:prstGeom>
                  </pic:spPr>
                </pic:pic>
              </a:graphicData>
            </a:graphic>
          </wp:inline>
        </w:drawing>
      </w:r>
      <w:r w:rsidR="00E55BCB" w:rsidRPr="00E55BCB">
        <w:rPr>
          <w:noProof/>
        </w:rPr>
        <w:drawing>
          <wp:inline distT="0" distB="0" distL="0" distR="0" wp14:anchorId="3C9C5387" wp14:editId="4A29B60D">
            <wp:extent cx="1414800" cy="2520000"/>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1414800" cy="2520000"/>
                    </a:xfrm>
                    <a:prstGeom prst="rect">
                      <a:avLst/>
                    </a:prstGeom>
                  </pic:spPr>
                </pic:pic>
              </a:graphicData>
            </a:graphic>
          </wp:inline>
        </w:drawing>
      </w:r>
    </w:p>
    <w:p w14:paraId="090ECEE8" w14:textId="77777777" w:rsidR="00B47C67" w:rsidRDefault="00B47C67" w:rsidP="00144D08">
      <w:pPr>
        <w:jc w:val="center"/>
      </w:pPr>
    </w:p>
    <w:p w14:paraId="3086D790" w14:textId="5AD990AC" w:rsidR="00A4224E" w:rsidRPr="00DE5669" w:rsidRDefault="003133E9" w:rsidP="00F275E7">
      <w:pPr>
        <w:pStyle w:val="Ttulo1"/>
        <w:spacing w:after="218"/>
        <w:ind w:left="-5"/>
      </w:pPr>
      <w:bookmarkStart w:id="143" w:name="_Toc234260385"/>
      <w:r>
        <w:rPr>
          <w:bCs/>
          <w:color w:val="1F4E79" w:themeColor="accent5" w:themeShade="80"/>
          <w:szCs w:val="32"/>
        </w:rPr>
        <w:t>1</w:t>
      </w:r>
      <w:r w:rsidR="00BD3413">
        <w:rPr>
          <w:bCs/>
          <w:color w:val="1F4E79" w:themeColor="accent5" w:themeShade="80"/>
          <w:szCs w:val="32"/>
        </w:rPr>
        <w:t>1</w:t>
      </w:r>
      <w:r w:rsidR="0CD7A377" w:rsidRPr="00DE5669">
        <w:rPr>
          <w:bCs/>
          <w:color w:val="1F4E79" w:themeColor="accent5" w:themeShade="80"/>
          <w:szCs w:val="32"/>
        </w:rPr>
        <w:t>. Núcleo de Práticas, Qualidade e Segurança do Paciente</w:t>
      </w:r>
      <w:bookmarkEnd w:id="143"/>
      <w:r w:rsidR="0CD7A377" w:rsidRPr="00DE5669">
        <w:rPr>
          <w:bCs/>
          <w:color w:val="1F4E79" w:themeColor="accent5" w:themeShade="80"/>
          <w:szCs w:val="32"/>
        </w:rPr>
        <w:t xml:space="preserve"> </w:t>
      </w:r>
    </w:p>
    <w:p w14:paraId="1C53DBCB" w14:textId="1B0B8EE9" w:rsidR="5CA091E8" w:rsidRPr="00DE5669" w:rsidRDefault="003133E9" w:rsidP="000309BC">
      <w:pPr>
        <w:spacing w:after="307" w:line="249" w:lineRule="auto"/>
        <w:ind w:hanging="10"/>
        <w:rPr>
          <w:rFonts w:cs="Arial"/>
        </w:rPr>
      </w:pPr>
      <w:r>
        <w:rPr>
          <w:rFonts w:cs="Arial"/>
          <w:b/>
          <w:bCs/>
          <w:color w:val="1F4E79" w:themeColor="accent5" w:themeShade="80"/>
        </w:rPr>
        <w:t>1</w:t>
      </w:r>
      <w:r w:rsidR="00BD3413">
        <w:rPr>
          <w:rFonts w:cs="Arial"/>
          <w:b/>
          <w:bCs/>
          <w:color w:val="1F4E79" w:themeColor="accent5" w:themeShade="80"/>
        </w:rPr>
        <w:t>1</w:t>
      </w:r>
      <w:r w:rsidR="61B3F7D2" w:rsidRPr="00DE5669">
        <w:rPr>
          <w:rFonts w:cs="Arial"/>
          <w:b/>
          <w:bCs/>
          <w:color w:val="1F4E79" w:themeColor="accent5" w:themeShade="80"/>
        </w:rPr>
        <w:t>.1 Lesão por pressão</w:t>
      </w:r>
      <w:r w:rsidR="126EF97D" w:rsidRPr="00DE5669">
        <w:rPr>
          <w:rFonts w:cs="Arial"/>
          <w:b/>
          <w:bCs/>
          <w:color w:val="1F4E79" w:themeColor="accent5" w:themeShade="80"/>
        </w:rPr>
        <w:t xml:space="preserve"> - Estomaterapia</w:t>
      </w:r>
      <w:r w:rsidR="61B3F7D2" w:rsidRPr="00DE5669">
        <w:rPr>
          <w:rFonts w:cs="Arial"/>
          <w:b/>
          <w:bCs/>
          <w:color w:val="1F4E79" w:themeColor="accent5" w:themeShade="80"/>
        </w:rPr>
        <w:t>.</w:t>
      </w:r>
    </w:p>
    <w:p w14:paraId="3F08C533" w14:textId="77777777" w:rsidR="00B80375" w:rsidRDefault="00B80375" w:rsidP="0087350D">
      <w:pPr>
        <w:spacing w:after="0" w:line="360" w:lineRule="auto"/>
        <w:ind w:left="0"/>
        <w:rPr>
          <w:rFonts w:cs="Arial"/>
        </w:rPr>
      </w:pPr>
    </w:p>
    <w:p w14:paraId="705362BB" w14:textId="2C35C182" w:rsidR="0087350D" w:rsidRPr="0087350D" w:rsidRDefault="7FC2228F" w:rsidP="3AC3F90A">
      <w:r>
        <w:rPr>
          <w:noProof/>
        </w:rPr>
        <w:drawing>
          <wp:inline distT="0" distB="0" distL="0" distR="0" wp14:anchorId="4DADF7C6" wp14:editId="67F1C2FB">
            <wp:extent cx="5844463" cy="2520000"/>
            <wp:effectExtent l="0" t="0" r="4445" b="0"/>
            <wp:docPr id="1207312238" name="Imagem 1207312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312238" name="Picture 1207312238"/>
                    <pic:cNvPicPr/>
                  </pic:nvPicPr>
                  <pic:blipFill>
                    <a:blip r:embed="rId130">
                      <a:extLst>
                        <a:ext uri="{28A0092B-C50C-407E-A947-70E740481C1C}">
                          <a14:useLocalDpi xmlns:a14="http://schemas.microsoft.com/office/drawing/2010/main"/>
                        </a:ext>
                      </a:extLst>
                    </a:blip>
                    <a:stretch>
                      <a:fillRect/>
                    </a:stretch>
                  </pic:blipFill>
                  <pic:spPr>
                    <a:xfrm>
                      <a:off x="0" y="0"/>
                      <a:ext cx="5844463" cy="2520000"/>
                    </a:xfrm>
                    <a:prstGeom prst="rect">
                      <a:avLst/>
                    </a:prstGeom>
                  </pic:spPr>
                </pic:pic>
              </a:graphicData>
            </a:graphic>
          </wp:inline>
        </w:drawing>
      </w:r>
      <w:r w:rsidR="4D80AB3F" w:rsidRPr="207C9116">
        <w:rPr>
          <w:sz w:val="22"/>
          <w:szCs w:val="22"/>
        </w:rPr>
        <w:t>Gráfico 1: Taxa de LP/1000 pacientes/dia</w:t>
      </w:r>
      <w:r w:rsidR="6048EBA2" w:rsidRPr="207C9116">
        <w:rPr>
          <w:sz w:val="22"/>
          <w:szCs w:val="22"/>
        </w:rPr>
        <w:t xml:space="preserve"> - Hospital de Urgências de Goiás (HUGO).</w:t>
      </w:r>
      <w:r w:rsidR="51B288A5" w:rsidRPr="207C9116">
        <w:rPr>
          <w:sz w:val="22"/>
          <w:szCs w:val="22"/>
        </w:rPr>
        <w:t xml:space="preserve"> 2026.</w:t>
      </w:r>
    </w:p>
    <w:p w14:paraId="3F9873F2" w14:textId="139C3774" w:rsidR="0087350D" w:rsidRPr="0087350D" w:rsidRDefault="6E3AAE7A" w:rsidP="00740B5E">
      <w:pPr>
        <w:spacing w:line="360" w:lineRule="auto"/>
      </w:pPr>
      <w:r>
        <w:t xml:space="preserve">No mês de junho de 2026 foram identificadas 137 </w:t>
      </w:r>
      <w:r w:rsidR="1CD5A262">
        <w:t>L</w:t>
      </w:r>
      <w:r>
        <w:t xml:space="preserve">esões por </w:t>
      </w:r>
      <w:r w:rsidR="2B0B1F1B">
        <w:t>P</w:t>
      </w:r>
      <w:r>
        <w:t>ressão</w:t>
      </w:r>
      <w:r w:rsidR="75007A05">
        <w:t xml:space="preserve"> (LP)</w:t>
      </w:r>
      <w:r>
        <w:t xml:space="preserve"> desenvolvidas no Hospital de Urgências de Goiás (HUGO), representando </w:t>
      </w:r>
      <w:r w:rsidR="29C2AFB1">
        <w:t>uma taxa de 12</w:t>
      </w:r>
      <w:r w:rsidR="681385BA">
        <w:t xml:space="preserve"> lesões</w:t>
      </w:r>
      <w:r w:rsidR="0A7D542C">
        <w:t>/</w:t>
      </w:r>
      <w:r w:rsidR="29C2AFB1">
        <w:t>1.000 pacientes/dia</w:t>
      </w:r>
      <w:r w:rsidR="0163AA67">
        <w:t>, c</w:t>
      </w:r>
      <w:r w:rsidR="29C2AFB1">
        <w:t xml:space="preserve">onsiderando nosso dado de 11.383 </w:t>
      </w:r>
      <w:r w:rsidR="631C26C7">
        <w:t xml:space="preserve">pacientes/dia </w:t>
      </w:r>
      <w:r w:rsidR="631C26C7">
        <w:lastRenderedPageBreak/>
        <w:t xml:space="preserve">no período de 01/06 até 30/06. </w:t>
      </w:r>
      <w:r w:rsidR="095E38C2">
        <w:t>O Gráfico 1 evidencia o acompanhamento mês a mês da incidência de lesão por pressão</w:t>
      </w:r>
      <w:r w:rsidR="0A2687DB">
        <w:t>. Fazendo a análise crítica do gráfico</w:t>
      </w:r>
      <w:r w:rsidR="22CCC117">
        <w:t>,</w:t>
      </w:r>
      <w:r w:rsidR="0A2687DB">
        <w:t xml:space="preserve"> </w:t>
      </w:r>
      <w:r w:rsidR="3F3535AA">
        <w:t>há</w:t>
      </w:r>
      <w:r w:rsidR="095E38C2">
        <w:t xml:space="preserve"> uma subnotificação evidente nos meses em que não há auditoria </w:t>
      </w:r>
      <w:proofErr w:type="spellStart"/>
      <w:proofErr w:type="gramStart"/>
      <w:r w:rsidR="095E38C2">
        <w:t>Magnet</w:t>
      </w:r>
      <w:proofErr w:type="spellEnd"/>
      <w:r w:rsidR="095E38C2">
        <w:t>(</w:t>
      </w:r>
      <w:proofErr w:type="gramEnd"/>
      <w:r w:rsidR="095E38C2">
        <w:t>auditoria de dados de preval</w:t>
      </w:r>
      <w:r w:rsidR="3FE23735">
        <w:t>ência)</w:t>
      </w:r>
      <w:r w:rsidR="14919B9A">
        <w:t>, já que os dados são dependentes das notificações realizadas pelas áreas assistenciais.</w:t>
      </w:r>
    </w:p>
    <w:p w14:paraId="5541B7A6" w14:textId="54B97E5A" w:rsidR="0087350D" w:rsidRPr="0087350D" w:rsidRDefault="322A1EC0" w:rsidP="207C9116">
      <w:r>
        <w:rPr>
          <w:noProof/>
        </w:rPr>
        <w:drawing>
          <wp:inline distT="0" distB="0" distL="0" distR="0" wp14:anchorId="27C2A82D" wp14:editId="52380FD3">
            <wp:extent cx="5729384" cy="3240000"/>
            <wp:effectExtent l="0" t="0" r="5080" b="0"/>
            <wp:docPr id="453451937" name="Imagem 453451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451937" name="Picture 453451937"/>
                    <pic:cNvPicPr/>
                  </pic:nvPicPr>
                  <pic:blipFill>
                    <a:blip r:embed="rId131">
                      <a:extLst>
                        <a:ext uri="{28A0092B-C50C-407E-A947-70E740481C1C}">
                          <a14:useLocalDpi xmlns:a14="http://schemas.microsoft.com/office/drawing/2010/main"/>
                        </a:ext>
                      </a:extLst>
                    </a:blip>
                    <a:stretch>
                      <a:fillRect/>
                    </a:stretch>
                  </pic:blipFill>
                  <pic:spPr>
                    <a:xfrm>
                      <a:off x="0" y="0"/>
                      <a:ext cx="5729384" cy="3240000"/>
                    </a:xfrm>
                    <a:prstGeom prst="rect">
                      <a:avLst/>
                    </a:prstGeom>
                  </pic:spPr>
                </pic:pic>
              </a:graphicData>
            </a:graphic>
          </wp:inline>
        </w:drawing>
      </w:r>
      <w:r w:rsidR="54062A57" w:rsidRPr="207C9116">
        <w:rPr>
          <w:sz w:val="22"/>
          <w:szCs w:val="22"/>
        </w:rPr>
        <w:t>Gráfico 2.</w:t>
      </w:r>
      <w:r w:rsidR="54062A57">
        <w:t xml:space="preserve"> </w:t>
      </w:r>
      <w:r w:rsidR="54062A57" w:rsidRPr="207C9116">
        <w:rPr>
          <w:sz w:val="22"/>
          <w:szCs w:val="22"/>
        </w:rPr>
        <w:t>Evolução histórica do número de lesões por pressão nas auditorias Magnet. Hospital de Urgências de Goiás (HUGO). 2026.</w:t>
      </w:r>
    </w:p>
    <w:p w14:paraId="2F216FF9" w14:textId="7D5EACDC" w:rsidR="0087350D" w:rsidRPr="0087350D" w:rsidRDefault="19677F2F" w:rsidP="00740B5E">
      <w:pPr>
        <w:spacing w:line="360" w:lineRule="auto"/>
      </w:pPr>
      <w:r w:rsidRPr="207C9116">
        <w:t xml:space="preserve">No gráfico 2, há </w:t>
      </w:r>
      <w:r w:rsidR="16B4CAB1" w:rsidRPr="207C9116">
        <w:t>um</w:t>
      </w:r>
      <w:r w:rsidRPr="207C9116">
        <w:t xml:space="preserve">a evolução histórica do número de </w:t>
      </w:r>
      <w:r w:rsidR="366471C6">
        <w:t>LP</w:t>
      </w:r>
      <w:r w:rsidRPr="207C9116">
        <w:t xml:space="preserve"> nas auditorias </w:t>
      </w:r>
      <w:proofErr w:type="spellStart"/>
      <w:r w:rsidRPr="5E5FD114">
        <w:rPr>
          <w:i/>
        </w:rPr>
        <w:t>Magnet</w:t>
      </w:r>
      <w:proofErr w:type="spellEnd"/>
      <w:r w:rsidRPr="207C9116">
        <w:t xml:space="preserve">, </w:t>
      </w:r>
      <w:r w:rsidR="2C588B55" w:rsidRPr="207C9116">
        <w:t>onde se realiza</w:t>
      </w:r>
      <w:r w:rsidRPr="207C9116">
        <w:t xml:space="preserve"> um levantamento de todas as </w:t>
      </w:r>
      <w:r w:rsidR="4706CAB0">
        <w:t>LP</w:t>
      </w:r>
      <w:r w:rsidRPr="207C9116">
        <w:t xml:space="preserve"> em toda a </w:t>
      </w:r>
      <w:r w:rsidR="55CD4055" w:rsidRPr="207C9116">
        <w:t>população</w:t>
      </w:r>
      <w:r w:rsidRPr="207C9116">
        <w:t xml:space="preserve"> de indivíduos em atendimento no hospital, nas unidades de emergência, clínicas médico-cirúrgicas, </w:t>
      </w:r>
      <w:r w:rsidR="2ECDDED2" w:rsidRPr="207C9116">
        <w:t>unidades de terapia intensiva e centro cirúrgico</w:t>
      </w:r>
      <w:r w:rsidR="5D6E4658">
        <w:t xml:space="preserve">, através da </w:t>
      </w:r>
      <w:r w:rsidR="7F059284">
        <w:t xml:space="preserve">avaliação </w:t>
      </w:r>
      <w:proofErr w:type="spellStart"/>
      <w:r w:rsidR="7F059284">
        <w:t>céfalo</w:t>
      </w:r>
      <w:proofErr w:type="spellEnd"/>
      <w:r w:rsidR="7F059284">
        <w:t xml:space="preserve">-caudal dos pacientes e </w:t>
      </w:r>
      <w:r w:rsidR="5D6E4658">
        <w:t xml:space="preserve">aplicação de um questionário padronizado pela </w:t>
      </w:r>
      <w:proofErr w:type="spellStart"/>
      <w:r w:rsidR="3A0936D8" w:rsidRPr="23313868">
        <w:rPr>
          <w:i/>
        </w:rPr>
        <w:t>National</w:t>
      </w:r>
      <w:proofErr w:type="spellEnd"/>
      <w:r w:rsidR="3A0936D8" w:rsidRPr="23313868">
        <w:rPr>
          <w:i/>
        </w:rPr>
        <w:t xml:space="preserve"> </w:t>
      </w:r>
      <w:proofErr w:type="spellStart"/>
      <w:r w:rsidR="3A0936D8" w:rsidRPr="23313868">
        <w:rPr>
          <w:i/>
        </w:rPr>
        <w:t>Database</w:t>
      </w:r>
      <w:proofErr w:type="spellEnd"/>
      <w:r w:rsidR="5D6E4658" w:rsidRPr="23313868">
        <w:rPr>
          <w:i/>
        </w:rPr>
        <w:t xml:space="preserve"> </w:t>
      </w:r>
      <w:proofErr w:type="spellStart"/>
      <w:r w:rsidR="3A0936D8" w:rsidRPr="23313868">
        <w:rPr>
          <w:i/>
        </w:rPr>
        <w:t>of</w:t>
      </w:r>
      <w:proofErr w:type="spellEnd"/>
      <w:r w:rsidR="3A0936D8" w:rsidRPr="23313868">
        <w:rPr>
          <w:i/>
        </w:rPr>
        <w:t xml:space="preserve"> </w:t>
      </w:r>
      <w:proofErr w:type="spellStart"/>
      <w:r w:rsidR="3A0936D8" w:rsidRPr="23313868">
        <w:rPr>
          <w:i/>
        </w:rPr>
        <w:t>Nursing</w:t>
      </w:r>
      <w:proofErr w:type="spellEnd"/>
      <w:r w:rsidR="3A0936D8" w:rsidRPr="23313868">
        <w:rPr>
          <w:i/>
        </w:rPr>
        <w:t xml:space="preserve"> </w:t>
      </w:r>
      <w:proofErr w:type="spellStart"/>
      <w:r w:rsidR="3A0936D8" w:rsidRPr="23313868">
        <w:rPr>
          <w:i/>
          <w:iCs/>
        </w:rPr>
        <w:t>Quality</w:t>
      </w:r>
      <w:proofErr w:type="spellEnd"/>
      <w:r w:rsidR="3A0936D8" w:rsidRPr="23313868">
        <w:rPr>
          <w:i/>
          <w:iCs/>
        </w:rPr>
        <w:t xml:space="preserve"> </w:t>
      </w:r>
      <w:proofErr w:type="spellStart"/>
      <w:r w:rsidR="3A0936D8" w:rsidRPr="23313868">
        <w:rPr>
          <w:i/>
          <w:iCs/>
        </w:rPr>
        <w:t>Indicators</w:t>
      </w:r>
      <w:proofErr w:type="spellEnd"/>
      <w:r w:rsidR="5D6E4658">
        <w:t xml:space="preserve"> </w:t>
      </w:r>
      <w:r w:rsidR="141C0814">
        <w:t>(NDNQI)</w:t>
      </w:r>
      <w:r w:rsidR="2ECDDED2">
        <w:t>.</w:t>
      </w:r>
      <w:r w:rsidR="2ECDDED2" w:rsidRPr="207C9116">
        <w:t xml:space="preserve"> </w:t>
      </w:r>
      <w:r w:rsidR="4D3739EA" w:rsidRPr="207C9116">
        <w:t xml:space="preserve">No mês de junho de 2026 observamos uma redução de cerca de </w:t>
      </w:r>
      <w:r w:rsidR="12C8A0F2" w:rsidRPr="207C9116">
        <w:t>4</w:t>
      </w:r>
      <w:r w:rsidR="4D3739EA" w:rsidRPr="207C9116">
        <w:t xml:space="preserve">0% </w:t>
      </w:r>
      <w:r w:rsidR="23B3C047" w:rsidRPr="7AEF6A6A">
        <w:t xml:space="preserve">no total de </w:t>
      </w:r>
      <w:r w:rsidR="4BEC323F">
        <w:t>LP</w:t>
      </w:r>
      <w:r w:rsidR="23B3C047" w:rsidRPr="7AEF6A6A">
        <w:t xml:space="preserve"> </w:t>
      </w:r>
      <w:r w:rsidR="4D3739EA" w:rsidRPr="207C9116">
        <w:t xml:space="preserve">desde a auditoria do 1º trimestre, realizada em fevereiro de 2026, associado à uma redução de </w:t>
      </w:r>
      <w:r w:rsidR="61787720" w:rsidRPr="207C9116">
        <w:t>64</w:t>
      </w:r>
      <w:r w:rsidR="4D3739EA" w:rsidRPr="207C9116">
        <w:t>% nas lesões</w:t>
      </w:r>
      <w:r w:rsidR="4D3739EA" w:rsidRPr="207C9116">
        <w:rPr>
          <w:i/>
          <w:iCs/>
        </w:rPr>
        <w:t xml:space="preserve"> </w:t>
      </w:r>
      <w:proofErr w:type="spellStart"/>
      <w:r w:rsidR="4D3739EA" w:rsidRPr="207C9116">
        <w:rPr>
          <w:i/>
          <w:iCs/>
        </w:rPr>
        <w:t>never</w:t>
      </w:r>
      <w:proofErr w:type="spellEnd"/>
      <w:r w:rsidR="4D3739EA" w:rsidRPr="207C9116">
        <w:rPr>
          <w:i/>
          <w:iCs/>
        </w:rPr>
        <w:t xml:space="preserve"> </w:t>
      </w:r>
      <w:proofErr w:type="spellStart"/>
      <w:r w:rsidR="4D3739EA" w:rsidRPr="207C9116">
        <w:rPr>
          <w:i/>
          <w:iCs/>
        </w:rPr>
        <w:t>events</w:t>
      </w:r>
      <w:proofErr w:type="spellEnd"/>
      <w:r w:rsidR="5196A16F" w:rsidRPr="207C9116">
        <w:t xml:space="preserve"> (</w:t>
      </w:r>
      <w:r w:rsidR="3CA4744B">
        <w:t>LP</w:t>
      </w:r>
      <w:r w:rsidR="5196A16F" w:rsidRPr="207C9116">
        <w:t xml:space="preserve"> estágio 3, estágio 4 e não classificáveis)</w:t>
      </w:r>
      <w:r w:rsidR="2CB7E78C" w:rsidRPr="207C9116">
        <w:t xml:space="preserve">, resultado que demonstra </w:t>
      </w:r>
      <w:r w:rsidR="2CB7E78C" w:rsidRPr="6E4853E0">
        <w:t xml:space="preserve">melhoria </w:t>
      </w:r>
      <w:r w:rsidR="2CB7E78C" w:rsidRPr="6E4853E0">
        <w:lastRenderedPageBreak/>
        <w:t xml:space="preserve">expressiva nos indicadores assistenciais </w:t>
      </w:r>
      <w:r w:rsidR="09A382F5">
        <w:t>sensíveis</w:t>
      </w:r>
      <w:r w:rsidR="2CB7E78C" w:rsidRPr="6E4853E0">
        <w:t xml:space="preserve"> à </w:t>
      </w:r>
      <w:r w:rsidR="75BBCC05">
        <w:t xml:space="preserve">avaliação da </w:t>
      </w:r>
      <w:r w:rsidR="2CB7E78C" w:rsidRPr="6E4853E0">
        <w:t xml:space="preserve">qualidade da assistência de </w:t>
      </w:r>
      <w:r w:rsidR="2CB7E78C" w:rsidRPr="7AEF6A6A">
        <w:t>enfermagem.</w:t>
      </w:r>
    </w:p>
    <w:p w14:paraId="722DABE3" w14:textId="4D547C78" w:rsidR="0087350D" w:rsidRPr="0087350D" w:rsidRDefault="59E00E8A" w:rsidP="00740B5E">
      <w:pPr>
        <w:spacing w:line="360" w:lineRule="auto"/>
      </w:pPr>
      <w:r>
        <w:t xml:space="preserve">Esta redução </w:t>
      </w:r>
      <w:r w:rsidR="278AFD00">
        <w:t>pode estar</w:t>
      </w:r>
      <w:r>
        <w:t xml:space="preserve"> relacionada com as ações de prevenção de </w:t>
      </w:r>
      <w:r w:rsidR="3869B3C5">
        <w:t>LP</w:t>
      </w:r>
      <w:r>
        <w:t xml:space="preserve"> realizadas pelo time de Estomaterapia, como treinamentos interativos </w:t>
      </w:r>
      <w:proofErr w:type="spellStart"/>
      <w:r w:rsidRPr="207C9116">
        <w:rPr>
          <w:i/>
          <w:iCs/>
        </w:rPr>
        <w:t>in-loco</w:t>
      </w:r>
      <w:proofErr w:type="spellEnd"/>
      <w:r>
        <w:t xml:space="preserve">, </w:t>
      </w:r>
      <w:r w:rsidR="229ACD1A">
        <w:t>como forma de facilitar o processo de ensino-aprendizagem, além de estimular um construtivismo, baseando-se em conheci</w:t>
      </w:r>
      <w:r w:rsidR="309B1DCF">
        <w:t xml:space="preserve">mentos que já foram adquiridos </w:t>
      </w:r>
      <w:r w:rsidR="11CBBBC0">
        <w:t xml:space="preserve">previamente </w:t>
      </w:r>
      <w:r w:rsidR="309B1DCF">
        <w:t>pelos profissionais</w:t>
      </w:r>
      <w:r w:rsidR="4476C508">
        <w:t xml:space="preserve"> e, a partir destes conhecimentos</w:t>
      </w:r>
      <w:r w:rsidR="40E30894">
        <w:t>, estimular aprofundamento dos temas relacionados à prevenção</w:t>
      </w:r>
      <w:r w:rsidR="4B3D7263">
        <w:t xml:space="preserve"> deste tipo de lesão</w:t>
      </w:r>
      <w:r w:rsidR="40E30894">
        <w:t>. Os treinamento</w:t>
      </w:r>
      <w:r w:rsidR="7A92234E">
        <w:t xml:space="preserve">s estiveram relacionados principalmente a: mudança de decúbito, fatores que causam as </w:t>
      </w:r>
      <w:r w:rsidR="3902BFE2">
        <w:t>LP</w:t>
      </w:r>
      <w:r w:rsidR="7A92234E">
        <w:t xml:space="preserve"> (pressão, fricção e cisalhamento), </w:t>
      </w:r>
      <w:r w:rsidR="19828843">
        <w:t>hidratação da pele, uso de superfícies de redistribuição de pressão, uso das espumas multicamadas, entre outros.</w:t>
      </w:r>
    </w:p>
    <w:p w14:paraId="4B9D6ACF" w14:textId="00C241BE" w:rsidR="0087350D" w:rsidRPr="0087350D" w:rsidRDefault="564A138E" w:rsidP="00740B5E">
      <w:pPr>
        <w:spacing w:line="360" w:lineRule="auto"/>
      </w:pPr>
      <w:r>
        <w:t xml:space="preserve">Além das ações de prevenção, houve uma otimização das ações de </w:t>
      </w:r>
      <w:proofErr w:type="spellStart"/>
      <w:r w:rsidR="4A8BABD3" w:rsidRPr="79813AF8">
        <w:rPr>
          <w:i/>
          <w:iCs/>
        </w:rPr>
        <w:t>debriefing</w:t>
      </w:r>
      <w:proofErr w:type="spellEnd"/>
      <w:r w:rsidR="4A8BABD3">
        <w:t xml:space="preserve"> com as equipes assistenciais, fortalecendo a cultura de pertencimento e facilitando o entendimento pelas unidades assistenciais de que os indicadores apresentados são resultados da própria assist</w:t>
      </w:r>
      <w:r w:rsidR="7C6BC3CF">
        <w:t>ência de enfermagem que foi prestada no mês apresentado.</w:t>
      </w:r>
    </w:p>
    <w:p w14:paraId="6A738E44" w14:textId="71AACB64" w:rsidR="0087350D" w:rsidRPr="0087350D" w:rsidRDefault="60A9AB2C" w:rsidP="00740B5E">
      <w:pPr>
        <w:spacing w:line="360" w:lineRule="auto"/>
      </w:pPr>
      <w:r>
        <w:t xml:space="preserve">Além disso, há um fortalecimento da cultura de qualidade e segurança do paciente, principalmente </w:t>
      </w:r>
      <w:r w:rsidR="500FE5CC">
        <w:t xml:space="preserve">por parte </w:t>
      </w:r>
      <w:r>
        <w:t>das lideranças (sêniores e coordenadores), que são os garantidores das ações que são executadas na linha de frente assistencial, utilizando o time de Estomaterapia como apoio t</w:t>
      </w:r>
      <w:r w:rsidR="026F38DF">
        <w:t>écnico-científico das equipes assistenciais e equipes médicas.</w:t>
      </w:r>
    </w:p>
    <w:p w14:paraId="5F14F471" w14:textId="24A59D84" w:rsidR="0087350D" w:rsidRPr="0087350D" w:rsidRDefault="19828843" w:rsidP="00740B5E">
      <w:pPr>
        <w:spacing w:line="360" w:lineRule="auto"/>
        <w:rPr>
          <w:i/>
          <w:iCs/>
        </w:rPr>
      </w:pPr>
      <w:r>
        <w:t xml:space="preserve">Contamos ainda com a participação da indústria </w:t>
      </w:r>
      <w:proofErr w:type="spellStart"/>
      <w:r w:rsidRPr="207C9116">
        <w:rPr>
          <w:i/>
          <w:iCs/>
        </w:rPr>
        <w:t>M</w:t>
      </w:r>
      <w:r w:rsidR="00181A4C" w:rsidRPr="207C9116">
        <w:rPr>
          <w:i/>
          <w:iCs/>
        </w:rPr>
        <w:t>ö</w:t>
      </w:r>
      <w:r w:rsidRPr="207C9116">
        <w:rPr>
          <w:i/>
          <w:iCs/>
        </w:rPr>
        <w:t>lnlycke</w:t>
      </w:r>
      <w:proofErr w:type="spellEnd"/>
      <w:r>
        <w:t xml:space="preserve">, fornecedora das espumas de poliuretano com silicone de multicamadas, </w:t>
      </w:r>
      <w:r w:rsidR="57A45D2E">
        <w:t xml:space="preserve">que </w:t>
      </w:r>
      <w:r>
        <w:t>através do time educativo</w:t>
      </w:r>
      <w:r w:rsidR="4297583E">
        <w:t xml:space="preserve"> </w:t>
      </w:r>
      <w:r w:rsidR="675F54CC">
        <w:t xml:space="preserve">realizou um treinamento para o uso consciente e efetivo das espumas </w:t>
      </w:r>
      <w:proofErr w:type="spellStart"/>
      <w:r w:rsidR="675F54CC" w:rsidRPr="207C9116">
        <w:rPr>
          <w:i/>
          <w:iCs/>
        </w:rPr>
        <w:t>Mepilex</w:t>
      </w:r>
      <w:proofErr w:type="spellEnd"/>
      <w:r w:rsidR="675F54CC" w:rsidRPr="207C9116">
        <w:rPr>
          <w:i/>
          <w:iCs/>
        </w:rPr>
        <w:t xml:space="preserve"> Border Flex</w:t>
      </w:r>
      <w:r w:rsidR="675F54CC">
        <w:t xml:space="preserve"> e </w:t>
      </w:r>
      <w:proofErr w:type="spellStart"/>
      <w:r w:rsidR="675F54CC" w:rsidRPr="207C9116">
        <w:rPr>
          <w:i/>
          <w:iCs/>
        </w:rPr>
        <w:t>Mepilex</w:t>
      </w:r>
      <w:proofErr w:type="spellEnd"/>
      <w:r w:rsidR="675F54CC" w:rsidRPr="207C9116">
        <w:rPr>
          <w:i/>
          <w:iCs/>
        </w:rPr>
        <w:t xml:space="preserve"> Border </w:t>
      </w:r>
      <w:proofErr w:type="spellStart"/>
      <w:r w:rsidR="675F54CC" w:rsidRPr="207C9116">
        <w:rPr>
          <w:i/>
          <w:iCs/>
        </w:rPr>
        <w:t>Sacrum</w:t>
      </w:r>
      <w:proofErr w:type="spellEnd"/>
      <w:r w:rsidR="2AA29359" w:rsidRPr="207C9116">
        <w:rPr>
          <w:i/>
          <w:iCs/>
        </w:rPr>
        <w:t xml:space="preserve">, </w:t>
      </w:r>
      <w:r w:rsidR="2AA29359" w:rsidRPr="207C9116">
        <w:t>padronizadas em nossa instituição.</w:t>
      </w:r>
    </w:p>
    <w:p w14:paraId="4165CA84" w14:textId="12413EB4" w:rsidR="0087350D" w:rsidRPr="0087350D" w:rsidRDefault="322A1EC0" w:rsidP="207C9116">
      <w:r>
        <w:rPr>
          <w:noProof/>
        </w:rPr>
        <w:lastRenderedPageBreak/>
        <w:drawing>
          <wp:inline distT="0" distB="0" distL="0" distR="0" wp14:anchorId="15047847" wp14:editId="0033C1EF">
            <wp:extent cx="5443010" cy="3060000"/>
            <wp:effectExtent l="0" t="0" r="5715" b="7620"/>
            <wp:docPr id="1488930649" name="Imagem 1488930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930649" name="Picture 1488930649"/>
                    <pic:cNvPicPr/>
                  </pic:nvPicPr>
                  <pic:blipFill>
                    <a:blip r:embed="rId132">
                      <a:extLst>
                        <a:ext uri="{28A0092B-C50C-407E-A947-70E740481C1C}">
                          <a14:useLocalDpi xmlns:a14="http://schemas.microsoft.com/office/drawing/2010/main"/>
                        </a:ext>
                      </a:extLst>
                    </a:blip>
                    <a:stretch>
                      <a:fillRect/>
                    </a:stretch>
                  </pic:blipFill>
                  <pic:spPr>
                    <a:xfrm>
                      <a:off x="0" y="0"/>
                      <a:ext cx="5443010" cy="3060000"/>
                    </a:xfrm>
                    <a:prstGeom prst="rect">
                      <a:avLst/>
                    </a:prstGeom>
                  </pic:spPr>
                </pic:pic>
              </a:graphicData>
            </a:graphic>
          </wp:inline>
        </w:drawing>
      </w:r>
      <w:r w:rsidR="127AA5BC" w:rsidRPr="207C9116">
        <w:rPr>
          <w:sz w:val="22"/>
          <w:szCs w:val="22"/>
        </w:rPr>
        <w:t xml:space="preserve">Imagem 1. Auditoria </w:t>
      </w:r>
      <w:proofErr w:type="spellStart"/>
      <w:r w:rsidR="127AA5BC" w:rsidRPr="207C9116">
        <w:rPr>
          <w:sz w:val="22"/>
          <w:szCs w:val="22"/>
        </w:rPr>
        <w:t>Magnet</w:t>
      </w:r>
      <w:proofErr w:type="spellEnd"/>
      <w:r w:rsidR="127AA5BC" w:rsidRPr="207C9116">
        <w:rPr>
          <w:sz w:val="22"/>
          <w:szCs w:val="22"/>
        </w:rPr>
        <w:t xml:space="preserve"> - 2º Trimestre de 2026. Hospital de Urgências de Goiás (HUGO). 2026.</w:t>
      </w:r>
    </w:p>
    <w:p w14:paraId="4BA3B703" w14:textId="432B7D7D" w:rsidR="0087350D" w:rsidRPr="0087350D" w:rsidRDefault="322A1EC0" w:rsidP="207C9116">
      <w:r>
        <w:rPr>
          <w:noProof/>
        </w:rPr>
        <w:drawing>
          <wp:inline distT="0" distB="0" distL="0" distR="0" wp14:anchorId="47168F35" wp14:editId="747DC16D">
            <wp:extent cx="1821492" cy="3240000"/>
            <wp:effectExtent l="0" t="0" r="7620" b="0"/>
            <wp:docPr id="445041216" name="Imagem 44504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041216" name="Picture 445041216"/>
                    <pic:cNvPicPr/>
                  </pic:nvPicPr>
                  <pic:blipFill>
                    <a:blip r:embed="rId133">
                      <a:extLst>
                        <a:ext uri="{28A0092B-C50C-407E-A947-70E740481C1C}">
                          <a14:useLocalDpi xmlns:a14="http://schemas.microsoft.com/office/drawing/2010/main"/>
                        </a:ext>
                      </a:extLst>
                    </a:blip>
                    <a:stretch>
                      <a:fillRect/>
                    </a:stretch>
                  </pic:blipFill>
                  <pic:spPr>
                    <a:xfrm>
                      <a:off x="0" y="0"/>
                      <a:ext cx="1821492" cy="3240000"/>
                    </a:xfrm>
                    <a:prstGeom prst="rect">
                      <a:avLst/>
                    </a:prstGeom>
                  </pic:spPr>
                </pic:pic>
              </a:graphicData>
            </a:graphic>
          </wp:inline>
        </w:drawing>
      </w:r>
      <w:r w:rsidR="58FD6EE4">
        <w:t xml:space="preserve">                        </w:t>
      </w:r>
      <w:r>
        <w:rPr>
          <w:noProof/>
        </w:rPr>
        <w:drawing>
          <wp:inline distT="0" distB="0" distL="0" distR="0" wp14:anchorId="351B8EFB" wp14:editId="0973C696">
            <wp:extent cx="1821493" cy="3240000"/>
            <wp:effectExtent l="0" t="0" r="7620" b="0"/>
            <wp:docPr id="1896006832" name="Imagem 1896006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006832" name="Picture 1896006832"/>
                    <pic:cNvPicPr/>
                  </pic:nvPicPr>
                  <pic:blipFill>
                    <a:blip r:embed="rId134">
                      <a:extLst>
                        <a:ext uri="{28A0092B-C50C-407E-A947-70E740481C1C}">
                          <a14:useLocalDpi xmlns:a14="http://schemas.microsoft.com/office/drawing/2010/main"/>
                        </a:ext>
                      </a:extLst>
                    </a:blip>
                    <a:stretch>
                      <a:fillRect/>
                    </a:stretch>
                  </pic:blipFill>
                  <pic:spPr>
                    <a:xfrm>
                      <a:off x="0" y="0"/>
                      <a:ext cx="1821493" cy="3240000"/>
                    </a:xfrm>
                    <a:prstGeom prst="rect">
                      <a:avLst/>
                    </a:prstGeom>
                  </pic:spPr>
                </pic:pic>
              </a:graphicData>
            </a:graphic>
          </wp:inline>
        </w:drawing>
      </w:r>
    </w:p>
    <w:p w14:paraId="5646C03F" w14:textId="6C689218" w:rsidR="0A0F12F2" w:rsidRDefault="0A0F12F2" w:rsidP="207C9116">
      <w:r w:rsidRPr="207C9116">
        <w:rPr>
          <w:sz w:val="22"/>
          <w:szCs w:val="22"/>
        </w:rPr>
        <w:t>Image</w:t>
      </w:r>
      <w:r w:rsidR="744E6B68" w:rsidRPr="207C9116">
        <w:rPr>
          <w:sz w:val="22"/>
          <w:szCs w:val="22"/>
        </w:rPr>
        <w:t>ns</w:t>
      </w:r>
      <w:r w:rsidRPr="207C9116">
        <w:rPr>
          <w:sz w:val="22"/>
          <w:szCs w:val="22"/>
        </w:rPr>
        <w:t xml:space="preserve"> 2 e 3: Posicionadores de calcâneo em gel. Hospital de Urgências de Goiás (HUGO). 2026.</w:t>
      </w:r>
    </w:p>
    <w:p w14:paraId="064ECD3B" w14:textId="60A8AFC8" w:rsidR="1B12928B" w:rsidRDefault="1B12928B" w:rsidP="009551A0">
      <w:pPr>
        <w:spacing w:line="360" w:lineRule="auto"/>
      </w:pPr>
      <w:r w:rsidRPr="207C9116">
        <w:lastRenderedPageBreak/>
        <w:t>Durante o mês de junho de 2026 também foram implementados os posicionadores de calcâneo em gel, fundamentais para a prevenção de lesões por pressão nas áreas de calcâneos</w:t>
      </w:r>
      <w:r w:rsidR="4E116E3E" w:rsidRPr="207C9116">
        <w:t xml:space="preserve">, lesões estas que são 100% evitáveis, somente através da elevação dos calcâneos e posicionamento adequado, agora com o auxílio de 20 pares de posicionadores em gel que foram incluídos como parte dos itens permanentes da UTI 2. </w:t>
      </w:r>
    </w:p>
    <w:p w14:paraId="0E04BA44" w14:textId="5F4EF6E6" w:rsidR="4681CFB2" w:rsidRDefault="4681CFB2">
      <w:r>
        <w:rPr>
          <w:noProof/>
        </w:rPr>
        <w:drawing>
          <wp:inline distT="0" distB="0" distL="0" distR="0" wp14:anchorId="10E14FF5" wp14:editId="5A1FF737">
            <wp:extent cx="2811597" cy="3734345"/>
            <wp:effectExtent l="0" t="0" r="0" b="0"/>
            <wp:docPr id="811780904" name="Imagem 811780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780904" name="Picture 811780904"/>
                    <pic:cNvPicPr/>
                  </pic:nvPicPr>
                  <pic:blipFill>
                    <a:blip r:embed="rId135">
                      <a:extLst>
                        <a:ext uri="{28A0092B-C50C-407E-A947-70E740481C1C}">
                          <a14:useLocalDpi xmlns:a14="http://schemas.microsoft.com/office/drawing/2010/main"/>
                        </a:ext>
                      </a:extLst>
                    </a:blip>
                    <a:stretch>
                      <a:fillRect/>
                    </a:stretch>
                  </pic:blipFill>
                  <pic:spPr>
                    <a:xfrm>
                      <a:off x="0" y="0"/>
                      <a:ext cx="2811597" cy="3734345"/>
                    </a:xfrm>
                    <a:prstGeom prst="rect">
                      <a:avLst/>
                    </a:prstGeom>
                  </pic:spPr>
                </pic:pic>
              </a:graphicData>
            </a:graphic>
          </wp:inline>
        </w:drawing>
      </w:r>
      <w:r w:rsidR="74BA301B">
        <w:t xml:space="preserve">  </w:t>
      </w:r>
      <w:r>
        <w:rPr>
          <w:noProof/>
        </w:rPr>
        <w:drawing>
          <wp:inline distT="0" distB="0" distL="0" distR="0" wp14:anchorId="410D8D13" wp14:editId="6C985B45">
            <wp:extent cx="2828925" cy="3757361"/>
            <wp:effectExtent l="0" t="0" r="0" b="0"/>
            <wp:docPr id="1262283523" name="Imagem 1262283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283523" name="Picture 1262283523"/>
                    <pic:cNvPicPr/>
                  </pic:nvPicPr>
                  <pic:blipFill>
                    <a:blip r:embed="rId136">
                      <a:extLst>
                        <a:ext uri="{28A0092B-C50C-407E-A947-70E740481C1C}">
                          <a14:useLocalDpi xmlns:a14="http://schemas.microsoft.com/office/drawing/2010/main"/>
                        </a:ext>
                      </a:extLst>
                    </a:blip>
                    <a:stretch>
                      <a:fillRect/>
                    </a:stretch>
                  </pic:blipFill>
                  <pic:spPr>
                    <a:xfrm>
                      <a:off x="0" y="0"/>
                      <a:ext cx="2828925" cy="3757361"/>
                    </a:xfrm>
                    <a:prstGeom prst="rect">
                      <a:avLst/>
                    </a:prstGeom>
                  </pic:spPr>
                </pic:pic>
              </a:graphicData>
            </a:graphic>
          </wp:inline>
        </w:drawing>
      </w:r>
      <w:r w:rsidR="28B9C10E" w:rsidRPr="207C9116">
        <w:rPr>
          <w:sz w:val="22"/>
          <w:szCs w:val="22"/>
        </w:rPr>
        <w:t xml:space="preserve">Imagens </w:t>
      </w:r>
      <w:r w:rsidR="1BEEA943" w:rsidRPr="207C9116">
        <w:rPr>
          <w:sz w:val="22"/>
          <w:szCs w:val="22"/>
        </w:rPr>
        <w:t xml:space="preserve">4 e 5. Treinamentos </w:t>
      </w:r>
      <w:proofErr w:type="spellStart"/>
      <w:r w:rsidR="1BEEA943" w:rsidRPr="207C9116">
        <w:rPr>
          <w:i/>
          <w:iCs/>
          <w:sz w:val="22"/>
          <w:szCs w:val="22"/>
        </w:rPr>
        <w:t>in-loco</w:t>
      </w:r>
      <w:proofErr w:type="spellEnd"/>
      <w:r w:rsidR="1BEEA943" w:rsidRPr="207C9116">
        <w:rPr>
          <w:sz w:val="22"/>
          <w:szCs w:val="22"/>
        </w:rPr>
        <w:t xml:space="preserve"> realizados pelo time de Estomaterapia em parceria com a indústria </w:t>
      </w:r>
      <w:proofErr w:type="spellStart"/>
      <w:r w:rsidR="1BEEA943" w:rsidRPr="74AEB3D2">
        <w:rPr>
          <w:i/>
          <w:sz w:val="22"/>
          <w:szCs w:val="22"/>
        </w:rPr>
        <w:t>Mölnlycke</w:t>
      </w:r>
      <w:proofErr w:type="spellEnd"/>
      <w:r w:rsidR="1BEEA943" w:rsidRPr="207C9116">
        <w:rPr>
          <w:sz w:val="22"/>
          <w:szCs w:val="22"/>
        </w:rPr>
        <w:t>. Hospital de Urgências de Goiás (HUGO). 2026.</w:t>
      </w:r>
    </w:p>
    <w:p w14:paraId="7A1396A6" w14:textId="77777777" w:rsidR="009415C3" w:rsidRDefault="009415C3">
      <w:pPr>
        <w:pStyle w:val="Ttulo1"/>
        <w:ind w:left="-5"/>
      </w:pPr>
    </w:p>
    <w:p w14:paraId="506111A0" w14:textId="77777777" w:rsidR="009415C3" w:rsidRDefault="009415C3">
      <w:pPr>
        <w:pStyle w:val="Ttulo1"/>
        <w:ind w:left="-5"/>
      </w:pPr>
    </w:p>
    <w:p w14:paraId="7689077D" w14:textId="77777777" w:rsidR="000002D2" w:rsidRDefault="000002D2">
      <w:pPr>
        <w:pStyle w:val="Ttulo1"/>
        <w:ind w:left="-5"/>
      </w:pPr>
      <w:r>
        <w:br w:type="page"/>
      </w:r>
    </w:p>
    <w:p w14:paraId="236E243D" w14:textId="42A35BF8" w:rsidR="00A4224E" w:rsidRPr="00DE5669" w:rsidRDefault="003133E9">
      <w:pPr>
        <w:pStyle w:val="Ttulo1"/>
        <w:ind w:left="-5"/>
      </w:pPr>
      <w:bookmarkStart w:id="144" w:name="_Toc234260386"/>
      <w:r>
        <w:lastRenderedPageBreak/>
        <w:t>1</w:t>
      </w:r>
      <w:r w:rsidR="00BD3413">
        <w:t>2</w:t>
      </w:r>
      <w:r w:rsidR="5753C7CD">
        <w:t>. Ensino Corporativo</w:t>
      </w:r>
      <w:bookmarkEnd w:id="144"/>
      <w:r w:rsidR="5753C7CD">
        <w:t xml:space="preserve"> </w:t>
      </w:r>
    </w:p>
    <w:p w14:paraId="1A8E88FF" w14:textId="395EF696" w:rsidR="00B3435B" w:rsidRPr="003133E9" w:rsidRDefault="66E4FB22" w:rsidP="003133E9">
      <w:pPr>
        <w:spacing w:after="307" w:line="249" w:lineRule="auto"/>
      </w:pPr>
      <w:r w:rsidRPr="207C9116">
        <w:rPr>
          <w:rFonts w:cs="Arial"/>
          <w:b/>
          <w:bCs/>
          <w:color w:val="1F4E79" w:themeColor="accent5" w:themeShade="80"/>
        </w:rPr>
        <w:t>1</w:t>
      </w:r>
      <w:r w:rsidR="00BD3413">
        <w:rPr>
          <w:rFonts w:cs="Arial"/>
          <w:b/>
          <w:bCs/>
          <w:color w:val="1F4E79" w:themeColor="accent5" w:themeShade="80"/>
        </w:rPr>
        <w:t>2</w:t>
      </w:r>
      <w:r w:rsidRPr="207C9116">
        <w:rPr>
          <w:rFonts w:cs="Arial"/>
          <w:b/>
          <w:bCs/>
          <w:color w:val="1F4E79" w:themeColor="accent5" w:themeShade="80"/>
        </w:rPr>
        <w:t xml:space="preserve">.1. </w:t>
      </w:r>
      <w:r w:rsidR="74003FA6" w:rsidRPr="207C9116">
        <w:rPr>
          <w:rFonts w:cs="Arial"/>
          <w:b/>
          <w:bCs/>
          <w:color w:val="1F4E79" w:themeColor="accent5" w:themeShade="80"/>
        </w:rPr>
        <w:t xml:space="preserve">Admissionais de Enfermagem, Multiprofissional e de Atendimento e Apoio a assistência </w:t>
      </w:r>
    </w:p>
    <w:p w14:paraId="066A5AC5" w14:textId="7891FACE" w:rsidR="541F0624" w:rsidRDefault="06D2D06E" w:rsidP="7D594863">
      <w:pPr>
        <w:spacing w:after="307" w:line="300" w:lineRule="auto"/>
      </w:pPr>
      <w:r w:rsidRPr="009415C3">
        <w:t>No mês de junho de 2026, a área de Ensino Corporativo realizou ações voltadas à integração e capacitação de novos colaboradores, contemplando diferentes categorias profissionais e fortalecendo o processo de acolhimento institucional e desenvolvimento das equipes.</w:t>
      </w:r>
    </w:p>
    <w:p w14:paraId="29FAE18E" w14:textId="415E5054" w:rsidR="541F0624" w:rsidRDefault="06D2D06E" w:rsidP="7D594863">
      <w:pPr>
        <w:spacing w:after="307" w:line="300" w:lineRule="auto"/>
      </w:pPr>
      <w:r w:rsidRPr="009415C3">
        <w:t>Foram executadas três turmas do Treinamento Admissional de Enfermagem, realizadas nos períodos de 01 a 03/06, 08 a 10/06 e 16 a 20/06/2026, capacitando 38 profissionais. Também foi promovida uma turma do Treinamento Admissional da Equipe Multiprofissional, entre 08 e 10/06/2026, com participação de 11 colaboradores.</w:t>
      </w:r>
    </w:p>
    <w:p w14:paraId="303E61C2" w14:textId="735883CA" w:rsidR="541F0624" w:rsidRDefault="06D2D06E" w:rsidP="2A601AB1">
      <w:pPr>
        <w:spacing w:after="307" w:line="300" w:lineRule="auto"/>
      </w:pPr>
      <w:r w:rsidRPr="009415C3">
        <w:t>Para as áreas de Atendimento e Apoio à Assistência, foram conduzidas três turmas de treinamento admissional, nos períodos de 01 a 03/06, 08 a 10/06 e 16 a 20/06/2026, totalizando 36 profissionais treinados.</w:t>
      </w:r>
    </w:p>
    <w:p w14:paraId="62C32304" w14:textId="21F568ED" w:rsidR="6EDBC3C6" w:rsidRDefault="7727DF64" w:rsidP="74AEB3D2">
      <w:pPr>
        <w:spacing w:after="307" w:line="249" w:lineRule="auto"/>
        <w:jc w:val="center"/>
        <w:rPr>
          <w:rFonts w:cs="Arial"/>
          <w:b/>
          <w:bCs/>
          <w:color w:val="1F4E79" w:themeColor="accent5" w:themeShade="80"/>
        </w:rPr>
      </w:pPr>
      <w:r>
        <w:t xml:space="preserve">           </w:t>
      </w:r>
      <w:r w:rsidR="6EDBC3C6">
        <w:rPr>
          <w:noProof/>
        </w:rPr>
        <w:drawing>
          <wp:inline distT="0" distB="0" distL="0" distR="0" wp14:anchorId="4452386D" wp14:editId="793EA63E">
            <wp:extent cx="1461755" cy="1941494"/>
            <wp:effectExtent l="0" t="0" r="0" b="0"/>
            <wp:docPr id="1426940512" name="Imagem 1426940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940512" name="Picture 1426940512"/>
                    <pic:cNvPicPr/>
                  </pic:nvPicPr>
                  <pic:blipFill>
                    <a:blip r:embed="rId137">
                      <a:extLst>
                        <a:ext uri="{28A0092B-C50C-407E-A947-70E740481C1C}">
                          <a14:useLocalDpi xmlns:a14="http://schemas.microsoft.com/office/drawing/2010/main"/>
                        </a:ext>
                      </a:extLst>
                    </a:blip>
                    <a:stretch>
                      <a:fillRect/>
                    </a:stretch>
                  </pic:blipFill>
                  <pic:spPr>
                    <a:xfrm>
                      <a:off x="0" y="0"/>
                      <a:ext cx="1461755" cy="1941494"/>
                    </a:xfrm>
                    <a:prstGeom prst="rect">
                      <a:avLst/>
                    </a:prstGeom>
                  </pic:spPr>
                </pic:pic>
              </a:graphicData>
            </a:graphic>
          </wp:inline>
        </w:drawing>
      </w:r>
      <w:r w:rsidR="6EDBC3C6" w:rsidRPr="74AEB3D2">
        <w:rPr>
          <w:rFonts w:cs="Arial"/>
          <w:b/>
          <w:bCs/>
          <w:color w:val="1F4E79" w:themeColor="accent5" w:themeShade="80"/>
        </w:rPr>
        <w:t xml:space="preserve"> </w:t>
      </w:r>
      <w:r w:rsidR="5AA10B24" w:rsidRPr="74AEB3D2">
        <w:rPr>
          <w:rFonts w:cs="Arial"/>
          <w:b/>
          <w:bCs/>
          <w:color w:val="1F4E79" w:themeColor="accent5" w:themeShade="80"/>
        </w:rPr>
        <w:t xml:space="preserve">     </w:t>
      </w:r>
      <w:r w:rsidR="6EDBC3C6" w:rsidRPr="207C9116">
        <w:rPr>
          <w:rFonts w:cs="Arial"/>
          <w:b/>
          <w:bCs/>
          <w:color w:val="1F4E79" w:themeColor="accent5" w:themeShade="80"/>
        </w:rPr>
        <w:t xml:space="preserve">   </w:t>
      </w:r>
      <w:r w:rsidR="6EDBC3C6">
        <w:rPr>
          <w:noProof/>
        </w:rPr>
        <w:drawing>
          <wp:inline distT="0" distB="0" distL="0" distR="0" wp14:anchorId="57F63B2B" wp14:editId="57F85618">
            <wp:extent cx="1450897" cy="1927071"/>
            <wp:effectExtent l="0" t="0" r="0" b="0"/>
            <wp:docPr id="1169832394" name="Imagem 1169832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832394" name="Picture 1169832394"/>
                    <pic:cNvPicPr/>
                  </pic:nvPicPr>
                  <pic:blipFill>
                    <a:blip r:embed="rId138">
                      <a:extLst>
                        <a:ext uri="{28A0092B-C50C-407E-A947-70E740481C1C}">
                          <a14:useLocalDpi xmlns:a14="http://schemas.microsoft.com/office/drawing/2010/main"/>
                        </a:ext>
                      </a:extLst>
                    </a:blip>
                    <a:stretch>
                      <a:fillRect/>
                    </a:stretch>
                  </pic:blipFill>
                  <pic:spPr>
                    <a:xfrm>
                      <a:off x="0" y="0"/>
                      <a:ext cx="1450897" cy="1927071"/>
                    </a:xfrm>
                    <a:prstGeom prst="rect">
                      <a:avLst/>
                    </a:prstGeom>
                  </pic:spPr>
                </pic:pic>
              </a:graphicData>
            </a:graphic>
          </wp:inline>
        </w:drawing>
      </w:r>
      <w:r w:rsidR="6EDBC3C6" w:rsidRPr="74AEB3D2">
        <w:rPr>
          <w:rFonts w:cs="Arial"/>
          <w:b/>
          <w:bCs/>
          <w:color w:val="1F4E79" w:themeColor="accent5" w:themeShade="80"/>
        </w:rPr>
        <w:t xml:space="preserve"> </w:t>
      </w:r>
      <w:r w:rsidR="2E17901B" w:rsidRPr="74AEB3D2">
        <w:rPr>
          <w:rFonts w:cs="Arial"/>
          <w:b/>
          <w:bCs/>
          <w:color w:val="1F4E79" w:themeColor="accent5" w:themeShade="80"/>
        </w:rPr>
        <w:t xml:space="preserve">         </w:t>
      </w:r>
      <w:r w:rsidR="6EDBC3C6" w:rsidRPr="74AEB3D2">
        <w:rPr>
          <w:rFonts w:cs="Arial"/>
          <w:b/>
          <w:bCs/>
          <w:color w:val="1F4E79" w:themeColor="accent5" w:themeShade="80"/>
        </w:rPr>
        <w:t xml:space="preserve">  </w:t>
      </w:r>
      <w:r w:rsidR="6EDBC3C6">
        <w:rPr>
          <w:noProof/>
        </w:rPr>
        <w:drawing>
          <wp:inline distT="0" distB="0" distL="0" distR="0" wp14:anchorId="37804AF9" wp14:editId="07202A47">
            <wp:extent cx="1431277" cy="1901014"/>
            <wp:effectExtent l="0" t="0" r="0" b="0"/>
            <wp:docPr id="840378920" name="Imagem 840378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378920" name="Picture 840378920"/>
                    <pic:cNvPicPr/>
                  </pic:nvPicPr>
                  <pic:blipFill>
                    <a:blip r:embed="rId139">
                      <a:extLst>
                        <a:ext uri="{28A0092B-C50C-407E-A947-70E740481C1C}">
                          <a14:useLocalDpi xmlns:a14="http://schemas.microsoft.com/office/drawing/2010/main"/>
                        </a:ext>
                      </a:extLst>
                    </a:blip>
                    <a:stretch>
                      <a:fillRect/>
                    </a:stretch>
                  </pic:blipFill>
                  <pic:spPr>
                    <a:xfrm>
                      <a:off x="0" y="0"/>
                      <a:ext cx="1431277" cy="1901014"/>
                    </a:xfrm>
                    <a:prstGeom prst="rect">
                      <a:avLst/>
                    </a:prstGeom>
                  </pic:spPr>
                </pic:pic>
              </a:graphicData>
            </a:graphic>
          </wp:inline>
        </w:drawing>
      </w:r>
    </w:p>
    <w:p w14:paraId="27416E9C" w14:textId="4CB2AFEC" w:rsidR="5E5FD114" w:rsidRDefault="79F2701E" w:rsidP="74AEB3D2">
      <w:pPr>
        <w:spacing w:after="307" w:line="249" w:lineRule="auto"/>
        <w:jc w:val="center"/>
        <w:rPr>
          <w:sz w:val="22"/>
          <w:szCs w:val="22"/>
        </w:rPr>
      </w:pPr>
      <w:r w:rsidRPr="74AEB3D2">
        <w:rPr>
          <w:sz w:val="22"/>
          <w:szCs w:val="22"/>
        </w:rPr>
        <w:t>Imagens 1, 2 e 3. Treinamentos</w:t>
      </w:r>
      <w:r w:rsidR="1331F83C" w:rsidRPr="74AEB3D2">
        <w:rPr>
          <w:sz w:val="22"/>
          <w:szCs w:val="22"/>
        </w:rPr>
        <w:t xml:space="preserve"> Admissionais de Enfermagem e Equipe Multiprofissional.</w:t>
      </w:r>
    </w:p>
    <w:p w14:paraId="1C32549F" w14:textId="77777777" w:rsidR="000002D2" w:rsidRDefault="000002D2" w:rsidP="207C9116">
      <w:pPr>
        <w:spacing w:after="307" w:line="249" w:lineRule="auto"/>
        <w:rPr>
          <w:rFonts w:cs="Arial"/>
          <w:b/>
          <w:bCs/>
          <w:color w:val="1F4E79" w:themeColor="accent5" w:themeShade="80"/>
        </w:rPr>
      </w:pPr>
    </w:p>
    <w:p w14:paraId="5BA223B0" w14:textId="77777777" w:rsidR="000002D2" w:rsidRDefault="000002D2" w:rsidP="207C9116">
      <w:pPr>
        <w:spacing w:after="307" w:line="249" w:lineRule="auto"/>
        <w:rPr>
          <w:rFonts w:cs="Arial"/>
          <w:b/>
          <w:bCs/>
          <w:color w:val="1F4E79" w:themeColor="accent5" w:themeShade="80"/>
        </w:rPr>
      </w:pPr>
    </w:p>
    <w:p w14:paraId="0DEDD501" w14:textId="77777777" w:rsidR="000002D2" w:rsidRDefault="000002D2" w:rsidP="207C9116">
      <w:pPr>
        <w:spacing w:after="307" w:line="249" w:lineRule="auto"/>
        <w:rPr>
          <w:rFonts w:cs="Arial"/>
          <w:b/>
          <w:bCs/>
          <w:color w:val="1F4E79" w:themeColor="accent5" w:themeShade="80"/>
        </w:rPr>
      </w:pPr>
    </w:p>
    <w:p w14:paraId="4CBCFA5A" w14:textId="62F0E273" w:rsidR="207C9116" w:rsidRDefault="02D6F406" w:rsidP="207C9116">
      <w:pPr>
        <w:spacing w:after="307" w:line="249" w:lineRule="auto"/>
      </w:pPr>
      <w:r w:rsidRPr="4FA3EB59">
        <w:rPr>
          <w:rFonts w:cs="Arial"/>
          <w:b/>
          <w:bCs/>
          <w:color w:val="1F4E79" w:themeColor="accent5" w:themeShade="80"/>
        </w:rPr>
        <w:lastRenderedPageBreak/>
        <w:t>1</w:t>
      </w:r>
      <w:r w:rsidR="00BD3413">
        <w:rPr>
          <w:rFonts w:cs="Arial"/>
          <w:b/>
          <w:bCs/>
          <w:color w:val="1F4E79" w:themeColor="accent5" w:themeShade="80"/>
        </w:rPr>
        <w:t>2</w:t>
      </w:r>
      <w:r w:rsidRPr="4FA3EB59">
        <w:rPr>
          <w:rFonts w:cs="Arial"/>
          <w:b/>
          <w:bCs/>
          <w:color w:val="1F4E79" w:themeColor="accent5" w:themeShade="80"/>
        </w:rPr>
        <w:t>.2</w:t>
      </w:r>
      <w:r w:rsidRPr="3B35DED6">
        <w:rPr>
          <w:rFonts w:cs="Arial"/>
          <w:b/>
          <w:bCs/>
          <w:color w:val="1F4E79" w:themeColor="accent5" w:themeShade="80"/>
        </w:rPr>
        <w:t>.</w:t>
      </w:r>
      <w:r w:rsidRPr="4FA3EB59">
        <w:rPr>
          <w:rFonts w:cs="Arial"/>
          <w:b/>
          <w:bCs/>
          <w:color w:val="1F4E79" w:themeColor="accent5" w:themeShade="80"/>
        </w:rPr>
        <w:t xml:space="preserve"> </w:t>
      </w:r>
      <w:r w:rsidRPr="79813AF8">
        <w:rPr>
          <w:rFonts w:cs="Arial"/>
          <w:b/>
          <w:bCs/>
          <w:color w:val="1F4E79" w:themeColor="accent5" w:themeShade="80"/>
        </w:rPr>
        <w:t xml:space="preserve">Treinamento Formação de Brigada de </w:t>
      </w:r>
      <w:r w:rsidRPr="4FA3EB59">
        <w:rPr>
          <w:rFonts w:cs="Arial"/>
          <w:b/>
          <w:bCs/>
          <w:color w:val="1F4E79" w:themeColor="accent5" w:themeShade="80"/>
        </w:rPr>
        <w:t>Incêndio</w:t>
      </w:r>
    </w:p>
    <w:p w14:paraId="5EF1A15E" w14:textId="184EFDB5" w:rsidR="4FA3EB59" w:rsidRDefault="4DBB39AC" w:rsidP="74AEB3D2">
      <w:pPr>
        <w:spacing w:after="307" w:line="249" w:lineRule="auto"/>
        <w:jc w:val="center"/>
        <w:rPr>
          <w:rFonts w:cs="Arial"/>
          <w:b/>
          <w:color w:val="1F4E79" w:themeColor="accent5" w:themeShade="80"/>
        </w:rPr>
      </w:pPr>
      <w:r>
        <w:t xml:space="preserve">      </w:t>
      </w:r>
      <w:r w:rsidR="02D6F406">
        <w:rPr>
          <w:noProof/>
        </w:rPr>
        <w:drawing>
          <wp:inline distT="0" distB="0" distL="0" distR="0" wp14:anchorId="42349C78" wp14:editId="1949C195">
            <wp:extent cx="1425315" cy="2535296"/>
            <wp:effectExtent l="0" t="0" r="0" b="0"/>
            <wp:docPr id="305517733" name="Imagem 305517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517733" name="Picture 305517733"/>
                    <pic:cNvPicPr/>
                  </pic:nvPicPr>
                  <pic:blipFill>
                    <a:blip r:embed="rId140">
                      <a:extLst>
                        <a:ext uri="{28A0092B-C50C-407E-A947-70E740481C1C}">
                          <a14:useLocalDpi xmlns:a14="http://schemas.microsoft.com/office/drawing/2010/main"/>
                        </a:ext>
                      </a:extLst>
                    </a:blip>
                    <a:stretch>
                      <a:fillRect/>
                    </a:stretch>
                  </pic:blipFill>
                  <pic:spPr>
                    <a:xfrm>
                      <a:off x="0" y="0"/>
                      <a:ext cx="1425315" cy="2535296"/>
                    </a:xfrm>
                    <a:prstGeom prst="rect">
                      <a:avLst/>
                    </a:prstGeom>
                  </pic:spPr>
                </pic:pic>
              </a:graphicData>
            </a:graphic>
          </wp:inline>
        </w:drawing>
      </w:r>
      <w:r w:rsidR="02D6F406" w:rsidRPr="4AFB0EC5">
        <w:rPr>
          <w:rFonts w:cs="Arial"/>
          <w:b/>
          <w:bCs/>
          <w:color w:val="1F4E79" w:themeColor="accent5" w:themeShade="80"/>
        </w:rPr>
        <w:t xml:space="preserve">    </w:t>
      </w:r>
      <w:r w:rsidR="1A2AA07D" w:rsidRPr="02486150">
        <w:rPr>
          <w:rFonts w:cs="Arial"/>
          <w:b/>
          <w:bCs/>
          <w:color w:val="1F4E79" w:themeColor="accent5" w:themeShade="80"/>
        </w:rPr>
        <w:t xml:space="preserve">   </w:t>
      </w:r>
      <w:r w:rsidR="02D6F406" w:rsidRPr="02486150">
        <w:rPr>
          <w:rFonts w:cs="Arial"/>
          <w:b/>
          <w:bCs/>
          <w:color w:val="1F4E79" w:themeColor="accent5" w:themeShade="80"/>
        </w:rPr>
        <w:t xml:space="preserve">  </w:t>
      </w:r>
      <w:r w:rsidR="02D6F406">
        <w:rPr>
          <w:noProof/>
        </w:rPr>
        <w:drawing>
          <wp:inline distT="0" distB="0" distL="0" distR="0" wp14:anchorId="6321E0FB" wp14:editId="0C4719E5">
            <wp:extent cx="1447799" cy="2575290"/>
            <wp:effectExtent l="0" t="0" r="0" b="0"/>
            <wp:docPr id="1839046850" name="Imagem 1839046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046850" name="Picture 1839046850"/>
                    <pic:cNvPicPr/>
                  </pic:nvPicPr>
                  <pic:blipFill>
                    <a:blip r:embed="rId141">
                      <a:extLst>
                        <a:ext uri="{28A0092B-C50C-407E-A947-70E740481C1C}">
                          <a14:useLocalDpi xmlns:a14="http://schemas.microsoft.com/office/drawing/2010/main"/>
                        </a:ext>
                      </a:extLst>
                    </a:blip>
                    <a:stretch>
                      <a:fillRect/>
                    </a:stretch>
                  </pic:blipFill>
                  <pic:spPr>
                    <a:xfrm>
                      <a:off x="0" y="0"/>
                      <a:ext cx="1447799" cy="2575290"/>
                    </a:xfrm>
                    <a:prstGeom prst="rect">
                      <a:avLst/>
                    </a:prstGeom>
                  </pic:spPr>
                </pic:pic>
              </a:graphicData>
            </a:graphic>
          </wp:inline>
        </w:drawing>
      </w:r>
      <w:r w:rsidR="02D6F406" w:rsidRPr="02486150">
        <w:rPr>
          <w:rFonts w:cs="Arial"/>
          <w:b/>
          <w:bCs/>
          <w:color w:val="1F4E79" w:themeColor="accent5" w:themeShade="80"/>
        </w:rPr>
        <w:t xml:space="preserve">  </w:t>
      </w:r>
      <w:r w:rsidR="7567532E" w:rsidRPr="02486150">
        <w:rPr>
          <w:rFonts w:cs="Arial"/>
          <w:b/>
          <w:bCs/>
          <w:color w:val="1F4E79" w:themeColor="accent5" w:themeShade="80"/>
        </w:rPr>
        <w:t xml:space="preserve">   </w:t>
      </w:r>
      <w:r w:rsidR="02D6F406" w:rsidRPr="4AFB0EC5">
        <w:rPr>
          <w:rFonts w:cs="Arial"/>
          <w:b/>
          <w:bCs/>
          <w:color w:val="1F4E79" w:themeColor="accent5" w:themeShade="80"/>
        </w:rPr>
        <w:t xml:space="preserve"> </w:t>
      </w:r>
      <w:r w:rsidR="02D6F406" w:rsidRPr="755B46DF">
        <w:rPr>
          <w:rFonts w:cs="Arial"/>
          <w:b/>
          <w:bCs/>
          <w:color w:val="1F4E79" w:themeColor="accent5" w:themeShade="80"/>
        </w:rPr>
        <w:t xml:space="preserve">   </w:t>
      </w:r>
      <w:r w:rsidR="699826B8">
        <w:rPr>
          <w:noProof/>
        </w:rPr>
        <w:drawing>
          <wp:inline distT="0" distB="0" distL="0" distR="0" wp14:anchorId="118FD244" wp14:editId="0B78B5C7">
            <wp:extent cx="1444744" cy="2569854"/>
            <wp:effectExtent l="0" t="0" r="0" b="0"/>
            <wp:docPr id="2003924543" name="Imagem 2003924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24543" name="Picture 2003924543"/>
                    <pic:cNvPicPr/>
                  </pic:nvPicPr>
                  <pic:blipFill>
                    <a:blip r:embed="rId142">
                      <a:extLst>
                        <a:ext uri="{28A0092B-C50C-407E-A947-70E740481C1C}">
                          <a14:useLocalDpi xmlns:a14="http://schemas.microsoft.com/office/drawing/2010/main"/>
                        </a:ext>
                      </a:extLst>
                    </a:blip>
                    <a:stretch>
                      <a:fillRect/>
                    </a:stretch>
                  </pic:blipFill>
                  <pic:spPr>
                    <a:xfrm>
                      <a:off x="0" y="0"/>
                      <a:ext cx="1444744" cy="2569854"/>
                    </a:xfrm>
                    <a:prstGeom prst="rect">
                      <a:avLst/>
                    </a:prstGeom>
                  </pic:spPr>
                </pic:pic>
              </a:graphicData>
            </a:graphic>
          </wp:inline>
        </w:drawing>
      </w:r>
    </w:p>
    <w:p w14:paraId="7ECC9D0F" w14:textId="44FEA05A" w:rsidR="207C9116" w:rsidRDefault="699826B8" w:rsidP="74AEB3D2">
      <w:pPr>
        <w:spacing w:after="307" w:line="249" w:lineRule="auto"/>
        <w:jc w:val="center"/>
      </w:pPr>
      <w:r w:rsidRPr="49BB914A">
        <w:rPr>
          <w:rFonts w:cs="Arial"/>
          <w:color w:val="auto"/>
        </w:rPr>
        <w:t xml:space="preserve">                      </w:t>
      </w:r>
      <w:r w:rsidRPr="74AEB3D2">
        <w:rPr>
          <w:rFonts w:asciiTheme="minorHAnsi" w:eastAsiaTheme="minorEastAsia" w:hAnsiTheme="minorHAnsi"/>
          <w:sz w:val="22"/>
          <w:szCs w:val="22"/>
        </w:rPr>
        <w:t>Turma de Formação Brigadista realizada dia 30/06/2026</w:t>
      </w:r>
    </w:p>
    <w:p w14:paraId="5AC84677" w14:textId="633AA9A8" w:rsidR="49C96AA8" w:rsidRPr="000002D2" w:rsidRDefault="49C96AA8" w:rsidP="5BB45631">
      <w:pPr>
        <w:spacing w:after="307" w:line="300" w:lineRule="auto"/>
      </w:pPr>
      <w:r w:rsidRPr="000002D2">
        <w:t xml:space="preserve">Além das ações admissionais, foi realizada uma turma de Formação de Brigadistas de Incêndio, capacitando 9 colaboradores, contribuindo para o fortalecimento da cultura de segurança institucional e atendendo a </w:t>
      </w:r>
      <w:r w:rsidR="46B34E35" w:rsidRPr="000002D2">
        <w:t>Norma Técnica 17/2021.</w:t>
      </w:r>
    </w:p>
    <w:p w14:paraId="5B42C5B0" w14:textId="14BA9D91" w:rsidR="699826B8" w:rsidRDefault="699826B8" w:rsidP="26227A58">
      <w:pPr>
        <w:spacing w:after="307" w:line="249" w:lineRule="auto"/>
      </w:pPr>
      <w:r w:rsidRPr="26227A58">
        <w:rPr>
          <w:rFonts w:asciiTheme="minorHAnsi" w:eastAsiaTheme="minorEastAsia" w:hAnsiTheme="minorHAnsi"/>
          <w:b/>
          <w:bCs/>
          <w:color w:val="1F4E79" w:themeColor="accent5" w:themeShade="80"/>
        </w:rPr>
        <w:t>1</w:t>
      </w:r>
      <w:r w:rsidR="00BD3413">
        <w:rPr>
          <w:rFonts w:asciiTheme="minorHAnsi" w:eastAsiaTheme="minorEastAsia" w:hAnsiTheme="minorHAnsi"/>
          <w:b/>
          <w:bCs/>
          <w:color w:val="1F4E79" w:themeColor="accent5" w:themeShade="80"/>
        </w:rPr>
        <w:t>2</w:t>
      </w:r>
      <w:r w:rsidRPr="26227A58">
        <w:rPr>
          <w:rFonts w:asciiTheme="minorHAnsi" w:eastAsiaTheme="minorEastAsia" w:hAnsiTheme="minorHAnsi"/>
          <w:b/>
          <w:bCs/>
          <w:color w:val="1F4E79" w:themeColor="accent5" w:themeShade="80"/>
        </w:rPr>
        <w:t>.3. Trilha Institucional do Novo Colaborador</w:t>
      </w:r>
    </w:p>
    <w:p w14:paraId="4A5BFE5C" w14:textId="7079BE10" w:rsidR="50DB50B1" w:rsidRDefault="50DB50B1" w:rsidP="5BB45631">
      <w:pPr>
        <w:spacing w:after="307" w:line="300" w:lineRule="auto"/>
      </w:pPr>
      <w:r w:rsidRPr="000002D2">
        <w:t>Destaca-se ainda a realização da Trilha Institucional do Novo Colaborador 2026, que alcançou 845 participantes, reforçando a disseminação da cultura organizacional, dos processos institucionais e das diretrizes de qualidade e segurança.</w:t>
      </w:r>
    </w:p>
    <w:p w14:paraId="79F40958" w14:textId="196C3D7A" w:rsidR="26227A58" w:rsidRDefault="00CEB230" w:rsidP="26227A58">
      <w:pPr>
        <w:spacing w:after="307" w:line="249" w:lineRule="auto"/>
      </w:pPr>
      <w:r>
        <w:rPr>
          <w:noProof/>
        </w:rPr>
        <w:drawing>
          <wp:inline distT="0" distB="0" distL="0" distR="0" wp14:anchorId="0F5A0046" wp14:editId="4EBF3DF4">
            <wp:extent cx="1963493" cy="1653299"/>
            <wp:effectExtent l="0" t="0" r="0" b="0"/>
            <wp:docPr id="1835742134" name="Imagem 1835742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742134" name="Picture 1835742134"/>
                    <pic:cNvPicPr/>
                  </pic:nvPicPr>
                  <pic:blipFill>
                    <a:blip r:embed="rId143">
                      <a:extLst>
                        <a:ext uri="{28A0092B-C50C-407E-A947-70E740481C1C}">
                          <a14:useLocalDpi xmlns:a14="http://schemas.microsoft.com/office/drawing/2010/main"/>
                        </a:ext>
                      </a:extLst>
                    </a:blip>
                    <a:srcRect l="2985" t="2343" r="4643" b="6054"/>
                    <a:stretch>
                      <a:fillRect/>
                    </a:stretch>
                  </pic:blipFill>
                  <pic:spPr>
                    <a:xfrm>
                      <a:off x="0" y="0"/>
                      <a:ext cx="1963493" cy="1653299"/>
                    </a:xfrm>
                    <a:prstGeom prst="rect">
                      <a:avLst/>
                    </a:prstGeom>
                  </pic:spPr>
                </pic:pic>
              </a:graphicData>
            </a:graphic>
          </wp:inline>
        </w:drawing>
      </w:r>
      <w:r w:rsidR="640755DC" w:rsidRPr="5E5FD114">
        <w:rPr>
          <w:rFonts w:asciiTheme="minorHAnsi" w:eastAsiaTheme="minorEastAsia" w:hAnsiTheme="minorHAnsi"/>
          <w:b/>
          <w:bCs/>
          <w:color w:val="1F4E79" w:themeColor="accent5" w:themeShade="80"/>
        </w:rPr>
        <w:t xml:space="preserve">    </w:t>
      </w:r>
      <w:r w:rsidR="640755DC">
        <w:rPr>
          <w:noProof/>
        </w:rPr>
        <w:drawing>
          <wp:inline distT="0" distB="0" distL="0" distR="0" wp14:anchorId="5C62D148" wp14:editId="5996E3C3">
            <wp:extent cx="3562810" cy="1477143"/>
            <wp:effectExtent l="0" t="0" r="0" b="0"/>
            <wp:docPr id="1977455460" name="Imagem 1977455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455460" name="Picture 1977455460"/>
                    <pic:cNvPicPr/>
                  </pic:nvPicPr>
                  <pic:blipFill>
                    <a:blip r:embed="rId144">
                      <a:extLst>
                        <a:ext uri="{28A0092B-C50C-407E-A947-70E740481C1C}">
                          <a14:useLocalDpi xmlns:a14="http://schemas.microsoft.com/office/drawing/2010/main"/>
                        </a:ext>
                      </a:extLst>
                    </a:blip>
                    <a:stretch>
                      <a:fillRect/>
                    </a:stretch>
                  </pic:blipFill>
                  <pic:spPr>
                    <a:xfrm>
                      <a:off x="0" y="0"/>
                      <a:ext cx="3562810" cy="1477143"/>
                    </a:xfrm>
                    <a:prstGeom prst="rect">
                      <a:avLst/>
                    </a:prstGeom>
                  </pic:spPr>
                </pic:pic>
              </a:graphicData>
            </a:graphic>
          </wp:inline>
        </w:drawing>
      </w:r>
    </w:p>
    <w:p w14:paraId="05BC6C8D" w14:textId="7746496C" w:rsidR="5ABF0275" w:rsidRDefault="5ABF0275" w:rsidP="5BB45631">
      <w:pPr>
        <w:spacing w:after="307" w:line="300" w:lineRule="auto"/>
      </w:pPr>
      <w:r w:rsidRPr="000002D2">
        <w:lastRenderedPageBreak/>
        <w:t xml:space="preserve">Resultados Consolidados – </w:t>
      </w:r>
      <w:proofErr w:type="gramStart"/>
      <w:r w:rsidRPr="000002D2">
        <w:t>Junho</w:t>
      </w:r>
      <w:proofErr w:type="gramEnd"/>
      <w:r w:rsidRPr="000002D2">
        <w:t>/2026</w:t>
      </w:r>
    </w:p>
    <w:p w14:paraId="4504D847" w14:textId="79C03C69" w:rsidR="5ABF0275" w:rsidRDefault="5ABF0275" w:rsidP="5BB45631">
      <w:pPr>
        <w:pStyle w:val="PargrafodaLista"/>
        <w:numPr>
          <w:ilvl w:val="0"/>
          <w:numId w:val="30"/>
        </w:numPr>
        <w:spacing w:after="0" w:line="300" w:lineRule="auto"/>
      </w:pPr>
      <w:r w:rsidRPr="000002D2">
        <w:rPr>
          <w:rFonts w:eastAsiaTheme="minorEastAsia" w:cs="Arial"/>
        </w:rPr>
        <w:t>Treinamento Admissional de Enfermagem: 38 treinados</w:t>
      </w:r>
    </w:p>
    <w:p w14:paraId="5410DED6" w14:textId="73484F39" w:rsidR="5ABF0275" w:rsidRDefault="5ABF0275" w:rsidP="5BB45631">
      <w:pPr>
        <w:pStyle w:val="PargrafodaLista"/>
        <w:numPr>
          <w:ilvl w:val="0"/>
          <w:numId w:val="30"/>
        </w:numPr>
        <w:spacing w:after="0" w:line="300" w:lineRule="auto"/>
      </w:pPr>
      <w:r w:rsidRPr="000002D2">
        <w:rPr>
          <w:rFonts w:eastAsiaTheme="minorEastAsia" w:cs="Arial"/>
        </w:rPr>
        <w:t>Treinamento Admissional Equipe Multiprofissional: 11 treinados</w:t>
      </w:r>
    </w:p>
    <w:p w14:paraId="2DE839FC" w14:textId="7D22251E" w:rsidR="5ABF0275" w:rsidRDefault="5ABF0275" w:rsidP="5BB45631">
      <w:pPr>
        <w:pStyle w:val="PargrafodaLista"/>
        <w:numPr>
          <w:ilvl w:val="0"/>
          <w:numId w:val="30"/>
        </w:numPr>
        <w:spacing w:after="0" w:line="300" w:lineRule="auto"/>
      </w:pPr>
      <w:r w:rsidRPr="000002D2">
        <w:rPr>
          <w:rFonts w:eastAsiaTheme="minorEastAsia" w:cs="Arial"/>
        </w:rPr>
        <w:t>Treinamento Admissional Equipe de Atendimento e Apoio à Assistência: 36 treinados</w:t>
      </w:r>
    </w:p>
    <w:p w14:paraId="201B63D2" w14:textId="5A57ABFF" w:rsidR="5ABF0275" w:rsidRDefault="5ABF0275" w:rsidP="5BB45631">
      <w:pPr>
        <w:pStyle w:val="PargrafodaLista"/>
        <w:numPr>
          <w:ilvl w:val="0"/>
          <w:numId w:val="30"/>
        </w:numPr>
        <w:spacing w:after="0" w:line="300" w:lineRule="auto"/>
      </w:pPr>
      <w:r w:rsidRPr="000002D2">
        <w:rPr>
          <w:rFonts w:eastAsiaTheme="minorEastAsia" w:cs="Arial"/>
        </w:rPr>
        <w:t>Formação de Brigadistas de Incêndio: 9 treinados</w:t>
      </w:r>
    </w:p>
    <w:p w14:paraId="3F419D28" w14:textId="12F2D7D4" w:rsidR="5ABF0275" w:rsidRDefault="5ABF0275" w:rsidP="5BB45631">
      <w:pPr>
        <w:pStyle w:val="PargrafodaLista"/>
        <w:numPr>
          <w:ilvl w:val="0"/>
          <w:numId w:val="30"/>
        </w:numPr>
        <w:spacing w:after="0" w:line="300" w:lineRule="auto"/>
      </w:pPr>
      <w:r w:rsidRPr="000002D2">
        <w:rPr>
          <w:rFonts w:eastAsiaTheme="minorEastAsia" w:cs="Arial"/>
        </w:rPr>
        <w:t>Trilha Institucional do Novo Colaborador 2026: 845 treinados</w:t>
      </w:r>
    </w:p>
    <w:p w14:paraId="01D35D60" w14:textId="77777777" w:rsidR="000002D2" w:rsidRDefault="000002D2" w:rsidP="5BB45631">
      <w:pPr>
        <w:spacing w:after="307" w:line="300" w:lineRule="auto"/>
        <w:rPr>
          <w:rFonts w:eastAsiaTheme="minorEastAsia" w:cs="Arial"/>
        </w:rPr>
      </w:pPr>
    </w:p>
    <w:p w14:paraId="0AA5C627" w14:textId="2187405B" w:rsidR="5ABF0275" w:rsidRDefault="5ABF0275" w:rsidP="5BB45631">
      <w:pPr>
        <w:spacing w:after="307" w:line="300" w:lineRule="auto"/>
      </w:pPr>
      <w:r w:rsidRPr="000002D2">
        <w:rPr>
          <w:rFonts w:eastAsiaTheme="minorEastAsia" w:cs="Arial"/>
        </w:rPr>
        <w:t>Total de profissionais capacitados no período: 939 participantes, evidenciando o compromisso institucional com a qualificação, integração e desenvolvimento contínuo dos colaboradores do HUGO.</w:t>
      </w:r>
    </w:p>
    <w:p w14:paraId="61B75A54" w14:textId="0003505A" w:rsidR="5BB45631" w:rsidRDefault="5BB45631" w:rsidP="5BB45631">
      <w:pPr>
        <w:spacing w:after="307" w:line="249" w:lineRule="auto"/>
      </w:pPr>
    </w:p>
    <w:p w14:paraId="01C1F9AF" w14:textId="4C3024C8" w:rsidR="49BB914A" w:rsidRDefault="49BB914A" w:rsidP="49BB914A">
      <w:pPr>
        <w:spacing w:after="307" w:line="249" w:lineRule="auto"/>
        <w:rPr>
          <w:rFonts w:cs="Arial"/>
          <w:color w:val="auto"/>
        </w:rPr>
      </w:pPr>
    </w:p>
    <w:p w14:paraId="7F8FA238" w14:textId="2C5A4615" w:rsidR="1A6EC8B6" w:rsidRDefault="1A6EC8B6" w:rsidP="1A6EC8B6">
      <w:pPr>
        <w:spacing w:after="307" w:line="249" w:lineRule="auto"/>
        <w:rPr>
          <w:rFonts w:cs="Arial"/>
          <w:b/>
          <w:bCs/>
          <w:color w:val="1F4E79" w:themeColor="accent5" w:themeShade="80"/>
        </w:rPr>
      </w:pPr>
    </w:p>
    <w:p w14:paraId="466DC21B" w14:textId="04CDA1CF" w:rsidR="22839B1C" w:rsidRDefault="22839B1C" w:rsidP="22839B1C">
      <w:pPr>
        <w:jc w:val="center"/>
        <w:rPr>
          <w:rFonts w:cs="Arial"/>
        </w:rPr>
      </w:pPr>
    </w:p>
    <w:p w14:paraId="1E00A9B9" w14:textId="31F1DDAC" w:rsidR="00A4224E" w:rsidRPr="00DE5669" w:rsidRDefault="00EE0FC9" w:rsidP="00AD1010">
      <w:pPr>
        <w:spacing w:after="108" w:line="249" w:lineRule="auto"/>
        <w:ind w:hanging="10"/>
        <w:jc w:val="center"/>
        <w:rPr>
          <w:rFonts w:cs="Arial"/>
        </w:rPr>
      </w:pPr>
      <w:r w:rsidRPr="00DE5669">
        <w:rPr>
          <w:rFonts w:cs="Arial"/>
        </w:rPr>
        <w:t>_________________________________</w:t>
      </w:r>
    </w:p>
    <w:p w14:paraId="1A7BDA4D" w14:textId="59D4D628" w:rsidR="00A4224E" w:rsidRPr="00DE5669" w:rsidRDefault="6BCD389C" w:rsidP="00AD1010">
      <w:pPr>
        <w:tabs>
          <w:tab w:val="center" w:pos="2271"/>
          <w:tab w:val="center" w:pos="6808"/>
        </w:tabs>
        <w:spacing w:after="5"/>
        <w:jc w:val="center"/>
        <w:rPr>
          <w:rFonts w:cs="Arial"/>
        </w:rPr>
      </w:pPr>
      <w:r w:rsidRPr="00DE5669">
        <w:rPr>
          <w:rFonts w:cs="Arial"/>
          <w:b/>
          <w:bCs/>
        </w:rPr>
        <w:t>Dra. Fabiana Rolla</w:t>
      </w:r>
    </w:p>
    <w:p w14:paraId="1C728960" w14:textId="12DDF803" w:rsidR="00A4224E" w:rsidRPr="00DE5669" w:rsidRDefault="417E8947" w:rsidP="00AD1010">
      <w:pPr>
        <w:tabs>
          <w:tab w:val="center" w:pos="2267"/>
          <w:tab w:val="center" w:pos="6805"/>
        </w:tabs>
        <w:spacing w:after="0"/>
        <w:jc w:val="center"/>
        <w:rPr>
          <w:rFonts w:cs="Arial"/>
        </w:rPr>
      </w:pPr>
      <w:r w:rsidRPr="00DE5669">
        <w:rPr>
          <w:rFonts w:cs="Arial"/>
        </w:rPr>
        <w:t xml:space="preserve">Diretora </w:t>
      </w:r>
      <w:r w:rsidR="6BCD389C" w:rsidRPr="00DE5669">
        <w:rPr>
          <w:rFonts w:cs="Arial"/>
        </w:rPr>
        <w:t>Médica</w:t>
      </w:r>
    </w:p>
    <w:p w14:paraId="33B83998" w14:textId="39707DEA" w:rsidR="00B3435B" w:rsidRPr="00DE5669" w:rsidRDefault="00EE0FC9" w:rsidP="00E2004B">
      <w:pPr>
        <w:spacing w:after="0"/>
        <w:rPr>
          <w:rFonts w:cs="Arial"/>
        </w:rPr>
      </w:pPr>
      <w:r w:rsidRPr="00DE5669">
        <w:rPr>
          <w:rFonts w:cs="Arial"/>
        </w:rPr>
        <w:t xml:space="preserve"> </w:t>
      </w:r>
    </w:p>
    <w:sectPr w:rsidR="00B3435B" w:rsidRPr="00DE5669" w:rsidSect="006872F4">
      <w:footerReference w:type="default" r:id="rId145"/>
      <w:pgSz w:w="11905" w:h="16840"/>
      <w:pgMar w:top="2268" w:right="1162" w:bottom="1985" w:left="1701" w:header="726" w:footer="34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00682" w14:textId="77777777" w:rsidR="005872CE" w:rsidRDefault="005872CE">
      <w:pPr>
        <w:spacing w:after="0" w:line="240" w:lineRule="auto"/>
      </w:pPr>
      <w:r>
        <w:separator/>
      </w:r>
    </w:p>
  </w:endnote>
  <w:endnote w:type="continuationSeparator" w:id="0">
    <w:p w14:paraId="57450FDC" w14:textId="77777777" w:rsidR="005872CE" w:rsidRDefault="005872CE">
      <w:pPr>
        <w:spacing w:after="0" w:line="240" w:lineRule="auto"/>
      </w:pPr>
      <w:r>
        <w:continuationSeparator/>
      </w:r>
    </w:p>
  </w:endnote>
  <w:endnote w:type="continuationNotice" w:id="1">
    <w:p w14:paraId="7BA7ACEC" w14:textId="77777777" w:rsidR="005872CE" w:rsidRDefault="005872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5BC33" w14:textId="77777777" w:rsidR="00A4224E" w:rsidRDefault="00EE0FC9">
    <w:pPr>
      <w:spacing w:after="0"/>
      <w:ind w:left="23"/>
      <w:jc w:val="center"/>
    </w:pPr>
    <w:r>
      <w:rPr>
        <w:rFonts w:cs="Arial"/>
        <w:sz w:val="20"/>
      </w:rPr>
      <w:t xml:space="preserve">Página </w:t>
    </w:r>
    <w:r>
      <w:fldChar w:fldCharType="begin"/>
    </w:r>
    <w:r>
      <w:instrText xml:space="preserve"> PAGE   \* MERGEFORMAT </w:instrText>
    </w:r>
    <w:r>
      <w:fldChar w:fldCharType="separate"/>
    </w:r>
    <w:r>
      <w:rPr>
        <w:rFonts w:cs="Arial"/>
        <w:sz w:val="20"/>
      </w:rPr>
      <w:t>1</w:t>
    </w:r>
    <w:r>
      <w:rPr>
        <w:rFonts w:cs="Arial"/>
        <w:sz w:val="20"/>
      </w:rPr>
      <w:fldChar w:fldCharType="end"/>
    </w:r>
    <w:r>
      <w:rPr>
        <w:rFonts w:cs="Arial"/>
        <w:sz w:val="20"/>
      </w:rPr>
      <w:t xml:space="preserve"> de </w:t>
    </w:r>
    <w:fldSimple w:instr="NUMPAGES   \* MERGEFORMAT">
      <w:r>
        <w:rPr>
          <w:rFonts w:cs="Arial"/>
          <w:sz w:val="20"/>
        </w:rPr>
        <w:t>9</w:t>
      </w:r>
    </w:fldSimple>
    <w:r>
      <w:rPr>
        <w:rFonts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55488" w14:textId="6F30B7A3" w:rsidR="7C9D0D1F" w:rsidRDefault="7C9D0D1F" w:rsidP="7C9D0D1F">
    <w:pPr>
      <w:widowControl w:val="0"/>
      <w:spacing w:after="0" w:line="240" w:lineRule="auto"/>
      <w:ind w:left="0"/>
      <w:jc w:val="center"/>
      <w:rPr>
        <w:rFonts w:cs="Times New Roman"/>
        <w:sz w:val="16"/>
        <w:szCs w:val="16"/>
        <w:lang w:val="pt-PT" w:eastAsia="en-US"/>
      </w:rPr>
    </w:pPr>
    <w:r>
      <w:br/>
    </w:r>
    <w:r>
      <w:br/>
    </w:r>
    <w:r w:rsidRPr="7C9D0D1F">
      <w:rPr>
        <w:rFonts w:cs="Times New Roman"/>
        <w:sz w:val="16"/>
        <w:szCs w:val="16"/>
        <w:lang w:val="pt-PT" w:eastAsia="en-US"/>
      </w:rPr>
      <w:t>HOSPITAL ESTADUAL DE URGÊNCIAS DE GOIÁS DR. VALDEMIRO CRUZ - HUGO</w:t>
    </w:r>
  </w:p>
  <w:p w14:paraId="052484F6" w14:textId="77777777" w:rsidR="7C9D0D1F" w:rsidRDefault="7C9D0D1F" w:rsidP="7C9D0D1F">
    <w:pPr>
      <w:widowControl w:val="0"/>
      <w:spacing w:after="0" w:line="240" w:lineRule="auto"/>
      <w:ind w:left="0"/>
      <w:jc w:val="center"/>
      <w:rPr>
        <w:rFonts w:cs="Times New Roman"/>
        <w:i/>
        <w:iCs/>
        <w:sz w:val="14"/>
        <w:szCs w:val="14"/>
        <w:lang w:val="pt-PT" w:eastAsia="en-US"/>
      </w:rPr>
    </w:pPr>
    <w:r w:rsidRPr="7C9D0D1F">
      <w:rPr>
        <w:rFonts w:cs="Times New Roman"/>
        <w:sz w:val="16"/>
        <w:szCs w:val="16"/>
        <w:lang w:val="pt-PT" w:eastAsia="en-US"/>
      </w:rPr>
      <w:t>Av. Primeira Radial, n.º 626, setor Pedro Ludovico, Goiânia/Goiás – CEP 74820-300 - Telefone +55 62 3201-4420</w:t>
    </w:r>
  </w:p>
  <w:p w14:paraId="4BF92408" w14:textId="7B02BF39" w:rsidR="7C9D0D1F" w:rsidRDefault="7C9D0D1F" w:rsidP="7C9D0D1F">
    <w:pPr>
      <w:widowControl w:val="0"/>
      <w:spacing w:after="0" w:line="240" w:lineRule="auto"/>
      <w:ind w:left="0"/>
      <w:jc w:val="center"/>
      <w:rPr>
        <w:rFonts w:cs="Times New Roman"/>
        <w:b/>
        <w:bCs/>
        <w:sz w:val="14"/>
        <w:szCs w:val="14"/>
        <w:lang w:val="pt-PT" w:eastAsia="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E9F69" w14:textId="77777777" w:rsidR="00A4224E" w:rsidRDefault="00EE0FC9">
    <w:pPr>
      <w:spacing w:after="0"/>
      <w:ind w:left="23"/>
      <w:jc w:val="center"/>
    </w:pPr>
    <w:r>
      <w:rPr>
        <w:rFonts w:cs="Arial"/>
        <w:sz w:val="20"/>
      </w:rPr>
      <w:t xml:space="preserve">Página </w:t>
    </w:r>
    <w:r>
      <w:fldChar w:fldCharType="begin"/>
    </w:r>
    <w:r>
      <w:instrText xml:space="preserve"> PAGE   \* MERGEFORMAT </w:instrText>
    </w:r>
    <w:r>
      <w:fldChar w:fldCharType="separate"/>
    </w:r>
    <w:r>
      <w:rPr>
        <w:rFonts w:cs="Arial"/>
        <w:sz w:val="20"/>
      </w:rPr>
      <w:t>1</w:t>
    </w:r>
    <w:r>
      <w:rPr>
        <w:rFonts w:cs="Arial"/>
        <w:sz w:val="20"/>
      </w:rPr>
      <w:fldChar w:fldCharType="end"/>
    </w:r>
    <w:r>
      <w:rPr>
        <w:rFonts w:cs="Arial"/>
        <w:sz w:val="20"/>
      </w:rPr>
      <w:t xml:space="preserve"> de </w:t>
    </w:r>
    <w:fldSimple w:instr="NUMPAGES   \* MERGEFORMAT">
      <w:r>
        <w:rPr>
          <w:rFonts w:cs="Arial"/>
          <w:sz w:val="20"/>
        </w:rPr>
        <w:t>9</w:t>
      </w:r>
    </w:fldSimple>
    <w:r>
      <w:rPr>
        <w:rFonts w:cs="Arial"/>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2E7E8" w14:textId="6F30B7A3" w:rsidR="006872F4" w:rsidRPr="009626D5" w:rsidRDefault="006872F4" w:rsidP="7C9D0D1F">
    <w:pPr>
      <w:widowControl w:val="0"/>
      <w:autoSpaceDE w:val="0"/>
      <w:autoSpaceDN w:val="0"/>
      <w:spacing w:after="0" w:line="240" w:lineRule="auto"/>
      <w:ind w:left="0"/>
      <w:jc w:val="center"/>
      <w:rPr>
        <w:rFonts w:cs="Times New Roman"/>
        <w:color w:val="000000"/>
        <w:sz w:val="16"/>
        <w:szCs w:val="16"/>
        <w:lang w:val="pt-PT" w:eastAsia="en-US"/>
      </w:rPr>
    </w:pPr>
    <w:r>
      <w:br/>
    </w:r>
    <w:r>
      <w:br/>
    </w:r>
    <w:r w:rsidR="7C9D0D1F" w:rsidRPr="7C9D0D1F">
      <w:rPr>
        <w:rFonts w:cs="Times New Roman"/>
        <w:sz w:val="16"/>
        <w:szCs w:val="16"/>
        <w:lang w:val="pt-PT" w:eastAsia="en-US"/>
      </w:rPr>
      <w:t>HOSPITAL ESTADUAL DE URGÊNCIAS DE GOIÁS DR. VALDEMIRO CRUZ - HUGO</w:t>
    </w:r>
  </w:p>
  <w:p w14:paraId="30276CF3" w14:textId="77777777" w:rsidR="006872F4" w:rsidRPr="009626D5" w:rsidRDefault="7C9D0D1F" w:rsidP="7C9D0D1F">
    <w:pPr>
      <w:widowControl w:val="0"/>
      <w:autoSpaceDE w:val="0"/>
      <w:autoSpaceDN w:val="0"/>
      <w:spacing w:after="0" w:line="240" w:lineRule="auto"/>
      <w:ind w:left="0"/>
      <w:jc w:val="center"/>
      <w:rPr>
        <w:rFonts w:cs="Times New Roman"/>
        <w:i/>
        <w:iCs/>
        <w:color w:val="000000"/>
        <w:sz w:val="14"/>
        <w:szCs w:val="14"/>
        <w:lang w:val="pt-PT" w:eastAsia="en-US"/>
      </w:rPr>
    </w:pPr>
    <w:r w:rsidRPr="7C9D0D1F">
      <w:rPr>
        <w:rFonts w:cs="Times New Roman"/>
        <w:sz w:val="16"/>
        <w:szCs w:val="16"/>
        <w:lang w:val="pt-PT" w:eastAsia="en-US"/>
      </w:rPr>
      <w:t>Av. Primeira Radial, n.º 626, setor Pedro Ludovico, Goiânia/Goiás – CEP 74820-300 - Telefone +55 62 3201-4420</w:t>
    </w:r>
  </w:p>
  <w:p w14:paraId="29CEFAD3" w14:textId="60E327C1" w:rsidR="001100A4" w:rsidRDefault="001100A4" w:rsidP="00BD37B5">
    <w:pP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FD6AF" w14:textId="77777777" w:rsidR="005872CE" w:rsidRDefault="005872CE">
      <w:pPr>
        <w:spacing w:after="0" w:line="240" w:lineRule="auto"/>
      </w:pPr>
      <w:r>
        <w:separator/>
      </w:r>
    </w:p>
  </w:footnote>
  <w:footnote w:type="continuationSeparator" w:id="0">
    <w:p w14:paraId="76C5CA90" w14:textId="77777777" w:rsidR="005872CE" w:rsidRDefault="005872CE">
      <w:pPr>
        <w:spacing w:after="0" w:line="240" w:lineRule="auto"/>
      </w:pPr>
      <w:r>
        <w:continuationSeparator/>
      </w:r>
    </w:p>
  </w:footnote>
  <w:footnote w:type="continuationNotice" w:id="1">
    <w:p w14:paraId="126CF8CB" w14:textId="77777777" w:rsidR="005872CE" w:rsidRDefault="005872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CA9F9" w14:textId="77777777" w:rsidR="00A4224E" w:rsidRDefault="00EE0FC9">
    <w:pPr>
      <w:spacing w:after="0"/>
      <w:ind w:left="20"/>
      <w:jc w:val="center"/>
    </w:pPr>
    <w:r>
      <w:rPr>
        <w:rFonts w:cs="Arial"/>
        <w:b/>
        <w:sz w:val="20"/>
      </w:rPr>
      <w:t>HOSPITAL ESTADUAL DE URGÊNCIAS DE GOIÁS DR. VALDEMIRO CRUZ</w:t>
    </w:r>
    <w:r>
      <w:rPr>
        <w:rFonts w:cs="Arial"/>
      </w:rPr>
      <w:t xml:space="preserve"> </w:t>
    </w:r>
  </w:p>
  <w:p w14:paraId="2BD1A374" w14:textId="77777777" w:rsidR="00A4224E" w:rsidRDefault="00EE0FC9">
    <w:pPr>
      <w:spacing w:after="0"/>
      <w:ind w:left="32"/>
      <w:jc w:val="center"/>
    </w:pPr>
    <w:r>
      <w:rPr>
        <w:rFonts w:cs="Arial"/>
        <w:sz w:val="18"/>
      </w:rPr>
      <w:t>Av. 31 de Março, s/n - Setor Pedro Ludovico - Goiânia - Goiás - 74820-300</w:t>
    </w:r>
    <w:r>
      <w:rPr>
        <w:rFonts w:cs="Aria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ECC9B" w14:textId="096579BD" w:rsidR="006E50E0" w:rsidRPr="006E50E0" w:rsidRDefault="006E50E0" w:rsidP="006E50E0">
    <w:pPr>
      <w:spacing w:after="0" w:line="240" w:lineRule="auto"/>
      <w:ind w:left="0"/>
      <w:jc w:val="left"/>
      <w:rPr>
        <w:rFonts w:ascii="Times New Roman" w:eastAsia="Times New Roman" w:hAnsi="Times New Roman" w:cs="Times New Roman"/>
        <w:color w:val="auto"/>
      </w:rPr>
    </w:pPr>
    <w:r w:rsidRPr="006E50E0">
      <w:rPr>
        <w:noProof/>
      </w:rPr>
      <w:drawing>
        <wp:inline distT="0" distB="0" distL="0" distR="0" wp14:anchorId="0CEC3B62" wp14:editId="5CB43BC2">
          <wp:extent cx="5741670" cy="1229995"/>
          <wp:effectExtent l="0" t="0" r="0" b="825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1670" cy="1229995"/>
                  </a:xfrm>
                  <a:prstGeom prst="rect">
                    <a:avLst/>
                  </a:prstGeom>
                  <a:noFill/>
                  <a:ln>
                    <a:noFill/>
                  </a:ln>
                </pic:spPr>
              </pic:pic>
            </a:graphicData>
          </a:graphic>
        </wp:inline>
      </w:drawing>
    </w:r>
  </w:p>
  <w:p w14:paraId="0C0CAEA2" w14:textId="5F89E6CE" w:rsidR="00A4224E" w:rsidRPr="000017C9" w:rsidRDefault="00A4224E" w:rsidP="007D7EA1">
    <w:pPr>
      <w:pStyle w:val="Cabealho"/>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048AC" w14:textId="77777777" w:rsidR="00A4224E" w:rsidRDefault="00EE0FC9">
    <w:pPr>
      <w:spacing w:after="0"/>
      <w:ind w:left="20"/>
      <w:jc w:val="center"/>
    </w:pPr>
    <w:r>
      <w:rPr>
        <w:rFonts w:cs="Arial"/>
        <w:b/>
        <w:sz w:val="20"/>
      </w:rPr>
      <w:t>HOSPITAL ESTADUAL DE URGÊNCIAS DE GOIÁS DR. VALDEMIRO CRUZ</w:t>
    </w:r>
    <w:r>
      <w:rPr>
        <w:rFonts w:cs="Arial"/>
      </w:rPr>
      <w:t xml:space="preserve"> </w:t>
    </w:r>
  </w:p>
  <w:p w14:paraId="5AB0BBBC" w14:textId="77777777" w:rsidR="00A4224E" w:rsidRDefault="00EE0FC9">
    <w:pPr>
      <w:spacing w:after="0"/>
      <w:ind w:left="32"/>
      <w:jc w:val="center"/>
    </w:pPr>
    <w:r>
      <w:rPr>
        <w:rFonts w:cs="Arial"/>
        <w:sz w:val="18"/>
      </w:rPr>
      <w:t>Av. 31 de Março, s/n - Setor Pedro Ludovico - Goiânia - Goiás - 74820-300</w:t>
    </w:r>
    <w:r>
      <w:rPr>
        <w:rFonts w:cs="Arial"/>
      </w:rPr>
      <w:t xml:space="preserve"> </w:t>
    </w:r>
  </w:p>
</w:hdr>
</file>

<file path=word/intelligence2.xml><?xml version="1.0" encoding="utf-8"?>
<int2:intelligence xmlns:int2="http://schemas.microsoft.com/office/intelligence/2020/intelligence" xmlns:oel="http://schemas.microsoft.com/office/2019/extlst">
  <int2:observations>
    <int2:textHash int2:hashCode="xvRMVpF/4p2qk9" int2:id="NlmVuOuF">
      <int2:state int2:value="Rejected" int2:type="spell"/>
    </int2:textHash>
    <int2:textHash int2:hashCode="n3xO9x/55nhJgz" int2:id="S4kZm2IU">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AC589"/>
    <w:multiLevelType w:val="hybridMultilevel"/>
    <w:tmpl w:val="FFFFFFFF"/>
    <w:lvl w:ilvl="0" w:tplc="D6865B68">
      <w:start w:val="1"/>
      <w:numFmt w:val="bullet"/>
      <w:lvlText w:val=""/>
      <w:lvlJc w:val="left"/>
      <w:pPr>
        <w:ind w:left="720" w:hanging="360"/>
      </w:pPr>
      <w:rPr>
        <w:rFonts w:ascii="Symbol" w:hAnsi="Symbol" w:hint="default"/>
      </w:rPr>
    </w:lvl>
    <w:lvl w:ilvl="1" w:tplc="052CDB54">
      <w:start w:val="1"/>
      <w:numFmt w:val="bullet"/>
      <w:lvlText w:val="o"/>
      <w:lvlJc w:val="left"/>
      <w:pPr>
        <w:ind w:left="1440" w:hanging="360"/>
      </w:pPr>
      <w:rPr>
        <w:rFonts w:ascii="Courier New" w:hAnsi="Courier New" w:hint="default"/>
      </w:rPr>
    </w:lvl>
    <w:lvl w:ilvl="2" w:tplc="B74A0380">
      <w:start w:val="1"/>
      <w:numFmt w:val="bullet"/>
      <w:lvlText w:val=""/>
      <w:lvlJc w:val="left"/>
      <w:pPr>
        <w:ind w:left="2160" w:hanging="360"/>
      </w:pPr>
      <w:rPr>
        <w:rFonts w:ascii="Wingdings" w:hAnsi="Wingdings" w:hint="default"/>
      </w:rPr>
    </w:lvl>
    <w:lvl w:ilvl="3" w:tplc="7E46ACF4">
      <w:start w:val="1"/>
      <w:numFmt w:val="bullet"/>
      <w:lvlText w:val=""/>
      <w:lvlJc w:val="left"/>
      <w:pPr>
        <w:ind w:left="2880" w:hanging="360"/>
      </w:pPr>
      <w:rPr>
        <w:rFonts w:ascii="Symbol" w:hAnsi="Symbol" w:hint="default"/>
      </w:rPr>
    </w:lvl>
    <w:lvl w:ilvl="4" w:tplc="B8EE0890">
      <w:start w:val="1"/>
      <w:numFmt w:val="bullet"/>
      <w:lvlText w:val="o"/>
      <w:lvlJc w:val="left"/>
      <w:pPr>
        <w:ind w:left="3600" w:hanging="360"/>
      </w:pPr>
      <w:rPr>
        <w:rFonts w:ascii="Courier New" w:hAnsi="Courier New" w:hint="default"/>
      </w:rPr>
    </w:lvl>
    <w:lvl w:ilvl="5" w:tplc="E892D826">
      <w:start w:val="1"/>
      <w:numFmt w:val="bullet"/>
      <w:lvlText w:val=""/>
      <w:lvlJc w:val="left"/>
      <w:pPr>
        <w:ind w:left="4320" w:hanging="360"/>
      </w:pPr>
      <w:rPr>
        <w:rFonts w:ascii="Wingdings" w:hAnsi="Wingdings" w:hint="default"/>
      </w:rPr>
    </w:lvl>
    <w:lvl w:ilvl="6" w:tplc="E94E0E52">
      <w:start w:val="1"/>
      <w:numFmt w:val="bullet"/>
      <w:lvlText w:val=""/>
      <w:lvlJc w:val="left"/>
      <w:pPr>
        <w:ind w:left="5040" w:hanging="360"/>
      </w:pPr>
      <w:rPr>
        <w:rFonts w:ascii="Symbol" w:hAnsi="Symbol" w:hint="default"/>
      </w:rPr>
    </w:lvl>
    <w:lvl w:ilvl="7" w:tplc="C316CBEC">
      <w:start w:val="1"/>
      <w:numFmt w:val="bullet"/>
      <w:lvlText w:val="o"/>
      <w:lvlJc w:val="left"/>
      <w:pPr>
        <w:ind w:left="5760" w:hanging="360"/>
      </w:pPr>
      <w:rPr>
        <w:rFonts w:ascii="Courier New" w:hAnsi="Courier New" w:hint="default"/>
      </w:rPr>
    </w:lvl>
    <w:lvl w:ilvl="8" w:tplc="AACE5020">
      <w:start w:val="1"/>
      <w:numFmt w:val="bullet"/>
      <w:lvlText w:val=""/>
      <w:lvlJc w:val="left"/>
      <w:pPr>
        <w:ind w:left="6480" w:hanging="360"/>
      </w:pPr>
      <w:rPr>
        <w:rFonts w:ascii="Wingdings" w:hAnsi="Wingdings" w:hint="default"/>
      </w:rPr>
    </w:lvl>
  </w:abstractNum>
  <w:abstractNum w:abstractNumId="1" w15:restartNumberingAfterBreak="0">
    <w:nsid w:val="0325AE51"/>
    <w:multiLevelType w:val="hybridMultilevel"/>
    <w:tmpl w:val="FFFFFFFF"/>
    <w:lvl w:ilvl="0" w:tplc="7D96592C">
      <w:start w:val="1"/>
      <w:numFmt w:val="bullet"/>
      <w:lvlText w:val=""/>
      <w:lvlJc w:val="left"/>
      <w:pPr>
        <w:ind w:left="720" w:hanging="360"/>
      </w:pPr>
      <w:rPr>
        <w:rFonts w:ascii="Symbol" w:hAnsi="Symbol" w:hint="default"/>
      </w:rPr>
    </w:lvl>
    <w:lvl w:ilvl="1" w:tplc="528E82C4">
      <w:start w:val="1"/>
      <w:numFmt w:val="bullet"/>
      <w:lvlText w:val="o"/>
      <w:lvlJc w:val="left"/>
      <w:pPr>
        <w:ind w:left="1440" w:hanging="360"/>
      </w:pPr>
      <w:rPr>
        <w:rFonts w:ascii="Courier New" w:hAnsi="Courier New" w:hint="default"/>
      </w:rPr>
    </w:lvl>
    <w:lvl w:ilvl="2" w:tplc="001EE7DE">
      <w:start w:val="1"/>
      <w:numFmt w:val="bullet"/>
      <w:lvlText w:val=""/>
      <w:lvlJc w:val="left"/>
      <w:pPr>
        <w:ind w:left="2160" w:hanging="360"/>
      </w:pPr>
      <w:rPr>
        <w:rFonts w:ascii="Wingdings" w:hAnsi="Wingdings" w:hint="default"/>
      </w:rPr>
    </w:lvl>
    <w:lvl w:ilvl="3" w:tplc="E8245DDA">
      <w:start w:val="1"/>
      <w:numFmt w:val="bullet"/>
      <w:lvlText w:val=""/>
      <w:lvlJc w:val="left"/>
      <w:pPr>
        <w:ind w:left="2880" w:hanging="360"/>
      </w:pPr>
      <w:rPr>
        <w:rFonts w:ascii="Symbol" w:hAnsi="Symbol" w:hint="default"/>
      </w:rPr>
    </w:lvl>
    <w:lvl w:ilvl="4" w:tplc="FA760240">
      <w:start w:val="1"/>
      <w:numFmt w:val="bullet"/>
      <w:lvlText w:val="o"/>
      <w:lvlJc w:val="left"/>
      <w:pPr>
        <w:ind w:left="3600" w:hanging="360"/>
      </w:pPr>
      <w:rPr>
        <w:rFonts w:ascii="Courier New" w:hAnsi="Courier New" w:hint="default"/>
      </w:rPr>
    </w:lvl>
    <w:lvl w:ilvl="5" w:tplc="BF7470FE">
      <w:start w:val="1"/>
      <w:numFmt w:val="bullet"/>
      <w:lvlText w:val=""/>
      <w:lvlJc w:val="left"/>
      <w:pPr>
        <w:ind w:left="4320" w:hanging="360"/>
      </w:pPr>
      <w:rPr>
        <w:rFonts w:ascii="Wingdings" w:hAnsi="Wingdings" w:hint="default"/>
      </w:rPr>
    </w:lvl>
    <w:lvl w:ilvl="6" w:tplc="23C250EA">
      <w:start w:val="1"/>
      <w:numFmt w:val="bullet"/>
      <w:lvlText w:val=""/>
      <w:lvlJc w:val="left"/>
      <w:pPr>
        <w:ind w:left="5040" w:hanging="360"/>
      </w:pPr>
      <w:rPr>
        <w:rFonts w:ascii="Symbol" w:hAnsi="Symbol" w:hint="default"/>
      </w:rPr>
    </w:lvl>
    <w:lvl w:ilvl="7" w:tplc="AB9872A0">
      <w:start w:val="1"/>
      <w:numFmt w:val="bullet"/>
      <w:lvlText w:val="o"/>
      <w:lvlJc w:val="left"/>
      <w:pPr>
        <w:ind w:left="5760" w:hanging="360"/>
      </w:pPr>
      <w:rPr>
        <w:rFonts w:ascii="Courier New" w:hAnsi="Courier New" w:hint="default"/>
      </w:rPr>
    </w:lvl>
    <w:lvl w:ilvl="8" w:tplc="F1247B98">
      <w:start w:val="1"/>
      <w:numFmt w:val="bullet"/>
      <w:lvlText w:val=""/>
      <w:lvlJc w:val="left"/>
      <w:pPr>
        <w:ind w:left="6480" w:hanging="360"/>
      </w:pPr>
      <w:rPr>
        <w:rFonts w:ascii="Wingdings" w:hAnsi="Wingdings" w:hint="default"/>
      </w:rPr>
    </w:lvl>
  </w:abstractNum>
  <w:abstractNum w:abstractNumId="2" w15:restartNumberingAfterBreak="0">
    <w:nsid w:val="0B532DE6"/>
    <w:multiLevelType w:val="hybridMultilevel"/>
    <w:tmpl w:val="DA580E24"/>
    <w:lvl w:ilvl="0" w:tplc="BE80D1E0">
      <w:start w:val="1"/>
      <w:numFmt w:val="bullet"/>
      <w:lvlText w:val=""/>
      <w:lvlJc w:val="left"/>
      <w:pPr>
        <w:ind w:left="720" w:hanging="360"/>
      </w:pPr>
      <w:rPr>
        <w:rFonts w:ascii="Symbol" w:hAnsi="Symbol" w:hint="default"/>
      </w:rPr>
    </w:lvl>
    <w:lvl w:ilvl="1" w:tplc="FEB4CCA2">
      <w:start w:val="1"/>
      <w:numFmt w:val="bullet"/>
      <w:lvlText w:val="o"/>
      <w:lvlJc w:val="left"/>
      <w:pPr>
        <w:ind w:left="1440" w:hanging="360"/>
      </w:pPr>
      <w:rPr>
        <w:rFonts w:ascii="Courier New" w:hAnsi="Courier New" w:hint="default"/>
      </w:rPr>
    </w:lvl>
    <w:lvl w:ilvl="2" w:tplc="F69EBE78">
      <w:start w:val="1"/>
      <w:numFmt w:val="bullet"/>
      <w:lvlText w:val=""/>
      <w:lvlJc w:val="left"/>
      <w:pPr>
        <w:ind w:left="2160" w:hanging="360"/>
      </w:pPr>
      <w:rPr>
        <w:rFonts w:ascii="Wingdings" w:hAnsi="Wingdings" w:hint="default"/>
      </w:rPr>
    </w:lvl>
    <w:lvl w:ilvl="3" w:tplc="786C37BC">
      <w:start w:val="1"/>
      <w:numFmt w:val="bullet"/>
      <w:lvlText w:val=""/>
      <w:lvlJc w:val="left"/>
      <w:pPr>
        <w:ind w:left="2880" w:hanging="360"/>
      </w:pPr>
      <w:rPr>
        <w:rFonts w:ascii="Symbol" w:hAnsi="Symbol" w:hint="default"/>
      </w:rPr>
    </w:lvl>
    <w:lvl w:ilvl="4" w:tplc="A4945D40">
      <w:start w:val="1"/>
      <w:numFmt w:val="bullet"/>
      <w:lvlText w:val="o"/>
      <w:lvlJc w:val="left"/>
      <w:pPr>
        <w:ind w:left="3600" w:hanging="360"/>
      </w:pPr>
      <w:rPr>
        <w:rFonts w:ascii="Courier New" w:hAnsi="Courier New" w:hint="default"/>
      </w:rPr>
    </w:lvl>
    <w:lvl w:ilvl="5" w:tplc="E60AB346">
      <w:start w:val="1"/>
      <w:numFmt w:val="bullet"/>
      <w:lvlText w:val=""/>
      <w:lvlJc w:val="left"/>
      <w:pPr>
        <w:ind w:left="4320" w:hanging="360"/>
      </w:pPr>
      <w:rPr>
        <w:rFonts w:ascii="Wingdings" w:hAnsi="Wingdings" w:hint="default"/>
      </w:rPr>
    </w:lvl>
    <w:lvl w:ilvl="6" w:tplc="03868CD6">
      <w:start w:val="1"/>
      <w:numFmt w:val="bullet"/>
      <w:lvlText w:val=""/>
      <w:lvlJc w:val="left"/>
      <w:pPr>
        <w:ind w:left="5040" w:hanging="360"/>
      </w:pPr>
      <w:rPr>
        <w:rFonts w:ascii="Symbol" w:hAnsi="Symbol" w:hint="default"/>
      </w:rPr>
    </w:lvl>
    <w:lvl w:ilvl="7" w:tplc="7D9AED3A">
      <w:start w:val="1"/>
      <w:numFmt w:val="bullet"/>
      <w:lvlText w:val="o"/>
      <w:lvlJc w:val="left"/>
      <w:pPr>
        <w:ind w:left="5760" w:hanging="360"/>
      </w:pPr>
      <w:rPr>
        <w:rFonts w:ascii="Courier New" w:hAnsi="Courier New" w:hint="default"/>
      </w:rPr>
    </w:lvl>
    <w:lvl w:ilvl="8" w:tplc="81562D96">
      <w:start w:val="1"/>
      <w:numFmt w:val="bullet"/>
      <w:lvlText w:val=""/>
      <w:lvlJc w:val="left"/>
      <w:pPr>
        <w:ind w:left="6480" w:hanging="360"/>
      </w:pPr>
      <w:rPr>
        <w:rFonts w:ascii="Wingdings" w:hAnsi="Wingdings" w:hint="default"/>
      </w:rPr>
    </w:lvl>
  </w:abstractNum>
  <w:abstractNum w:abstractNumId="3" w15:restartNumberingAfterBreak="0">
    <w:nsid w:val="0BB38B8C"/>
    <w:multiLevelType w:val="hybridMultilevel"/>
    <w:tmpl w:val="6DC2266C"/>
    <w:lvl w:ilvl="0" w:tplc="57408B94">
      <w:start w:val="1"/>
      <w:numFmt w:val="bullet"/>
      <w:lvlText w:val="·"/>
      <w:lvlJc w:val="left"/>
      <w:pPr>
        <w:ind w:left="720" w:hanging="360"/>
      </w:pPr>
      <w:rPr>
        <w:rFonts w:ascii="Symbol" w:hAnsi="Symbol" w:hint="default"/>
      </w:rPr>
    </w:lvl>
    <w:lvl w:ilvl="1" w:tplc="164256E6">
      <w:start w:val="1"/>
      <w:numFmt w:val="bullet"/>
      <w:lvlText w:val="o"/>
      <w:lvlJc w:val="left"/>
      <w:pPr>
        <w:ind w:left="1440" w:hanging="360"/>
      </w:pPr>
      <w:rPr>
        <w:rFonts w:ascii="Courier New" w:hAnsi="Courier New" w:hint="default"/>
      </w:rPr>
    </w:lvl>
    <w:lvl w:ilvl="2" w:tplc="19E00084">
      <w:start w:val="1"/>
      <w:numFmt w:val="bullet"/>
      <w:lvlText w:val=""/>
      <w:lvlJc w:val="left"/>
      <w:pPr>
        <w:ind w:left="2160" w:hanging="360"/>
      </w:pPr>
      <w:rPr>
        <w:rFonts w:ascii="Wingdings" w:hAnsi="Wingdings" w:hint="default"/>
      </w:rPr>
    </w:lvl>
    <w:lvl w:ilvl="3" w:tplc="294E180A">
      <w:start w:val="1"/>
      <w:numFmt w:val="bullet"/>
      <w:lvlText w:val=""/>
      <w:lvlJc w:val="left"/>
      <w:pPr>
        <w:ind w:left="2880" w:hanging="360"/>
      </w:pPr>
      <w:rPr>
        <w:rFonts w:ascii="Symbol" w:hAnsi="Symbol" w:hint="default"/>
      </w:rPr>
    </w:lvl>
    <w:lvl w:ilvl="4" w:tplc="832EF8F4">
      <w:start w:val="1"/>
      <w:numFmt w:val="bullet"/>
      <w:lvlText w:val="o"/>
      <w:lvlJc w:val="left"/>
      <w:pPr>
        <w:ind w:left="3600" w:hanging="360"/>
      </w:pPr>
      <w:rPr>
        <w:rFonts w:ascii="Courier New" w:hAnsi="Courier New" w:hint="default"/>
      </w:rPr>
    </w:lvl>
    <w:lvl w:ilvl="5" w:tplc="602020A8">
      <w:start w:val="1"/>
      <w:numFmt w:val="bullet"/>
      <w:lvlText w:val=""/>
      <w:lvlJc w:val="left"/>
      <w:pPr>
        <w:ind w:left="4320" w:hanging="360"/>
      </w:pPr>
      <w:rPr>
        <w:rFonts w:ascii="Wingdings" w:hAnsi="Wingdings" w:hint="default"/>
      </w:rPr>
    </w:lvl>
    <w:lvl w:ilvl="6" w:tplc="157823DE">
      <w:start w:val="1"/>
      <w:numFmt w:val="bullet"/>
      <w:lvlText w:val=""/>
      <w:lvlJc w:val="left"/>
      <w:pPr>
        <w:ind w:left="5040" w:hanging="360"/>
      </w:pPr>
      <w:rPr>
        <w:rFonts w:ascii="Symbol" w:hAnsi="Symbol" w:hint="default"/>
      </w:rPr>
    </w:lvl>
    <w:lvl w:ilvl="7" w:tplc="44FE2788">
      <w:start w:val="1"/>
      <w:numFmt w:val="bullet"/>
      <w:lvlText w:val="o"/>
      <w:lvlJc w:val="left"/>
      <w:pPr>
        <w:ind w:left="5760" w:hanging="360"/>
      </w:pPr>
      <w:rPr>
        <w:rFonts w:ascii="Courier New" w:hAnsi="Courier New" w:hint="default"/>
      </w:rPr>
    </w:lvl>
    <w:lvl w:ilvl="8" w:tplc="F03010EC">
      <w:start w:val="1"/>
      <w:numFmt w:val="bullet"/>
      <w:lvlText w:val=""/>
      <w:lvlJc w:val="left"/>
      <w:pPr>
        <w:ind w:left="6480" w:hanging="360"/>
      </w:pPr>
      <w:rPr>
        <w:rFonts w:ascii="Wingdings" w:hAnsi="Wingdings" w:hint="default"/>
      </w:rPr>
    </w:lvl>
  </w:abstractNum>
  <w:abstractNum w:abstractNumId="4" w15:restartNumberingAfterBreak="0">
    <w:nsid w:val="0F962E13"/>
    <w:multiLevelType w:val="hybridMultilevel"/>
    <w:tmpl w:val="EA24F7C2"/>
    <w:lvl w:ilvl="0" w:tplc="63841C96">
      <w:start w:val="1"/>
      <w:numFmt w:val="decimal"/>
      <w:lvlText w:val="•"/>
      <w:lvlJc w:val="left"/>
      <w:pPr>
        <w:ind w:left="720" w:hanging="360"/>
      </w:pPr>
    </w:lvl>
    <w:lvl w:ilvl="1" w:tplc="EFDEDEF6">
      <w:start w:val="1"/>
      <w:numFmt w:val="lowerLetter"/>
      <w:lvlText w:val="%2."/>
      <w:lvlJc w:val="left"/>
      <w:pPr>
        <w:ind w:left="1440" w:hanging="360"/>
      </w:pPr>
    </w:lvl>
    <w:lvl w:ilvl="2" w:tplc="14D21776">
      <w:start w:val="1"/>
      <w:numFmt w:val="lowerRoman"/>
      <w:lvlText w:val="%3."/>
      <w:lvlJc w:val="right"/>
      <w:pPr>
        <w:ind w:left="2160" w:hanging="180"/>
      </w:pPr>
    </w:lvl>
    <w:lvl w:ilvl="3" w:tplc="508A1254">
      <w:start w:val="1"/>
      <w:numFmt w:val="decimal"/>
      <w:lvlText w:val="%4."/>
      <w:lvlJc w:val="left"/>
      <w:pPr>
        <w:ind w:left="2880" w:hanging="360"/>
      </w:pPr>
    </w:lvl>
    <w:lvl w:ilvl="4" w:tplc="8E385CCA">
      <w:start w:val="1"/>
      <w:numFmt w:val="lowerLetter"/>
      <w:lvlText w:val="%5."/>
      <w:lvlJc w:val="left"/>
      <w:pPr>
        <w:ind w:left="3600" w:hanging="360"/>
      </w:pPr>
    </w:lvl>
    <w:lvl w:ilvl="5" w:tplc="3A761D14">
      <w:start w:val="1"/>
      <w:numFmt w:val="lowerRoman"/>
      <w:lvlText w:val="%6."/>
      <w:lvlJc w:val="right"/>
      <w:pPr>
        <w:ind w:left="4320" w:hanging="180"/>
      </w:pPr>
    </w:lvl>
    <w:lvl w:ilvl="6" w:tplc="118C8AF4">
      <w:start w:val="1"/>
      <w:numFmt w:val="decimal"/>
      <w:lvlText w:val="%7."/>
      <w:lvlJc w:val="left"/>
      <w:pPr>
        <w:ind w:left="5040" w:hanging="360"/>
      </w:pPr>
    </w:lvl>
    <w:lvl w:ilvl="7" w:tplc="2664113A">
      <w:start w:val="1"/>
      <w:numFmt w:val="lowerLetter"/>
      <w:lvlText w:val="%8."/>
      <w:lvlJc w:val="left"/>
      <w:pPr>
        <w:ind w:left="5760" w:hanging="360"/>
      </w:pPr>
    </w:lvl>
    <w:lvl w:ilvl="8" w:tplc="6342464E">
      <w:start w:val="1"/>
      <w:numFmt w:val="lowerRoman"/>
      <w:lvlText w:val="%9."/>
      <w:lvlJc w:val="right"/>
      <w:pPr>
        <w:ind w:left="6480" w:hanging="180"/>
      </w:pPr>
    </w:lvl>
  </w:abstractNum>
  <w:abstractNum w:abstractNumId="5" w15:restartNumberingAfterBreak="0">
    <w:nsid w:val="11242A54"/>
    <w:multiLevelType w:val="hybridMultilevel"/>
    <w:tmpl w:val="AFDADDBE"/>
    <w:lvl w:ilvl="0" w:tplc="51F2009A">
      <w:start w:val="1"/>
      <w:numFmt w:val="bullet"/>
      <w:lvlText w:val="·"/>
      <w:lvlJc w:val="left"/>
      <w:pPr>
        <w:ind w:left="720" w:hanging="360"/>
      </w:pPr>
      <w:rPr>
        <w:rFonts w:ascii="Symbol" w:hAnsi="Symbol" w:hint="default"/>
      </w:rPr>
    </w:lvl>
    <w:lvl w:ilvl="1" w:tplc="6852AB66">
      <w:start w:val="1"/>
      <w:numFmt w:val="bullet"/>
      <w:lvlText w:val="o"/>
      <w:lvlJc w:val="left"/>
      <w:pPr>
        <w:ind w:left="1440" w:hanging="360"/>
      </w:pPr>
      <w:rPr>
        <w:rFonts w:ascii="Courier New" w:hAnsi="Courier New" w:hint="default"/>
      </w:rPr>
    </w:lvl>
    <w:lvl w:ilvl="2" w:tplc="D90891CC">
      <w:start w:val="1"/>
      <w:numFmt w:val="bullet"/>
      <w:lvlText w:val=""/>
      <w:lvlJc w:val="left"/>
      <w:pPr>
        <w:ind w:left="2160" w:hanging="360"/>
      </w:pPr>
      <w:rPr>
        <w:rFonts w:ascii="Wingdings" w:hAnsi="Wingdings" w:hint="default"/>
      </w:rPr>
    </w:lvl>
    <w:lvl w:ilvl="3" w:tplc="C2189BF6">
      <w:start w:val="1"/>
      <w:numFmt w:val="bullet"/>
      <w:lvlText w:val=""/>
      <w:lvlJc w:val="left"/>
      <w:pPr>
        <w:ind w:left="2880" w:hanging="360"/>
      </w:pPr>
      <w:rPr>
        <w:rFonts w:ascii="Symbol" w:hAnsi="Symbol" w:hint="default"/>
      </w:rPr>
    </w:lvl>
    <w:lvl w:ilvl="4" w:tplc="C0422D60">
      <w:start w:val="1"/>
      <w:numFmt w:val="bullet"/>
      <w:lvlText w:val="o"/>
      <w:lvlJc w:val="left"/>
      <w:pPr>
        <w:ind w:left="3600" w:hanging="360"/>
      </w:pPr>
      <w:rPr>
        <w:rFonts w:ascii="Courier New" w:hAnsi="Courier New" w:hint="default"/>
      </w:rPr>
    </w:lvl>
    <w:lvl w:ilvl="5" w:tplc="38300078">
      <w:start w:val="1"/>
      <w:numFmt w:val="bullet"/>
      <w:lvlText w:val=""/>
      <w:lvlJc w:val="left"/>
      <w:pPr>
        <w:ind w:left="4320" w:hanging="360"/>
      </w:pPr>
      <w:rPr>
        <w:rFonts w:ascii="Wingdings" w:hAnsi="Wingdings" w:hint="default"/>
      </w:rPr>
    </w:lvl>
    <w:lvl w:ilvl="6" w:tplc="3BD83E10">
      <w:start w:val="1"/>
      <w:numFmt w:val="bullet"/>
      <w:lvlText w:val=""/>
      <w:lvlJc w:val="left"/>
      <w:pPr>
        <w:ind w:left="5040" w:hanging="360"/>
      </w:pPr>
      <w:rPr>
        <w:rFonts w:ascii="Symbol" w:hAnsi="Symbol" w:hint="default"/>
      </w:rPr>
    </w:lvl>
    <w:lvl w:ilvl="7" w:tplc="46AA792E">
      <w:start w:val="1"/>
      <w:numFmt w:val="bullet"/>
      <w:lvlText w:val="o"/>
      <w:lvlJc w:val="left"/>
      <w:pPr>
        <w:ind w:left="5760" w:hanging="360"/>
      </w:pPr>
      <w:rPr>
        <w:rFonts w:ascii="Courier New" w:hAnsi="Courier New" w:hint="default"/>
      </w:rPr>
    </w:lvl>
    <w:lvl w:ilvl="8" w:tplc="3460909E">
      <w:start w:val="1"/>
      <w:numFmt w:val="bullet"/>
      <w:lvlText w:val=""/>
      <w:lvlJc w:val="left"/>
      <w:pPr>
        <w:ind w:left="6480" w:hanging="360"/>
      </w:pPr>
      <w:rPr>
        <w:rFonts w:ascii="Wingdings" w:hAnsi="Wingdings" w:hint="default"/>
      </w:rPr>
    </w:lvl>
  </w:abstractNum>
  <w:abstractNum w:abstractNumId="6" w15:restartNumberingAfterBreak="0">
    <w:nsid w:val="11A73DEE"/>
    <w:multiLevelType w:val="hybridMultilevel"/>
    <w:tmpl w:val="48486006"/>
    <w:lvl w:ilvl="0" w:tplc="3B08F85A">
      <w:start w:val="1"/>
      <w:numFmt w:val="bullet"/>
      <w:lvlText w:val="·"/>
      <w:lvlJc w:val="left"/>
      <w:pPr>
        <w:ind w:left="720" w:hanging="360"/>
      </w:pPr>
      <w:rPr>
        <w:rFonts w:ascii="Symbol" w:hAnsi="Symbol" w:hint="default"/>
      </w:rPr>
    </w:lvl>
    <w:lvl w:ilvl="1" w:tplc="26260764">
      <w:start w:val="1"/>
      <w:numFmt w:val="bullet"/>
      <w:lvlText w:val="o"/>
      <w:lvlJc w:val="left"/>
      <w:pPr>
        <w:ind w:left="1440" w:hanging="360"/>
      </w:pPr>
      <w:rPr>
        <w:rFonts w:ascii="Courier New" w:hAnsi="Courier New" w:hint="default"/>
      </w:rPr>
    </w:lvl>
    <w:lvl w:ilvl="2" w:tplc="079A0040">
      <w:start w:val="1"/>
      <w:numFmt w:val="bullet"/>
      <w:lvlText w:val=""/>
      <w:lvlJc w:val="left"/>
      <w:pPr>
        <w:ind w:left="2160" w:hanging="360"/>
      </w:pPr>
      <w:rPr>
        <w:rFonts w:ascii="Wingdings" w:hAnsi="Wingdings" w:hint="default"/>
      </w:rPr>
    </w:lvl>
    <w:lvl w:ilvl="3" w:tplc="ED4AE3D0">
      <w:start w:val="1"/>
      <w:numFmt w:val="bullet"/>
      <w:lvlText w:val=""/>
      <w:lvlJc w:val="left"/>
      <w:pPr>
        <w:ind w:left="2880" w:hanging="360"/>
      </w:pPr>
      <w:rPr>
        <w:rFonts w:ascii="Symbol" w:hAnsi="Symbol" w:hint="default"/>
      </w:rPr>
    </w:lvl>
    <w:lvl w:ilvl="4" w:tplc="2854678A">
      <w:start w:val="1"/>
      <w:numFmt w:val="bullet"/>
      <w:lvlText w:val="o"/>
      <w:lvlJc w:val="left"/>
      <w:pPr>
        <w:ind w:left="3600" w:hanging="360"/>
      </w:pPr>
      <w:rPr>
        <w:rFonts w:ascii="Courier New" w:hAnsi="Courier New" w:hint="default"/>
      </w:rPr>
    </w:lvl>
    <w:lvl w:ilvl="5" w:tplc="9920D728">
      <w:start w:val="1"/>
      <w:numFmt w:val="bullet"/>
      <w:lvlText w:val=""/>
      <w:lvlJc w:val="left"/>
      <w:pPr>
        <w:ind w:left="4320" w:hanging="360"/>
      </w:pPr>
      <w:rPr>
        <w:rFonts w:ascii="Wingdings" w:hAnsi="Wingdings" w:hint="default"/>
      </w:rPr>
    </w:lvl>
    <w:lvl w:ilvl="6" w:tplc="C86ED5BA">
      <w:start w:val="1"/>
      <w:numFmt w:val="bullet"/>
      <w:lvlText w:val=""/>
      <w:lvlJc w:val="left"/>
      <w:pPr>
        <w:ind w:left="5040" w:hanging="360"/>
      </w:pPr>
      <w:rPr>
        <w:rFonts w:ascii="Symbol" w:hAnsi="Symbol" w:hint="default"/>
      </w:rPr>
    </w:lvl>
    <w:lvl w:ilvl="7" w:tplc="CC5A3AA0">
      <w:start w:val="1"/>
      <w:numFmt w:val="bullet"/>
      <w:lvlText w:val="o"/>
      <w:lvlJc w:val="left"/>
      <w:pPr>
        <w:ind w:left="5760" w:hanging="360"/>
      </w:pPr>
      <w:rPr>
        <w:rFonts w:ascii="Courier New" w:hAnsi="Courier New" w:hint="default"/>
      </w:rPr>
    </w:lvl>
    <w:lvl w:ilvl="8" w:tplc="5AF02200">
      <w:start w:val="1"/>
      <w:numFmt w:val="bullet"/>
      <w:lvlText w:val=""/>
      <w:lvlJc w:val="left"/>
      <w:pPr>
        <w:ind w:left="6480" w:hanging="360"/>
      </w:pPr>
      <w:rPr>
        <w:rFonts w:ascii="Wingdings" w:hAnsi="Wingdings" w:hint="default"/>
      </w:rPr>
    </w:lvl>
  </w:abstractNum>
  <w:abstractNum w:abstractNumId="7" w15:restartNumberingAfterBreak="0">
    <w:nsid w:val="18C0B8CC"/>
    <w:multiLevelType w:val="hybridMultilevel"/>
    <w:tmpl w:val="FFFFFFFF"/>
    <w:lvl w:ilvl="0" w:tplc="5F92ED8C">
      <w:start w:val="1"/>
      <w:numFmt w:val="bullet"/>
      <w:lvlText w:val=""/>
      <w:lvlJc w:val="left"/>
      <w:pPr>
        <w:ind w:left="720" w:hanging="360"/>
      </w:pPr>
      <w:rPr>
        <w:rFonts w:ascii="Symbol" w:hAnsi="Symbol" w:hint="default"/>
      </w:rPr>
    </w:lvl>
    <w:lvl w:ilvl="1" w:tplc="C158C274">
      <w:start w:val="1"/>
      <w:numFmt w:val="bullet"/>
      <w:lvlText w:val="o"/>
      <w:lvlJc w:val="left"/>
      <w:pPr>
        <w:ind w:left="1440" w:hanging="360"/>
      </w:pPr>
      <w:rPr>
        <w:rFonts w:ascii="Courier New" w:hAnsi="Courier New" w:hint="default"/>
      </w:rPr>
    </w:lvl>
    <w:lvl w:ilvl="2" w:tplc="5F2CA7F2">
      <w:start w:val="1"/>
      <w:numFmt w:val="bullet"/>
      <w:lvlText w:val=""/>
      <w:lvlJc w:val="left"/>
      <w:pPr>
        <w:ind w:left="2160" w:hanging="360"/>
      </w:pPr>
      <w:rPr>
        <w:rFonts w:ascii="Wingdings" w:hAnsi="Wingdings" w:hint="default"/>
      </w:rPr>
    </w:lvl>
    <w:lvl w:ilvl="3" w:tplc="577EF4F4">
      <w:start w:val="1"/>
      <w:numFmt w:val="bullet"/>
      <w:lvlText w:val=""/>
      <w:lvlJc w:val="left"/>
      <w:pPr>
        <w:ind w:left="2880" w:hanging="360"/>
      </w:pPr>
      <w:rPr>
        <w:rFonts w:ascii="Symbol" w:hAnsi="Symbol" w:hint="default"/>
      </w:rPr>
    </w:lvl>
    <w:lvl w:ilvl="4" w:tplc="BECACE7C">
      <w:start w:val="1"/>
      <w:numFmt w:val="bullet"/>
      <w:lvlText w:val="o"/>
      <w:lvlJc w:val="left"/>
      <w:pPr>
        <w:ind w:left="3600" w:hanging="360"/>
      </w:pPr>
      <w:rPr>
        <w:rFonts w:ascii="Courier New" w:hAnsi="Courier New" w:hint="default"/>
      </w:rPr>
    </w:lvl>
    <w:lvl w:ilvl="5" w:tplc="EDB6E072">
      <w:start w:val="1"/>
      <w:numFmt w:val="bullet"/>
      <w:lvlText w:val=""/>
      <w:lvlJc w:val="left"/>
      <w:pPr>
        <w:ind w:left="4320" w:hanging="360"/>
      </w:pPr>
      <w:rPr>
        <w:rFonts w:ascii="Wingdings" w:hAnsi="Wingdings" w:hint="default"/>
      </w:rPr>
    </w:lvl>
    <w:lvl w:ilvl="6" w:tplc="0E961546">
      <w:start w:val="1"/>
      <w:numFmt w:val="bullet"/>
      <w:lvlText w:val=""/>
      <w:lvlJc w:val="left"/>
      <w:pPr>
        <w:ind w:left="5040" w:hanging="360"/>
      </w:pPr>
      <w:rPr>
        <w:rFonts w:ascii="Symbol" w:hAnsi="Symbol" w:hint="default"/>
      </w:rPr>
    </w:lvl>
    <w:lvl w:ilvl="7" w:tplc="6772FE82">
      <w:start w:val="1"/>
      <w:numFmt w:val="bullet"/>
      <w:lvlText w:val="o"/>
      <w:lvlJc w:val="left"/>
      <w:pPr>
        <w:ind w:left="5760" w:hanging="360"/>
      </w:pPr>
      <w:rPr>
        <w:rFonts w:ascii="Courier New" w:hAnsi="Courier New" w:hint="default"/>
      </w:rPr>
    </w:lvl>
    <w:lvl w:ilvl="8" w:tplc="55F862B8">
      <w:start w:val="1"/>
      <w:numFmt w:val="bullet"/>
      <w:lvlText w:val=""/>
      <w:lvlJc w:val="left"/>
      <w:pPr>
        <w:ind w:left="6480" w:hanging="360"/>
      </w:pPr>
      <w:rPr>
        <w:rFonts w:ascii="Wingdings" w:hAnsi="Wingdings" w:hint="default"/>
      </w:rPr>
    </w:lvl>
  </w:abstractNum>
  <w:abstractNum w:abstractNumId="8" w15:restartNumberingAfterBreak="0">
    <w:nsid w:val="1EC6F1B3"/>
    <w:multiLevelType w:val="hybridMultilevel"/>
    <w:tmpl w:val="FFFFFFFF"/>
    <w:lvl w:ilvl="0" w:tplc="4C0CC284">
      <w:start w:val="1"/>
      <w:numFmt w:val="bullet"/>
      <w:lvlText w:val=""/>
      <w:lvlJc w:val="left"/>
      <w:pPr>
        <w:ind w:left="720" w:hanging="360"/>
      </w:pPr>
      <w:rPr>
        <w:rFonts w:ascii="Symbol" w:hAnsi="Symbol" w:hint="default"/>
      </w:rPr>
    </w:lvl>
    <w:lvl w:ilvl="1" w:tplc="FA1EE47A">
      <w:start w:val="1"/>
      <w:numFmt w:val="bullet"/>
      <w:lvlText w:val="o"/>
      <w:lvlJc w:val="left"/>
      <w:pPr>
        <w:ind w:left="1440" w:hanging="360"/>
      </w:pPr>
      <w:rPr>
        <w:rFonts w:ascii="Courier New" w:hAnsi="Courier New" w:hint="default"/>
      </w:rPr>
    </w:lvl>
    <w:lvl w:ilvl="2" w:tplc="D9D0BF7A">
      <w:start w:val="1"/>
      <w:numFmt w:val="bullet"/>
      <w:lvlText w:val=""/>
      <w:lvlJc w:val="left"/>
      <w:pPr>
        <w:ind w:left="2160" w:hanging="360"/>
      </w:pPr>
      <w:rPr>
        <w:rFonts w:ascii="Wingdings" w:hAnsi="Wingdings" w:hint="default"/>
      </w:rPr>
    </w:lvl>
    <w:lvl w:ilvl="3" w:tplc="4420DD0E">
      <w:start w:val="1"/>
      <w:numFmt w:val="bullet"/>
      <w:lvlText w:val=""/>
      <w:lvlJc w:val="left"/>
      <w:pPr>
        <w:ind w:left="2880" w:hanging="360"/>
      </w:pPr>
      <w:rPr>
        <w:rFonts w:ascii="Symbol" w:hAnsi="Symbol" w:hint="default"/>
      </w:rPr>
    </w:lvl>
    <w:lvl w:ilvl="4" w:tplc="1EB0B98A">
      <w:start w:val="1"/>
      <w:numFmt w:val="bullet"/>
      <w:lvlText w:val="o"/>
      <w:lvlJc w:val="left"/>
      <w:pPr>
        <w:ind w:left="3600" w:hanging="360"/>
      </w:pPr>
      <w:rPr>
        <w:rFonts w:ascii="Courier New" w:hAnsi="Courier New" w:hint="default"/>
      </w:rPr>
    </w:lvl>
    <w:lvl w:ilvl="5" w:tplc="8BDC2008">
      <w:start w:val="1"/>
      <w:numFmt w:val="bullet"/>
      <w:lvlText w:val=""/>
      <w:lvlJc w:val="left"/>
      <w:pPr>
        <w:ind w:left="4320" w:hanging="360"/>
      </w:pPr>
      <w:rPr>
        <w:rFonts w:ascii="Wingdings" w:hAnsi="Wingdings" w:hint="default"/>
      </w:rPr>
    </w:lvl>
    <w:lvl w:ilvl="6" w:tplc="23A85E20">
      <w:start w:val="1"/>
      <w:numFmt w:val="bullet"/>
      <w:lvlText w:val=""/>
      <w:lvlJc w:val="left"/>
      <w:pPr>
        <w:ind w:left="5040" w:hanging="360"/>
      </w:pPr>
      <w:rPr>
        <w:rFonts w:ascii="Symbol" w:hAnsi="Symbol" w:hint="default"/>
      </w:rPr>
    </w:lvl>
    <w:lvl w:ilvl="7" w:tplc="54DAC5FC">
      <w:start w:val="1"/>
      <w:numFmt w:val="bullet"/>
      <w:lvlText w:val="o"/>
      <w:lvlJc w:val="left"/>
      <w:pPr>
        <w:ind w:left="5760" w:hanging="360"/>
      </w:pPr>
      <w:rPr>
        <w:rFonts w:ascii="Courier New" w:hAnsi="Courier New" w:hint="default"/>
      </w:rPr>
    </w:lvl>
    <w:lvl w:ilvl="8" w:tplc="0E203D1A">
      <w:start w:val="1"/>
      <w:numFmt w:val="bullet"/>
      <w:lvlText w:val=""/>
      <w:lvlJc w:val="left"/>
      <w:pPr>
        <w:ind w:left="6480" w:hanging="360"/>
      </w:pPr>
      <w:rPr>
        <w:rFonts w:ascii="Wingdings" w:hAnsi="Wingdings" w:hint="default"/>
      </w:rPr>
    </w:lvl>
  </w:abstractNum>
  <w:abstractNum w:abstractNumId="9" w15:restartNumberingAfterBreak="0">
    <w:nsid w:val="25791FA0"/>
    <w:multiLevelType w:val="hybridMultilevel"/>
    <w:tmpl w:val="FFFFFFFF"/>
    <w:lvl w:ilvl="0" w:tplc="3FAAE9EC">
      <w:start w:val="1"/>
      <w:numFmt w:val="bullet"/>
      <w:lvlText w:val=""/>
      <w:lvlJc w:val="left"/>
      <w:pPr>
        <w:ind w:left="720" w:hanging="360"/>
      </w:pPr>
      <w:rPr>
        <w:rFonts w:ascii="Symbol" w:hAnsi="Symbol" w:hint="default"/>
      </w:rPr>
    </w:lvl>
    <w:lvl w:ilvl="1" w:tplc="CA78F146">
      <w:start w:val="1"/>
      <w:numFmt w:val="bullet"/>
      <w:lvlText w:val="o"/>
      <w:lvlJc w:val="left"/>
      <w:pPr>
        <w:ind w:left="1440" w:hanging="360"/>
      </w:pPr>
      <w:rPr>
        <w:rFonts w:ascii="Courier New" w:hAnsi="Courier New" w:hint="default"/>
      </w:rPr>
    </w:lvl>
    <w:lvl w:ilvl="2" w:tplc="C53077A2">
      <w:start w:val="1"/>
      <w:numFmt w:val="bullet"/>
      <w:lvlText w:val=""/>
      <w:lvlJc w:val="left"/>
      <w:pPr>
        <w:ind w:left="2160" w:hanging="360"/>
      </w:pPr>
      <w:rPr>
        <w:rFonts w:ascii="Wingdings" w:hAnsi="Wingdings" w:hint="default"/>
      </w:rPr>
    </w:lvl>
    <w:lvl w:ilvl="3" w:tplc="030C60F0">
      <w:start w:val="1"/>
      <w:numFmt w:val="bullet"/>
      <w:lvlText w:val=""/>
      <w:lvlJc w:val="left"/>
      <w:pPr>
        <w:ind w:left="2880" w:hanging="360"/>
      </w:pPr>
      <w:rPr>
        <w:rFonts w:ascii="Symbol" w:hAnsi="Symbol" w:hint="default"/>
      </w:rPr>
    </w:lvl>
    <w:lvl w:ilvl="4" w:tplc="4F7CDD78">
      <w:start w:val="1"/>
      <w:numFmt w:val="bullet"/>
      <w:lvlText w:val="o"/>
      <w:lvlJc w:val="left"/>
      <w:pPr>
        <w:ind w:left="3600" w:hanging="360"/>
      </w:pPr>
      <w:rPr>
        <w:rFonts w:ascii="Courier New" w:hAnsi="Courier New" w:hint="default"/>
      </w:rPr>
    </w:lvl>
    <w:lvl w:ilvl="5" w:tplc="C9B8300C">
      <w:start w:val="1"/>
      <w:numFmt w:val="bullet"/>
      <w:lvlText w:val=""/>
      <w:lvlJc w:val="left"/>
      <w:pPr>
        <w:ind w:left="4320" w:hanging="360"/>
      </w:pPr>
      <w:rPr>
        <w:rFonts w:ascii="Wingdings" w:hAnsi="Wingdings" w:hint="default"/>
      </w:rPr>
    </w:lvl>
    <w:lvl w:ilvl="6" w:tplc="A4666CA0">
      <w:start w:val="1"/>
      <w:numFmt w:val="bullet"/>
      <w:lvlText w:val=""/>
      <w:lvlJc w:val="left"/>
      <w:pPr>
        <w:ind w:left="5040" w:hanging="360"/>
      </w:pPr>
      <w:rPr>
        <w:rFonts w:ascii="Symbol" w:hAnsi="Symbol" w:hint="default"/>
      </w:rPr>
    </w:lvl>
    <w:lvl w:ilvl="7" w:tplc="9F18E7C0">
      <w:start w:val="1"/>
      <w:numFmt w:val="bullet"/>
      <w:lvlText w:val="o"/>
      <w:lvlJc w:val="left"/>
      <w:pPr>
        <w:ind w:left="5760" w:hanging="360"/>
      </w:pPr>
      <w:rPr>
        <w:rFonts w:ascii="Courier New" w:hAnsi="Courier New" w:hint="default"/>
      </w:rPr>
    </w:lvl>
    <w:lvl w:ilvl="8" w:tplc="3B2ED602">
      <w:start w:val="1"/>
      <w:numFmt w:val="bullet"/>
      <w:lvlText w:val=""/>
      <w:lvlJc w:val="left"/>
      <w:pPr>
        <w:ind w:left="6480" w:hanging="360"/>
      </w:pPr>
      <w:rPr>
        <w:rFonts w:ascii="Wingdings" w:hAnsi="Wingdings" w:hint="default"/>
      </w:rPr>
    </w:lvl>
  </w:abstractNum>
  <w:abstractNum w:abstractNumId="10" w15:restartNumberingAfterBreak="0">
    <w:nsid w:val="259C958F"/>
    <w:multiLevelType w:val="hybridMultilevel"/>
    <w:tmpl w:val="9462DC0A"/>
    <w:lvl w:ilvl="0" w:tplc="E7BCC63E">
      <w:start w:val="1"/>
      <w:numFmt w:val="bullet"/>
      <w:lvlText w:val="·"/>
      <w:lvlJc w:val="left"/>
      <w:pPr>
        <w:ind w:left="720" w:hanging="360"/>
      </w:pPr>
      <w:rPr>
        <w:rFonts w:ascii="Symbol" w:hAnsi="Symbol" w:hint="default"/>
      </w:rPr>
    </w:lvl>
    <w:lvl w:ilvl="1" w:tplc="CCB85BEA">
      <w:start w:val="1"/>
      <w:numFmt w:val="bullet"/>
      <w:lvlText w:val="o"/>
      <w:lvlJc w:val="left"/>
      <w:pPr>
        <w:ind w:left="1440" w:hanging="360"/>
      </w:pPr>
      <w:rPr>
        <w:rFonts w:ascii="Courier New" w:hAnsi="Courier New" w:hint="default"/>
      </w:rPr>
    </w:lvl>
    <w:lvl w:ilvl="2" w:tplc="B9C2BA24">
      <w:start w:val="1"/>
      <w:numFmt w:val="bullet"/>
      <w:lvlText w:val=""/>
      <w:lvlJc w:val="left"/>
      <w:pPr>
        <w:ind w:left="2160" w:hanging="360"/>
      </w:pPr>
      <w:rPr>
        <w:rFonts w:ascii="Wingdings" w:hAnsi="Wingdings" w:hint="default"/>
      </w:rPr>
    </w:lvl>
    <w:lvl w:ilvl="3" w:tplc="87B6E9D6">
      <w:start w:val="1"/>
      <w:numFmt w:val="bullet"/>
      <w:lvlText w:val=""/>
      <w:lvlJc w:val="left"/>
      <w:pPr>
        <w:ind w:left="2880" w:hanging="360"/>
      </w:pPr>
      <w:rPr>
        <w:rFonts w:ascii="Symbol" w:hAnsi="Symbol" w:hint="default"/>
      </w:rPr>
    </w:lvl>
    <w:lvl w:ilvl="4" w:tplc="5164C4CA">
      <w:start w:val="1"/>
      <w:numFmt w:val="bullet"/>
      <w:lvlText w:val="o"/>
      <w:lvlJc w:val="left"/>
      <w:pPr>
        <w:ind w:left="3600" w:hanging="360"/>
      </w:pPr>
      <w:rPr>
        <w:rFonts w:ascii="Courier New" w:hAnsi="Courier New" w:hint="default"/>
      </w:rPr>
    </w:lvl>
    <w:lvl w:ilvl="5" w:tplc="32E4D396">
      <w:start w:val="1"/>
      <w:numFmt w:val="bullet"/>
      <w:lvlText w:val=""/>
      <w:lvlJc w:val="left"/>
      <w:pPr>
        <w:ind w:left="4320" w:hanging="360"/>
      </w:pPr>
      <w:rPr>
        <w:rFonts w:ascii="Wingdings" w:hAnsi="Wingdings" w:hint="default"/>
      </w:rPr>
    </w:lvl>
    <w:lvl w:ilvl="6" w:tplc="C016A26C">
      <w:start w:val="1"/>
      <w:numFmt w:val="bullet"/>
      <w:lvlText w:val=""/>
      <w:lvlJc w:val="left"/>
      <w:pPr>
        <w:ind w:left="5040" w:hanging="360"/>
      </w:pPr>
      <w:rPr>
        <w:rFonts w:ascii="Symbol" w:hAnsi="Symbol" w:hint="default"/>
      </w:rPr>
    </w:lvl>
    <w:lvl w:ilvl="7" w:tplc="BCA69D98">
      <w:start w:val="1"/>
      <w:numFmt w:val="bullet"/>
      <w:lvlText w:val="o"/>
      <w:lvlJc w:val="left"/>
      <w:pPr>
        <w:ind w:left="5760" w:hanging="360"/>
      </w:pPr>
      <w:rPr>
        <w:rFonts w:ascii="Courier New" w:hAnsi="Courier New" w:hint="default"/>
      </w:rPr>
    </w:lvl>
    <w:lvl w:ilvl="8" w:tplc="74E63062">
      <w:start w:val="1"/>
      <w:numFmt w:val="bullet"/>
      <w:lvlText w:val=""/>
      <w:lvlJc w:val="left"/>
      <w:pPr>
        <w:ind w:left="6480" w:hanging="360"/>
      </w:pPr>
      <w:rPr>
        <w:rFonts w:ascii="Wingdings" w:hAnsi="Wingdings" w:hint="default"/>
      </w:rPr>
    </w:lvl>
  </w:abstractNum>
  <w:abstractNum w:abstractNumId="11" w15:restartNumberingAfterBreak="0">
    <w:nsid w:val="2D87CA18"/>
    <w:multiLevelType w:val="hybridMultilevel"/>
    <w:tmpl w:val="FFFFFFFF"/>
    <w:lvl w:ilvl="0" w:tplc="31981D06">
      <w:start w:val="1"/>
      <w:numFmt w:val="decimal"/>
      <w:lvlText w:val="%1."/>
      <w:lvlJc w:val="left"/>
      <w:pPr>
        <w:ind w:left="720" w:hanging="360"/>
      </w:pPr>
    </w:lvl>
    <w:lvl w:ilvl="1" w:tplc="DCEE20EA">
      <w:start w:val="1"/>
      <w:numFmt w:val="lowerLetter"/>
      <w:lvlText w:val="%2."/>
      <w:lvlJc w:val="left"/>
      <w:pPr>
        <w:ind w:left="1440" w:hanging="360"/>
      </w:pPr>
    </w:lvl>
    <w:lvl w:ilvl="2" w:tplc="1CDC9046">
      <w:start w:val="1"/>
      <w:numFmt w:val="lowerRoman"/>
      <w:lvlText w:val="%3."/>
      <w:lvlJc w:val="right"/>
      <w:pPr>
        <w:ind w:left="2160" w:hanging="180"/>
      </w:pPr>
    </w:lvl>
    <w:lvl w:ilvl="3" w:tplc="7A06CF00">
      <w:start w:val="1"/>
      <w:numFmt w:val="decimal"/>
      <w:lvlText w:val="%4."/>
      <w:lvlJc w:val="left"/>
      <w:pPr>
        <w:ind w:left="2880" w:hanging="360"/>
      </w:pPr>
    </w:lvl>
    <w:lvl w:ilvl="4" w:tplc="B70CE9CE">
      <w:start w:val="1"/>
      <w:numFmt w:val="lowerLetter"/>
      <w:lvlText w:val="%5."/>
      <w:lvlJc w:val="left"/>
      <w:pPr>
        <w:ind w:left="3600" w:hanging="360"/>
      </w:pPr>
    </w:lvl>
    <w:lvl w:ilvl="5" w:tplc="26E689BE">
      <w:start w:val="1"/>
      <w:numFmt w:val="lowerRoman"/>
      <w:lvlText w:val="%6."/>
      <w:lvlJc w:val="right"/>
      <w:pPr>
        <w:ind w:left="4320" w:hanging="180"/>
      </w:pPr>
    </w:lvl>
    <w:lvl w:ilvl="6" w:tplc="C7B4EE90">
      <w:start w:val="1"/>
      <w:numFmt w:val="decimal"/>
      <w:lvlText w:val="%7."/>
      <w:lvlJc w:val="left"/>
      <w:pPr>
        <w:ind w:left="5040" w:hanging="360"/>
      </w:pPr>
    </w:lvl>
    <w:lvl w:ilvl="7" w:tplc="C13472A0">
      <w:start w:val="1"/>
      <w:numFmt w:val="lowerLetter"/>
      <w:lvlText w:val="%8."/>
      <w:lvlJc w:val="left"/>
      <w:pPr>
        <w:ind w:left="5760" w:hanging="360"/>
      </w:pPr>
    </w:lvl>
    <w:lvl w:ilvl="8" w:tplc="D7BAA56E">
      <w:start w:val="1"/>
      <w:numFmt w:val="lowerRoman"/>
      <w:lvlText w:val="%9."/>
      <w:lvlJc w:val="right"/>
      <w:pPr>
        <w:ind w:left="6480" w:hanging="180"/>
      </w:pPr>
    </w:lvl>
  </w:abstractNum>
  <w:abstractNum w:abstractNumId="12" w15:restartNumberingAfterBreak="0">
    <w:nsid w:val="2E3E18FA"/>
    <w:multiLevelType w:val="hybridMultilevel"/>
    <w:tmpl w:val="FFFFFFFF"/>
    <w:lvl w:ilvl="0" w:tplc="CB0AB7F6">
      <w:start w:val="1"/>
      <w:numFmt w:val="bullet"/>
      <w:lvlText w:val=""/>
      <w:lvlJc w:val="left"/>
      <w:pPr>
        <w:ind w:left="720" w:hanging="360"/>
      </w:pPr>
      <w:rPr>
        <w:rFonts w:ascii="Symbol" w:hAnsi="Symbol" w:hint="default"/>
      </w:rPr>
    </w:lvl>
    <w:lvl w:ilvl="1" w:tplc="DB1203A4">
      <w:start w:val="1"/>
      <w:numFmt w:val="bullet"/>
      <w:lvlText w:val="o"/>
      <w:lvlJc w:val="left"/>
      <w:pPr>
        <w:ind w:left="1440" w:hanging="360"/>
      </w:pPr>
      <w:rPr>
        <w:rFonts w:ascii="Courier New" w:hAnsi="Courier New" w:hint="default"/>
      </w:rPr>
    </w:lvl>
    <w:lvl w:ilvl="2" w:tplc="F9F24220">
      <w:start w:val="1"/>
      <w:numFmt w:val="bullet"/>
      <w:lvlText w:val=""/>
      <w:lvlJc w:val="left"/>
      <w:pPr>
        <w:ind w:left="2160" w:hanging="360"/>
      </w:pPr>
      <w:rPr>
        <w:rFonts w:ascii="Wingdings" w:hAnsi="Wingdings" w:hint="default"/>
      </w:rPr>
    </w:lvl>
    <w:lvl w:ilvl="3" w:tplc="3ECECF2A">
      <w:start w:val="1"/>
      <w:numFmt w:val="bullet"/>
      <w:lvlText w:val=""/>
      <w:lvlJc w:val="left"/>
      <w:pPr>
        <w:ind w:left="2880" w:hanging="360"/>
      </w:pPr>
      <w:rPr>
        <w:rFonts w:ascii="Symbol" w:hAnsi="Symbol" w:hint="default"/>
      </w:rPr>
    </w:lvl>
    <w:lvl w:ilvl="4" w:tplc="177C7146">
      <w:start w:val="1"/>
      <w:numFmt w:val="bullet"/>
      <w:lvlText w:val="o"/>
      <w:lvlJc w:val="left"/>
      <w:pPr>
        <w:ind w:left="3600" w:hanging="360"/>
      </w:pPr>
      <w:rPr>
        <w:rFonts w:ascii="Courier New" w:hAnsi="Courier New" w:hint="default"/>
      </w:rPr>
    </w:lvl>
    <w:lvl w:ilvl="5" w:tplc="E67236A4">
      <w:start w:val="1"/>
      <w:numFmt w:val="bullet"/>
      <w:lvlText w:val=""/>
      <w:lvlJc w:val="left"/>
      <w:pPr>
        <w:ind w:left="4320" w:hanging="360"/>
      </w:pPr>
      <w:rPr>
        <w:rFonts w:ascii="Wingdings" w:hAnsi="Wingdings" w:hint="default"/>
      </w:rPr>
    </w:lvl>
    <w:lvl w:ilvl="6" w:tplc="B55C2A1A">
      <w:start w:val="1"/>
      <w:numFmt w:val="bullet"/>
      <w:lvlText w:val=""/>
      <w:lvlJc w:val="left"/>
      <w:pPr>
        <w:ind w:left="5040" w:hanging="360"/>
      </w:pPr>
      <w:rPr>
        <w:rFonts w:ascii="Symbol" w:hAnsi="Symbol" w:hint="default"/>
      </w:rPr>
    </w:lvl>
    <w:lvl w:ilvl="7" w:tplc="6A4ED002">
      <w:start w:val="1"/>
      <w:numFmt w:val="bullet"/>
      <w:lvlText w:val="o"/>
      <w:lvlJc w:val="left"/>
      <w:pPr>
        <w:ind w:left="5760" w:hanging="360"/>
      </w:pPr>
      <w:rPr>
        <w:rFonts w:ascii="Courier New" w:hAnsi="Courier New" w:hint="default"/>
      </w:rPr>
    </w:lvl>
    <w:lvl w:ilvl="8" w:tplc="5E348898">
      <w:start w:val="1"/>
      <w:numFmt w:val="bullet"/>
      <w:lvlText w:val=""/>
      <w:lvlJc w:val="left"/>
      <w:pPr>
        <w:ind w:left="6480" w:hanging="360"/>
      </w:pPr>
      <w:rPr>
        <w:rFonts w:ascii="Wingdings" w:hAnsi="Wingdings" w:hint="default"/>
      </w:rPr>
    </w:lvl>
  </w:abstractNum>
  <w:abstractNum w:abstractNumId="13" w15:restartNumberingAfterBreak="0">
    <w:nsid w:val="34A9D344"/>
    <w:multiLevelType w:val="hybridMultilevel"/>
    <w:tmpl w:val="670A473A"/>
    <w:lvl w:ilvl="0" w:tplc="F9C6A586">
      <w:start w:val="1"/>
      <w:numFmt w:val="decimal"/>
      <w:lvlText w:val="•"/>
      <w:lvlJc w:val="left"/>
      <w:pPr>
        <w:ind w:left="720" w:hanging="360"/>
      </w:pPr>
    </w:lvl>
    <w:lvl w:ilvl="1" w:tplc="736695B6">
      <w:start w:val="1"/>
      <w:numFmt w:val="lowerLetter"/>
      <w:lvlText w:val="%2."/>
      <w:lvlJc w:val="left"/>
      <w:pPr>
        <w:ind w:left="1440" w:hanging="360"/>
      </w:pPr>
    </w:lvl>
    <w:lvl w:ilvl="2" w:tplc="D3E0DD8E">
      <w:start w:val="1"/>
      <w:numFmt w:val="lowerRoman"/>
      <w:lvlText w:val="%3."/>
      <w:lvlJc w:val="right"/>
      <w:pPr>
        <w:ind w:left="2160" w:hanging="180"/>
      </w:pPr>
    </w:lvl>
    <w:lvl w:ilvl="3" w:tplc="174E528A">
      <w:start w:val="1"/>
      <w:numFmt w:val="decimal"/>
      <w:lvlText w:val="%4."/>
      <w:lvlJc w:val="left"/>
      <w:pPr>
        <w:ind w:left="2880" w:hanging="360"/>
      </w:pPr>
    </w:lvl>
    <w:lvl w:ilvl="4" w:tplc="CF6E2B0C">
      <w:start w:val="1"/>
      <w:numFmt w:val="lowerLetter"/>
      <w:lvlText w:val="%5."/>
      <w:lvlJc w:val="left"/>
      <w:pPr>
        <w:ind w:left="3600" w:hanging="360"/>
      </w:pPr>
    </w:lvl>
    <w:lvl w:ilvl="5" w:tplc="FA66A912">
      <w:start w:val="1"/>
      <w:numFmt w:val="lowerRoman"/>
      <w:lvlText w:val="%6."/>
      <w:lvlJc w:val="right"/>
      <w:pPr>
        <w:ind w:left="4320" w:hanging="180"/>
      </w:pPr>
    </w:lvl>
    <w:lvl w:ilvl="6" w:tplc="C2F82E76">
      <w:start w:val="1"/>
      <w:numFmt w:val="decimal"/>
      <w:lvlText w:val="%7."/>
      <w:lvlJc w:val="left"/>
      <w:pPr>
        <w:ind w:left="5040" w:hanging="360"/>
      </w:pPr>
    </w:lvl>
    <w:lvl w:ilvl="7" w:tplc="E558F55E">
      <w:start w:val="1"/>
      <w:numFmt w:val="lowerLetter"/>
      <w:lvlText w:val="%8."/>
      <w:lvlJc w:val="left"/>
      <w:pPr>
        <w:ind w:left="5760" w:hanging="360"/>
      </w:pPr>
    </w:lvl>
    <w:lvl w:ilvl="8" w:tplc="9B348754">
      <w:start w:val="1"/>
      <w:numFmt w:val="lowerRoman"/>
      <w:lvlText w:val="%9."/>
      <w:lvlJc w:val="right"/>
      <w:pPr>
        <w:ind w:left="6480" w:hanging="180"/>
      </w:pPr>
    </w:lvl>
  </w:abstractNum>
  <w:abstractNum w:abstractNumId="14" w15:restartNumberingAfterBreak="0">
    <w:nsid w:val="37EF3906"/>
    <w:multiLevelType w:val="hybridMultilevel"/>
    <w:tmpl w:val="44A26204"/>
    <w:lvl w:ilvl="0" w:tplc="9EA6AFA4">
      <w:start w:val="1"/>
      <w:numFmt w:val="bullet"/>
      <w:lvlText w:val=""/>
      <w:lvlJc w:val="left"/>
      <w:pPr>
        <w:ind w:left="720" w:hanging="360"/>
      </w:pPr>
      <w:rPr>
        <w:rFonts w:ascii="Symbol" w:hAnsi="Symbol" w:hint="default"/>
      </w:rPr>
    </w:lvl>
    <w:lvl w:ilvl="1" w:tplc="93FE239C">
      <w:start w:val="1"/>
      <w:numFmt w:val="bullet"/>
      <w:lvlText w:val="o"/>
      <w:lvlJc w:val="left"/>
      <w:pPr>
        <w:ind w:left="1440" w:hanging="360"/>
      </w:pPr>
      <w:rPr>
        <w:rFonts w:ascii="Courier New" w:hAnsi="Courier New" w:hint="default"/>
      </w:rPr>
    </w:lvl>
    <w:lvl w:ilvl="2" w:tplc="89B4452A">
      <w:start w:val="1"/>
      <w:numFmt w:val="bullet"/>
      <w:lvlText w:val=""/>
      <w:lvlJc w:val="left"/>
      <w:pPr>
        <w:ind w:left="2160" w:hanging="360"/>
      </w:pPr>
      <w:rPr>
        <w:rFonts w:ascii="Wingdings" w:hAnsi="Wingdings" w:hint="default"/>
      </w:rPr>
    </w:lvl>
    <w:lvl w:ilvl="3" w:tplc="AA5E69EE">
      <w:start w:val="1"/>
      <w:numFmt w:val="bullet"/>
      <w:lvlText w:val=""/>
      <w:lvlJc w:val="left"/>
      <w:pPr>
        <w:ind w:left="2880" w:hanging="360"/>
      </w:pPr>
      <w:rPr>
        <w:rFonts w:ascii="Symbol" w:hAnsi="Symbol" w:hint="default"/>
      </w:rPr>
    </w:lvl>
    <w:lvl w:ilvl="4" w:tplc="4DD0A232">
      <w:start w:val="1"/>
      <w:numFmt w:val="bullet"/>
      <w:lvlText w:val="o"/>
      <w:lvlJc w:val="left"/>
      <w:pPr>
        <w:ind w:left="3600" w:hanging="360"/>
      </w:pPr>
      <w:rPr>
        <w:rFonts w:ascii="Courier New" w:hAnsi="Courier New" w:hint="default"/>
      </w:rPr>
    </w:lvl>
    <w:lvl w:ilvl="5" w:tplc="E47C2258">
      <w:start w:val="1"/>
      <w:numFmt w:val="bullet"/>
      <w:lvlText w:val=""/>
      <w:lvlJc w:val="left"/>
      <w:pPr>
        <w:ind w:left="4320" w:hanging="360"/>
      </w:pPr>
      <w:rPr>
        <w:rFonts w:ascii="Wingdings" w:hAnsi="Wingdings" w:hint="default"/>
      </w:rPr>
    </w:lvl>
    <w:lvl w:ilvl="6" w:tplc="E2C2BE20">
      <w:start w:val="1"/>
      <w:numFmt w:val="bullet"/>
      <w:lvlText w:val=""/>
      <w:lvlJc w:val="left"/>
      <w:pPr>
        <w:ind w:left="5040" w:hanging="360"/>
      </w:pPr>
      <w:rPr>
        <w:rFonts w:ascii="Symbol" w:hAnsi="Symbol" w:hint="default"/>
      </w:rPr>
    </w:lvl>
    <w:lvl w:ilvl="7" w:tplc="851855EA">
      <w:start w:val="1"/>
      <w:numFmt w:val="bullet"/>
      <w:lvlText w:val="o"/>
      <w:lvlJc w:val="left"/>
      <w:pPr>
        <w:ind w:left="5760" w:hanging="360"/>
      </w:pPr>
      <w:rPr>
        <w:rFonts w:ascii="Courier New" w:hAnsi="Courier New" w:hint="default"/>
      </w:rPr>
    </w:lvl>
    <w:lvl w:ilvl="8" w:tplc="42E49BA8">
      <w:start w:val="1"/>
      <w:numFmt w:val="bullet"/>
      <w:lvlText w:val=""/>
      <w:lvlJc w:val="left"/>
      <w:pPr>
        <w:ind w:left="6480" w:hanging="360"/>
      </w:pPr>
      <w:rPr>
        <w:rFonts w:ascii="Wingdings" w:hAnsi="Wingdings" w:hint="default"/>
      </w:rPr>
    </w:lvl>
  </w:abstractNum>
  <w:abstractNum w:abstractNumId="15" w15:restartNumberingAfterBreak="0">
    <w:nsid w:val="3B316398"/>
    <w:multiLevelType w:val="hybridMultilevel"/>
    <w:tmpl w:val="91FC1250"/>
    <w:lvl w:ilvl="0" w:tplc="CEA2AB6E">
      <w:start w:val="1"/>
      <w:numFmt w:val="decimal"/>
      <w:lvlText w:val="●"/>
      <w:lvlJc w:val="left"/>
      <w:pPr>
        <w:ind w:left="720" w:hanging="360"/>
      </w:pPr>
    </w:lvl>
    <w:lvl w:ilvl="1" w:tplc="348EB648">
      <w:start w:val="1"/>
      <w:numFmt w:val="lowerLetter"/>
      <w:lvlText w:val="%2."/>
      <w:lvlJc w:val="left"/>
      <w:pPr>
        <w:ind w:left="1440" w:hanging="360"/>
      </w:pPr>
    </w:lvl>
    <w:lvl w:ilvl="2" w:tplc="6406D728">
      <w:start w:val="1"/>
      <w:numFmt w:val="lowerRoman"/>
      <w:lvlText w:val="%3."/>
      <w:lvlJc w:val="right"/>
      <w:pPr>
        <w:ind w:left="2160" w:hanging="180"/>
      </w:pPr>
    </w:lvl>
    <w:lvl w:ilvl="3" w:tplc="CF02FFF0">
      <w:start w:val="1"/>
      <w:numFmt w:val="decimal"/>
      <w:lvlText w:val="%4."/>
      <w:lvlJc w:val="left"/>
      <w:pPr>
        <w:ind w:left="2880" w:hanging="360"/>
      </w:pPr>
    </w:lvl>
    <w:lvl w:ilvl="4" w:tplc="489AB462">
      <w:start w:val="1"/>
      <w:numFmt w:val="lowerLetter"/>
      <w:lvlText w:val="%5."/>
      <w:lvlJc w:val="left"/>
      <w:pPr>
        <w:ind w:left="3600" w:hanging="360"/>
      </w:pPr>
    </w:lvl>
    <w:lvl w:ilvl="5" w:tplc="A3486AC4">
      <w:start w:val="1"/>
      <w:numFmt w:val="lowerRoman"/>
      <w:lvlText w:val="%6."/>
      <w:lvlJc w:val="right"/>
      <w:pPr>
        <w:ind w:left="4320" w:hanging="180"/>
      </w:pPr>
    </w:lvl>
    <w:lvl w:ilvl="6" w:tplc="7C52E086">
      <w:start w:val="1"/>
      <w:numFmt w:val="decimal"/>
      <w:lvlText w:val="%7."/>
      <w:lvlJc w:val="left"/>
      <w:pPr>
        <w:ind w:left="5040" w:hanging="360"/>
      </w:pPr>
    </w:lvl>
    <w:lvl w:ilvl="7" w:tplc="1B223A76">
      <w:start w:val="1"/>
      <w:numFmt w:val="lowerLetter"/>
      <w:lvlText w:val="%8."/>
      <w:lvlJc w:val="left"/>
      <w:pPr>
        <w:ind w:left="5760" w:hanging="360"/>
      </w:pPr>
    </w:lvl>
    <w:lvl w:ilvl="8" w:tplc="474EE5FC">
      <w:start w:val="1"/>
      <w:numFmt w:val="lowerRoman"/>
      <w:lvlText w:val="%9."/>
      <w:lvlJc w:val="right"/>
      <w:pPr>
        <w:ind w:left="6480" w:hanging="180"/>
      </w:pPr>
    </w:lvl>
  </w:abstractNum>
  <w:abstractNum w:abstractNumId="16" w15:restartNumberingAfterBreak="0">
    <w:nsid w:val="3BE12928"/>
    <w:multiLevelType w:val="hybridMultilevel"/>
    <w:tmpl w:val="FFFFFFFF"/>
    <w:lvl w:ilvl="0" w:tplc="3008086A">
      <w:start w:val="1"/>
      <w:numFmt w:val="decimal"/>
      <w:lvlText w:val="%1."/>
      <w:lvlJc w:val="left"/>
      <w:pPr>
        <w:ind w:left="720" w:hanging="360"/>
      </w:pPr>
    </w:lvl>
    <w:lvl w:ilvl="1" w:tplc="2916B2DC">
      <w:start w:val="1"/>
      <w:numFmt w:val="lowerLetter"/>
      <w:lvlText w:val="%2."/>
      <w:lvlJc w:val="left"/>
      <w:pPr>
        <w:ind w:left="1440" w:hanging="360"/>
      </w:pPr>
    </w:lvl>
    <w:lvl w:ilvl="2" w:tplc="39F61B7C">
      <w:start w:val="1"/>
      <w:numFmt w:val="lowerRoman"/>
      <w:lvlText w:val="%3."/>
      <w:lvlJc w:val="right"/>
      <w:pPr>
        <w:ind w:left="2160" w:hanging="180"/>
      </w:pPr>
    </w:lvl>
    <w:lvl w:ilvl="3" w:tplc="A70AAF1A">
      <w:start w:val="1"/>
      <w:numFmt w:val="decimal"/>
      <w:lvlText w:val="%4."/>
      <w:lvlJc w:val="left"/>
      <w:pPr>
        <w:ind w:left="2880" w:hanging="360"/>
      </w:pPr>
    </w:lvl>
    <w:lvl w:ilvl="4" w:tplc="0B30AF04">
      <w:start w:val="1"/>
      <w:numFmt w:val="lowerLetter"/>
      <w:lvlText w:val="%5."/>
      <w:lvlJc w:val="left"/>
      <w:pPr>
        <w:ind w:left="3600" w:hanging="360"/>
      </w:pPr>
    </w:lvl>
    <w:lvl w:ilvl="5" w:tplc="B93CC734">
      <w:start w:val="1"/>
      <w:numFmt w:val="lowerRoman"/>
      <w:lvlText w:val="%6."/>
      <w:lvlJc w:val="right"/>
      <w:pPr>
        <w:ind w:left="4320" w:hanging="180"/>
      </w:pPr>
    </w:lvl>
    <w:lvl w:ilvl="6" w:tplc="B1825B84">
      <w:start w:val="1"/>
      <w:numFmt w:val="decimal"/>
      <w:lvlText w:val="%7."/>
      <w:lvlJc w:val="left"/>
      <w:pPr>
        <w:ind w:left="5040" w:hanging="360"/>
      </w:pPr>
    </w:lvl>
    <w:lvl w:ilvl="7" w:tplc="2E4EB4CE">
      <w:start w:val="1"/>
      <w:numFmt w:val="lowerLetter"/>
      <w:lvlText w:val="%8."/>
      <w:lvlJc w:val="left"/>
      <w:pPr>
        <w:ind w:left="5760" w:hanging="360"/>
      </w:pPr>
    </w:lvl>
    <w:lvl w:ilvl="8" w:tplc="EA5C78F6">
      <w:start w:val="1"/>
      <w:numFmt w:val="lowerRoman"/>
      <w:lvlText w:val="%9."/>
      <w:lvlJc w:val="right"/>
      <w:pPr>
        <w:ind w:left="6480" w:hanging="180"/>
      </w:pPr>
    </w:lvl>
  </w:abstractNum>
  <w:abstractNum w:abstractNumId="17" w15:restartNumberingAfterBreak="0">
    <w:nsid w:val="465B4A10"/>
    <w:multiLevelType w:val="multilevel"/>
    <w:tmpl w:val="2D7A0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03531F"/>
    <w:multiLevelType w:val="hybridMultilevel"/>
    <w:tmpl w:val="0CB24C70"/>
    <w:lvl w:ilvl="0" w:tplc="D02A7AA8">
      <w:numFmt w:val="bullet"/>
      <w:lvlText w:val="•"/>
      <w:lvlJc w:val="left"/>
      <w:pPr>
        <w:ind w:left="417" w:hanging="360"/>
      </w:pPr>
      <w:rPr>
        <w:rFonts w:ascii="Arial" w:eastAsia="Arial" w:hAnsi="Arial" w:cs="Arial" w:hint="default"/>
      </w:rPr>
    </w:lvl>
    <w:lvl w:ilvl="1" w:tplc="04160003" w:tentative="1">
      <w:start w:val="1"/>
      <w:numFmt w:val="bullet"/>
      <w:lvlText w:val="o"/>
      <w:lvlJc w:val="left"/>
      <w:pPr>
        <w:ind w:left="1137" w:hanging="360"/>
      </w:pPr>
      <w:rPr>
        <w:rFonts w:ascii="Courier New" w:hAnsi="Courier New" w:cs="Courier New" w:hint="default"/>
      </w:rPr>
    </w:lvl>
    <w:lvl w:ilvl="2" w:tplc="04160005" w:tentative="1">
      <w:start w:val="1"/>
      <w:numFmt w:val="bullet"/>
      <w:lvlText w:val=""/>
      <w:lvlJc w:val="left"/>
      <w:pPr>
        <w:ind w:left="1857" w:hanging="360"/>
      </w:pPr>
      <w:rPr>
        <w:rFonts w:ascii="Wingdings" w:hAnsi="Wingdings" w:hint="default"/>
      </w:rPr>
    </w:lvl>
    <w:lvl w:ilvl="3" w:tplc="04160001" w:tentative="1">
      <w:start w:val="1"/>
      <w:numFmt w:val="bullet"/>
      <w:lvlText w:val=""/>
      <w:lvlJc w:val="left"/>
      <w:pPr>
        <w:ind w:left="2577" w:hanging="360"/>
      </w:pPr>
      <w:rPr>
        <w:rFonts w:ascii="Symbol" w:hAnsi="Symbol" w:hint="default"/>
      </w:rPr>
    </w:lvl>
    <w:lvl w:ilvl="4" w:tplc="04160003" w:tentative="1">
      <w:start w:val="1"/>
      <w:numFmt w:val="bullet"/>
      <w:lvlText w:val="o"/>
      <w:lvlJc w:val="left"/>
      <w:pPr>
        <w:ind w:left="3297" w:hanging="360"/>
      </w:pPr>
      <w:rPr>
        <w:rFonts w:ascii="Courier New" w:hAnsi="Courier New" w:cs="Courier New" w:hint="default"/>
      </w:rPr>
    </w:lvl>
    <w:lvl w:ilvl="5" w:tplc="04160005" w:tentative="1">
      <w:start w:val="1"/>
      <w:numFmt w:val="bullet"/>
      <w:lvlText w:val=""/>
      <w:lvlJc w:val="left"/>
      <w:pPr>
        <w:ind w:left="4017" w:hanging="360"/>
      </w:pPr>
      <w:rPr>
        <w:rFonts w:ascii="Wingdings" w:hAnsi="Wingdings" w:hint="default"/>
      </w:rPr>
    </w:lvl>
    <w:lvl w:ilvl="6" w:tplc="04160001" w:tentative="1">
      <w:start w:val="1"/>
      <w:numFmt w:val="bullet"/>
      <w:lvlText w:val=""/>
      <w:lvlJc w:val="left"/>
      <w:pPr>
        <w:ind w:left="4737" w:hanging="360"/>
      </w:pPr>
      <w:rPr>
        <w:rFonts w:ascii="Symbol" w:hAnsi="Symbol" w:hint="default"/>
      </w:rPr>
    </w:lvl>
    <w:lvl w:ilvl="7" w:tplc="04160003" w:tentative="1">
      <w:start w:val="1"/>
      <w:numFmt w:val="bullet"/>
      <w:lvlText w:val="o"/>
      <w:lvlJc w:val="left"/>
      <w:pPr>
        <w:ind w:left="5457" w:hanging="360"/>
      </w:pPr>
      <w:rPr>
        <w:rFonts w:ascii="Courier New" w:hAnsi="Courier New" w:cs="Courier New" w:hint="default"/>
      </w:rPr>
    </w:lvl>
    <w:lvl w:ilvl="8" w:tplc="04160005" w:tentative="1">
      <w:start w:val="1"/>
      <w:numFmt w:val="bullet"/>
      <w:lvlText w:val=""/>
      <w:lvlJc w:val="left"/>
      <w:pPr>
        <w:ind w:left="6177" w:hanging="360"/>
      </w:pPr>
      <w:rPr>
        <w:rFonts w:ascii="Wingdings" w:hAnsi="Wingdings" w:hint="default"/>
      </w:rPr>
    </w:lvl>
  </w:abstractNum>
  <w:abstractNum w:abstractNumId="19" w15:restartNumberingAfterBreak="0">
    <w:nsid w:val="484000C4"/>
    <w:multiLevelType w:val="hybridMultilevel"/>
    <w:tmpl w:val="D488DB8A"/>
    <w:lvl w:ilvl="0" w:tplc="24CE71B6">
      <w:numFmt w:val="bullet"/>
      <w:lvlText w:val="•"/>
      <w:lvlJc w:val="left"/>
      <w:pPr>
        <w:ind w:left="720" w:hanging="360"/>
      </w:pPr>
      <w:rPr>
        <w:rFonts w:ascii="Arial" w:eastAsia="Arial"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8549429"/>
    <w:multiLevelType w:val="hybridMultilevel"/>
    <w:tmpl w:val="FFFFFFFF"/>
    <w:lvl w:ilvl="0" w:tplc="52F61BFE">
      <w:start w:val="1"/>
      <w:numFmt w:val="bullet"/>
      <w:lvlText w:val=""/>
      <w:lvlJc w:val="left"/>
      <w:pPr>
        <w:ind w:left="720" w:hanging="360"/>
      </w:pPr>
      <w:rPr>
        <w:rFonts w:ascii="Symbol" w:hAnsi="Symbol" w:hint="default"/>
      </w:rPr>
    </w:lvl>
    <w:lvl w:ilvl="1" w:tplc="3370DF9E">
      <w:start w:val="1"/>
      <w:numFmt w:val="bullet"/>
      <w:lvlText w:val="o"/>
      <w:lvlJc w:val="left"/>
      <w:pPr>
        <w:ind w:left="1440" w:hanging="360"/>
      </w:pPr>
      <w:rPr>
        <w:rFonts w:ascii="Courier New" w:hAnsi="Courier New" w:hint="default"/>
      </w:rPr>
    </w:lvl>
    <w:lvl w:ilvl="2" w:tplc="56AA2522">
      <w:start w:val="1"/>
      <w:numFmt w:val="bullet"/>
      <w:lvlText w:val=""/>
      <w:lvlJc w:val="left"/>
      <w:pPr>
        <w:ind w:left="2160" w:hanging="360"/>
      </w:pPr>
      <w:rPr>
        <w:rFonts w:ascii="Wingdings" w:hAnsi="Wingdings" w:hint="default"/>
      </w:rPr>
    </w:lvl>
    <w:lvl w:ilvl="3" w:tplc="E63047FA">
      <w:start w:val="1"/>
      <w:numFmt w:val="bullet"/>
      <w:lvlText w:val=""/>
      <w:lvlJc w:val="left"/>
      <w:pPr>
        <w:ind w:left="2880" w:hanging="360"/>
      </w:pPr>
      <w:rPr>
        <w:rFonts w:ascii="Symbol" w:hAnsi="Symbol" w:hint="default"/>
      </w:rPr>
    </w:lvl>
    <w:lvl w:ilvl="4" w:tplc="A9ACC4A6">
      <w:start w:val="1"/>
      <w:numFmt w:val="bullet"/>
      <w:lvlText w:val="o"/>
      <w:lvlJc w:val="left"/>
      <w:pPr>
        <w:ind w:left="3600" w:hanging="360"/>
      </w:pPr>
      <w:rPr>
        <w:rFonts w:ascii="Courier New" w:hAnsi="Courier New" w:hint="default"/>
      </w:rPr>
    </w:lvl>
    <w:lvl w:ilvl="5" w:tplc="AA0068A0">
      <w:start w:val="1"/>
      <w:numFmt w:val="bullet"/>
      <w:lvlText w:val=""/>
      <w:lvlJc w:val="left"/>
      <w:pPr>
        <w:ind w:left="4320" w:hanging="360"/>
      </w:pPr>
      <w:rPr>
        <w:rFonts w:ascii="Wingdings" w:hAnsi="Wingdings" w:hint="default"/>
      </w:rPr>
    </w:lvl>
    <w:lvl w:ilvl="6" w:tplc="22A44BD0">
      <w:start w:val="1"/>
      <w:numFmt w:val="bullet"/>
      <w:lvlText w:val=""/>
      <w:lvlJc w:val="left"/>
      <w:pPr>
        <w:ind w:left="5040" w:hanging="360"/>
      </w:pPr>
      <w:rPr>
        <w:rFonts w:ascii="Symbol" w:hAnsi="Symbol" w:hint="default"/>
      </w:rPr>
    </w:lvl>
    <w:lvl w:ilvl="7" w:tplc="DC9CCBC0">
      <w:start w:val="1"/>
      <w:numFmt w:val="bullet"/>
      <w:lvlText w:val="o"/>
      <w:lvlJc w:val="left"/>
      <w:pPr>
        <w:ind w:left="5760" w:hanging="360"/>
      </w:pPr>
      <w:rPr>
        <w:rFonts w:ascii="Courier New" w:hAnsi="Courier New" w:hint="default"/>
      </w:rPr>
    </w:lvl>
    <w:lvl w:ilvl="8" w:tplc="3A20684E">
      <w:start w:val="1"/>
      <w:numFmt w:val="bullet"/>
      <w:lvlText w:val=""/>
      <w:lvlJc w:val="left"/>
      <w:pPr>
        <w:ind w:left="6480" w:hanging="360"/>
      </w:pPr>
      <w:rPr>
        <w:rFonts w:ascii="Wingdings" w:hAnsi="Wingdings" w:hint="default"/>
      </w:rPr>
    </w:lvl>
  </w:abstractNum>
  <w:abstractNum w:abstractNumId="21" w15:restartNumberingAfterBreak="0">
    <w:nsid w:val="48EF5310"/>
    <w:multiLevelType w:val="hybridMultilevel"/>
    <w:tmpl w:val="FFFFFFFF"/>
    <w:lvl w:ilvl="0" w:tplc="D0946A7E">
      <w:start w:val="1"/>
      <w:numFmt w:val="bullet"/>
      <w:lvlText w:val=""/>
      <w:lvlJc w:val="left"/>
      <w:pPr>
        <w:ind w:left="720" w:hanging="360"/>
      </w:pPr>
      <w:rPr>
        <w:rFonts w:ascii="Symbol" w:hAnsi="Symbol" w:hint="default"/>
      </w:rPr>
    </w:lvl>
    <w:lvl w:ilvl="1" w:tplc="CEBA6180">
      <w:start w:val="1"/>
      <w:numFmt w:val="bullet"/>
      <w:lvlText w:val="o"/>
      <w:lvlJc w:val="left"/>
      <w:pPr>
        <w:ind w:left="1440" w:hanging="360"/>
      </w:pPr>
      <w:rPr>
        <w:rFonts w:ascii="Courier New" w:hAnsi="Courier New" w:hint="default"/>
      </w:rPr>
    </w:lvl>
    <w:lvl w:ilvl="2" w:tplc="09788544">
      <w:start w:val="1"/>
      <w:numFmt w:val="bullet"/>
      <w:lvlText w:val=""/>
      <w:lvlJc w:val="left"/>
      <w:pPr>
        <w:ind w:left="2160" w:hanging="360"/>
      </w:pPr>
      <w:rPr>
        <w:rFonts w:ascii="Wingdings" w:hAnsi="Wingdings" w:hint="default"/>
      </w:rPr>
    </w:lvl>
    <w:lvl w:ilvl="3" w:tplc="EBC22164">
      <w:start w:val="1"/>
      <w:numFmt w:val="bullet"/>
      <w:lvlText w:val=""/>
      <w:lvlJc w:val="left"/>
      <w:pPr>
        <w:ind w:left="2880" w:hanging="360"/>
      </w:pPr>
      <w:rPr>
        <w:rFonts w:ascii="Symbol" w:hAnsi="Symbol" w:hint="default"/>
      </w:rPr>
    </w:lvl>
    <w:lvl w:ilvl="4" w:tplc="42E6C10A">
      <w:start w:val="1"/>
      <w:numFmt w:val="bullet"/>
      <w:lvlText w:val="o"/>
      <w:lvlJc w:val="left"/>
      <w:pPr>
        <w:ind w:left="3600" w:hanging="360"/>
      </w:pPr>
      <w:rPr>
        <w:rFonts w:ascii="Courier New" w:hAnsi="Courier New" w:hint="default"/>
      </w:rPr>
    </w:lvl>
    <w:lvl w:ilvl="5" w:tplc="14D23E86">
      <w:start w:val="1"/>
      <w:numFmt w:val="bullet"/>
      <w:lvlText w:val=""/>
      <w:lvlJc w:val="left"/>
      <w:pPr>
        <w:ind w:left="4320" w:hanging="360"/>
      </w:pPr>
      <w:rPr>
        <w:rFonts w:ascii="Wingdings" w:hAnsi="Wingdings" w:hint="default"/>
      </w:rPr>
    </w:lvl>
    <w:lvl w:ilvl="6" w:tplc="F3BE5FC2">
      <w:start w:val="1"/>
      <w:numFmt w:val="bullet"/>
      <w:lvlText w:val=""/>
      <w:lvlJc w:val="left"/>
      <w:pPr>
        <w:ind w:left="5040" w:hanging="360"/>
      </w:pPr>
      <w:rPr>
        <w:rFonts w:ascii="Symbol" w:hAnsi="Symbol" w:hint="default"/>
      </w:rPr>
    </w:lvl>
    <w:lvl w:ilvl="7" w:tplc="11322D30">
      <w:start w:val="1"/>
      <w:numFmt w:val="bullet"/>
      <w:lvlText w:val="o"/>
      <w:lvlJc w:val="left"/>
      <w:pPr>
        <w:ind w:left="5760" w:hanging="360"/>
      </w:pPr>
      <w:rPr>
        <w:rFonts w:ascii="Courier New" w:hAnsi="Courier New" w:hint="default"/>
      </w:rPr>
    </w:lvl>
    <w:lvl w:ilvl="8" w:tplc="EB8CE058">
      <w:start w:val="1"/>
      <w:numFmt w:val="bullet"/>
      <w:lvlText w:val=""/>
      <w:lvlJc w:val="left"/>
      <w:pPr>
        <w:ind w:left="6480" w:hanging="360"/>
      </w:pPr>
      <w:rPr>
        <w:rFonts w:ascii="Wingdings" w:hAnsi="Wingdings" w:hint="default"/>
      </w:rPr>
    </w:lvl>
  </w:abstractNum>
  <w:abstractNum w:abstractNumId="22" w15:restartNumberingAfterBreak="0">
    <w:nsid w:val="53B1FFDC"/>
    <w:multiLevelType w:val="hybridMultilevel"/>
    <w:tmpl w:val="FFFFFFFF"/>
    <w:lvl w:ilvl="0" w:tplc="46F225A4">
      <w:start w:val="1"/>
      <w:numFmt w:val="bullet"/>
      <w:lvlText w:val=""/>
      <w:lvlJc w:val="left"/>
      <w:pPr>
        <w:ind w:left="720" w:hanging="360"/>
      </w:pPr>
      <w:rPr>
        <w:rFonts w:ascii="Symbol" w:hAnsi="Symbol" w:hint="default"/>
      </w:rPr>
    </w:lvl>
    <w:lvl w:ilvl="1" w:tplc="91D4081C">
      <w:start w:val="1"/>
      <w:numFmt w:val="bullet"/>
      <w:lvlText w:val="o"/>
      <w:lvlJc w:val="left"/>
      <w:pPr>
        <w:ind w:left="1440" w:hanging="360"/>
      </w:pPr>
      <w:rPr>
        <w:rFonts w:ascii="Courier New" w:hAnsi="Courier New" w:hint="default"/>
      </w:rPr>
    </w:lvl>
    <w:lvl w:ilvl="2" w:tplc="918884FA">
      <w:start w:val="1"/>
      <w:numFmt w:val="bullet"/>
      <w:lvlText w:val=""/>
      <w:lvlJc w:val="left"/>
      <w:pPr>
        <w:ind w:left="2160" w:hanging="360"/>
      </w:pPr>
      <w:rPr>
        <w:rFonts w:ascii="Wingdings" w:hAnsi="Wingdings" w:hint="default"/>
      </w:rPr>
    </w:lvl>
    <w:lvl w:ilvl="3" w:tplc="CB02B51A">
      <w:start w:val="1"/>
      <w:numFmt w:val="bullet"/>
      <w:lvlText w:val=""/>
      <w:lvlJc w:val="left"/>
      <w:pPr>
        <w:ind w:left="2880" w:hanging="360"/>
      </w:pPr>
      <w:rPr>
        <w:rFonts w:ascii="Symbol" w:hAnsi="Symbol" w:hint="default"/>
      </w:rPr>
    </w:lvl>
    <w:lvl w:ilvl="4" w:tplc="4C64F78A">
      <w:start w:val="1"/>
      <w:numFmt w:val="bullet"/>
      <w:lvlText w:val="o"/>
      <w:lvlJc w:val="left"/>
      <w:pPr>
        <w:ind w:left="3600" w:hanging="360"/>
      </w:pPr>
      <w:rPr>
        <w:rFonts w:ascii="Courier New" w:hAnsi="Courier New" w:hint="default"/>
      </w:rPr>
    </w:lvl>
    <w:lvl w:ilvl="5" w:tplc="0F8EFC18">
      <w:start w:val="1"/>
      <w:numFmt w:val="bullet"/>
      <w:lvlText w:val=""/>
      <w:lvlJc w:val="left"/>
      <w:pPr>
        <w:ind w:left="4320" w:hanging="360"/>
      </w:pPr>
      <w:rPr>
        <w:rFonts w:ascii="Wingdings" w:hAnsi="Wingdings" w:hint="default"/>
      </w:rPr>
    </w:lvl>
    <w:lvl w:ilvl="6" w:tplc="D54C4018">
      <w:start w:val="1"/>
      <w:numFmt w:val="bullet"/>
      <w:lvlText w:val=""/>
      <w:lvlJc w:val="left"/>
      <w:pPr>
        <w:ind w:left="5040" w:hanging="360"/>
      </w:pPr>
      <w:rPr>
        <w:rFonts w:ascii="Symbol" w:hAnsi="Symbol" w:hint="default"/>
      </w:rPr>
    </w:lvl>
    <w:lvl w:ilvl="7" w:tplc="6EA2DDD0">
      <w:start w:val="1"/>
      <w:numFmt w:val="bullet"/>
      <w:lvlText w:val="o"/>
      <w:lvlJc w:val="left"/>
      <w:pPr>
        <w:ind w:left="5760" w:hanging="360"/>
      </w:pPr>
      <w:rPr>
        <w:rFonts w:ascii="Courier New" w:hAnsi="Courier New" w:hint="default"/>
      </w:rPr>
    </w:lvl>
    <w:lvl w:ilvl="8" w:tplc="2F2E64E2">
      <w:start w:val="1"/>
      <w:numFmt w:val="bullet"/>
      <w:lvlText w:val=""/>
      <w:lvlJc w:val="left"/>
      <w:pPr>
        <w:ind w:left="6480" w:hanging="360"/>
      </w:pPr>
      <w:rPr>
        <w:rFonts w:ascii="Wingdings" w:hAnsi="Wingdings" w:hint="default"/>
      </w:rPr>
    </w:lvl>
  </w:abstractNum>
  <w:abstractNum w:abstractNumId="23" w15:restartNumberingAfterBreak="0">
    <w:nsid w:val="59B35DE5"/>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4" w15:restartNumberingAfterBreak="0">
    <w:nsid w:val="5A5EAF02"/>
    <w:multiLevelType w:val="hybridMultilevel"/>
    <w:tmpl w:val="20A6E8CE"/>
    <w:lvl w:ilvl="0" w:tplc="D5FEEA06">
      <w:start w:val="1"/>
      <w:numFmt w:val="decimal"/>
      <w:lvlText w:val="%1."/>
      <w:lvlJc w:val="left"/>
      <w:pPr>
        <w:ind w:left="720" w:hanging="360"/>
      </w:pPr>
    </w:lvl>
    <w:lvl w:ilvl="1" w:tplc="834440F6">
      <w:start w:val="1"/>
      <w:numFmt w:val="lowerLetter"/>
      <w:lvlText w:val="%2."/>
      <w:lvlJc w:val="left"/>
      <w:pPr>
        <w:ind w:left="1440" w:hanging="360"/>
      </w:pPr>
    </w:lvl>
    <w:lvl w:ilvl="2" w:tplc="712657D2">
      <w:start w:val="1"/>
      <w:numFmt w:val="lowerRoman"/>
      <w:lvlText w:val="%3."/>
      <w:lvlJc w:val="right"/>
      <w:pPr>
        <w:ind w:left="2160" w:hanging="180"/>
      </w:pPr>
    </w:lvl>
    <w:lvl w:ilvl="3" w:tplc="92C4E33C">
      <w:start w:val="1"/>
      <w:numFmt w:val="decimal"/>
      <w:lvlText w:val="%4."/>
      <w:lvlJc w:val="left"/>
      <w:pPr>
        <w:ind w:left="2880" w:hanging="360"/>
      </w:pPr>
    </w:lvl>
    <w:lvl w:ilvl="4" w:tplc="F0D6C558">
      <w:start w:val="1"/>
      <w:numFmt w:val="lowerLetter"/>
      <w:lvlText w:val="%5."/>
      <w:lvlJc w:val="left"/>
      <w:pPr>
        <w:ind w:left="3600" w:hanging="360"/>
      </w:pPr>
    </w:lvl>
    <w:lvl w:ilvl="5" w:tplc="3AF435C2">
      <w:start w:val="1"/>
      <w:numFmt w:val="lowerRoman"/>
      <w:lvlText w:val="%6."/>
      <w:lvlJc w:val="right"/>
      <w:pPr>
        <w:ind w:left="4320" w:hanging="180"/>
      </w:pPr>
    </w:lvl>
    <w:lvl w:ilvl="6" w:tplc="CA8E5894">
      <w:start w:val="1"/>
      <w:numFmt w:val="decimal"/>
      <w:lvlText w:val="%7."/>
      <w:lvlJc w:val="left"/>
      <w:pPr>
        <w:ind w:left="5040" w:hanging="360"/>
      </w:pPr>
    </w:lvl>
    <w:lvl w:ilvl="7" w:tplc="ABAA4CC4">
      <w:start w:val="1"/>
      <w:numFmt w:val="lowerLetter"/>
      <w:lvlText w:val="%8."/>
      <w:lvlJc w:val="left"/>
      <w:pPr>
        <w:ind w:left="5760" w:hanging="360"/>
      </w:pPr>
    </w:lvl>
    <w:lvl w:ilvl="8" w:tplc="54EC7B42">
      <w:start w:val="1"/>
      <w:numFmt w:val="lowerRoman"/>
      <w:lvlText w:val="%9."/>
      <w:lvlJc w:val="right"/>
      <w:pPr>
        <w:ind w:left="6480" w:hanging="180"/>
      </w:pPr>
    </w:lvl>
  </w:abstractNum>
  <w:abstractNum w:abstractNumId="25" w15:restartNumberingAfterBreak="0">
    <w:nsid w:val="5C07B755"/>
    <w:multiLevelType w:val="hybridMultilevel"/>
    <w:tmpl w:val="FFFFFFFF"/>
    <w:lvl w:ilvl="0" w:tplc="3740E85C">
      <w:start w:val="1"/>
      <w:numFmt w:val="bullet"/>
      <w:lvlText w:val=""/>
      <w:lvlJc w:val="left"/>
      <w:pPr>
        <w:ind w:left="720" w:hanging="360"/>
      </w:pPr>
      <w:rPr>
        <w:rFonts w:ascii="Symbol" w:hAnsi="Symbol" w:hint="default"/>
      </w:rPr>
    </w:lvl>
    <w:lvl w:ilvl="1" w:tplc="AA30A578">
      <w:start w:val="1"/>
      <w:numFmt w:val="bullet"/>
      <w:lvlText w:val="o"/>
      <w:lvlJc w:val="left"/>
      <w:pPr>
        <w:ind w:left="1440" w:hanging="360"/>
      </w:pPr>
      <w:rPr>
        <w:rFonts w:ascii="Courier New" w:hAnsi="Courier New" w:hint="default"/>
      </w:rPr>
    </w:lvl>
    <w:lvl w:ilvl="2" w:tplc="6DE8C9A2">
      <w:start w:val="1"/>
      <w:numFmt w:val="bullet"/>
      <w:lvlText w:val=""/>
      <w:lvlJc w:val="left"/>
      <w:pPr>
        <w:ind w:left="2160" w:hanging="360"/>
      </w:pPr>
      <w:rPr>
        <w:rFonts w:ascii="Wingdings" w:hAnsi="Wingdings" w:hint="default"/>
      </w:rPr>
    </w:lvl>
    <w:lvl w:ilvl="3" w:tplc="D724206E">
      <w:start w:val="1"/>
      <w:numFmt w:val="bullet"/>
      <w:lvlText w:val=""/>
      <w:lvlJc w:val="left"/>
      <w:pPr>
        <w:ind w:left="2880" w:hanging="360"/>
      </w:pPr>
      <w:rPr>
        <w:rFonts w:ascii="Symbol" w:hAnsi="Symbol" w:hint="default"/>
      </w:rPr>
    </w:lvl>
    <w:lvl w:ilvl="4" w:tplc="7FB0F670">
      <w:start w:val="1"/>
      <w:numFmt w:val="bullet"/>
      <w:lvlText w:val="o"/>
      <w:lvlJc w:val="left"/>
      <w:pPr>
        <w:ind w:left="3600" w:hanging="360"/>
      </w:pPr>
      <w:rPr>
        <w:rFonts w:ascii="Courier New" w:hAnsi="Courier New" w:hint="default"/>
      </w:rPr>
    </w:lvl>
    <w:lvl w:ilvl="5" w:tplc="DCD2E7E8">
      <w:start w:val="1"/>
      <w:numFmt w:val="bullet"/>
      <w:lvlText w:val=""/>
      <w:lvlJc w:val="left"/>
      <w:pPr>
        <w:ind w:left="4320" w:hanging="360"/>
      </w:pPr>
      <w:rPr>
        <w:rFonts w:ascii="Wingdings" w:hAnsi="Wingdings" w:hint="default"/>
      </w:rPr>
    </w:lvl>
    <w:lvl w:ilvl="6" w:tplc="45E6EDF0">
      <w:start w:val="1"/>
      <w:numFmt w:val="bullet"/>
      <w:lvlText w:val=""/>
      <w:lvlJc w:val="left"/>
      <w:pPr>
        <w:ind w:left="5040" w:hanging="360"/>
      </w:pPr>
      <w:rPr>
        <w:rFonts w:ascii="Symbol" w:hAnsi="Symbol" w:hint="default"/>
      </w:rPr>
    </w:lvl>
    <w:lvl w:ilvl="7" w:tplc="C14899B6">
      <w:start w:val="1"/>
      <w:numFmt w:val="bullet"/>
      <w:lvlText w:val="o"/>
      <w:lvlJc w:val="left"/>
      <w:pPr>
        <w:ind w:left="5760" w:hanging="360"/>
      </w:pPr>
      <w:rPr>
        <w:rFonts w:ascii="Courier New" w:hAnsi="Courier New" w:hint="default"/>
      </w:rPr>
    </w:lvl>
    <w:lvl w:ilvl="8" w:tplc="8B8A9D36">
      <w:start w:val="1"/>
      <w:numFmt w:val="bullet"/>
      <w:lvlText w:val=""/>
      <w:lvlJc w:val="left"/>
      <w:pPr>
        <w:ind w:left="6480" w:hanging="360"/>
      </w:pPr>
      <w:rPr>
        <w:rFonts w:ascii="Wingdings" w:hAnsi="Wingdings" w:hint="default"/>
      </w:rPr>
    </w:lvl>
  </w:abstractNum>
  <w:abstractNum w:abstractNumId="26" w15:restartNumberingAfterBreak="0">
    <w:nsid w:val="5C7CB766"/>
    <w:multiLevelType w:val="hybridMultilevel"/>
    <w:tmpl w:val="38740FFE"/>
    <w:lvl w:ilvl="0" w:tplc="E3B68068">
      <w:start w:val="1"/>
      <w:numFmt w:val="bullet"/>
      <w:lvlText w:val=""/>
      <w:lvlJc w:val="left"/>
      <w:pPr>
        <w:ind w:left="720" w:hanging="360"/>
      </w:pPr>
      <w:rPr>
        <w:rFonts w:ascii="Symbol" w:hAnsi="Symbol" w:hint="default"/>
      </w:rPr>
    </w:lvl>
    <w:lvl w:ilvl="1" w:tplc="99FCDEB2">
      <w:start w:val="1"/>
      <w:numFmt w:val="bullet"/>
      <w:lvlText w:val="o"/>
      <w:lvlJc w:val="left"/>
      <w:pPr>
        <w:ind w:left="1440" w:hanging="360"/>
      </w:pPr>
      <w:rPr>
        <w:rFonts w:ascii="Courier New" w:hAnsi="Courier New" w:hint="default"/>
      </w:rPr>
    </w:lvl>
    <w:lvl w:ilvl="2" w:tplc="FEAA6BD0">
      <w:start w:val="1"/>
      <w:numFmt w:val="bullet"/>
      <w:lvlText w:val=""/>
      <w:lvlJc w:val="left"/>
      <w:pPr>
        <w:ind w:left="2160" w:hanging="360"/>
      </w:pPr>
      <w:rPr>
        <w:rFonts w:ascii="Wingdings" w:hAnsi="Wingdings" w:hint="default"/>
      </w:rPr>
    </w:lvl>
    <w:lvl w:ilvl="3" w:tplc="9DD212B2">
      <w:start w:val="1"/>
      <w:numFmt w:val="bullet"/>
      <w:lvlText w:val=""/>
      <w:lvlJc w:val="left"/>
      <w:pPr>
        <w:ind w:left="2880" w:hanging="360"/>
      </w:pPr>
      <w:rPr>
        <w:rFonts w:ascii="Symbol" w:hAnsi="Symbol" w:hint="default"/>
      </w:rPr>
    </w:lvl>
    <w:lvl w:ilvl="4" w:tplc="BC9AE194">
      <w:start w:val="1"/>
      <w:numFmt w:val="bullet"/>
      <w:lvlText w:val="o"/>
      <w:lvlJc w:val="left"/>
      <w:pPr>
        <w:ind w:left="3600" w:hanging="360"/>
      </w:pPr>
      <w:rPr>
        <w:rFonts w:ascii="Courier New" w:hAnsi="Courier New" w:hint="default"/>
      </w:rPr>
    </w:lvl>
    <w:lvl w:ilvl="5" w:tplc="6B18DF52">
      <w:start w:val="1"/>
      <w:numFmt w:val="bullet"/>
      <w:lvlText w:val=""/>
      <w:lvlJc w:val="left"/>
      <w:pPr>
        <w:ind w:left="4320" w:hanging="360"/>
      </w:pPr>
      <w:rPr>
        <w:rFonts w:ascii="Wingdings" w:hAnsi="Wingdings" w:hint="default"/>
      </w:rPr>
    </w:lvl>
    <w:lvl w:ilvl="6" w:tplc="FB2EA9BE">
      <w:start w:val="1"/>
      <w:numFmt w:val="bullet"/>
      <w:lvlText w:val=""/>
      <w:lvlJc w:val="left"/>
      <w:pPr>
        <w:ind w:left="5040" w:hanging="360"/>
      </w:pPr>
      <w:rPr>
        <w:rFonts w:ascii="Symbol" w:hAnsi="Symbol" w:hint="default"/>
      </w:rPr>
    </w:lvl>
    <w:lvl w:ilvl="7" w:tplc="6EA41290">
      <w:start w:val="1"/>
      <w:numFmt w:val="bullet"/>
      <w:lvlText w:val="o"/>
      <w:lvlJc w:val="left"/>
      <w:pPr>
        <w:ind w:left="5760" w:hanging="360"/>
      </w:pPr>
      <w:rPr>
        <w:rFonts w:ascii="Courier New" w:hAnsi="Courier New" w:hint="default"/>
      </w:rPr>
    </w:lvl>
    <w:lvl w:ilvl="8" w:tplc="96E437C6">
      <w:start w:val="1"/>
      <w:numFmt w:val="bullet"/>
      <w:lvlText w:val=""/>
      <w:lvlJc w:val="left"/>
      <w:pPr>
        <w:ind w:left="6480" w:hanging="360"/>
      </w:pPr>
      <w:rPr>
        <w:rFonts w:ascii="Wingdings" w:hAnsi="Wingdings" w:hint="default"/>
      </w:rPr>
    </w:lvl>
  </w:abstractNum>
  <w:abstractNum w:abstractNumId="27" w15:restartNumberingAfterBreak="0">
    <w:nsid w:val="5CF74C82"/>
    <w:multiLevelType w:val="multilevel"/>
    <w:tmpl w:val="A84E3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C71AA4"/>
    <w:multiLevelType w:val="hybridMultilevel"/>
    <w:tmpl w:val="FFFFFFFF"/>
    <w:lvl w:ilvl="0" w:tplc="68BED562">
      <w:start w:val="1"/>
      <w:numFmt w:val="decimal"/>
      <w:lvlText w:val="%1."/>
      <w:lvlJc w:val="left"/>
      <w:pPr>
        <w:ind w:left="720" w:hanging="360"/>
      </w:pPr>
    </w:lvl>
    <w:lvl w:ilvl="1" w:tplc="A4A4C67A">
      <w:start w:val="1"/>
      <w:numFmt w:val="lowerLetter"/>
      <w:lvlText w:val="%2."/>
      <w:lvlJc w:val="left"/>
      <w:pPr>
        <w:ind w:left="1440" w:hanging="360"/>
      </w:pPr>
    </w:lvl>
    <w:lvl w:ilvl="2" w:tplc="E076A4F4">
      <w:start w:val="1"/>
      <w:numFmt w:val="lowerRoman"/>
      <w:lvlText w:val="%3."/>
      <w:lvlJc w:val="right"/>
      <w:pPr>
        <w:ind w:left="2160" w:hanging="180"/>
      </w:pPr>
    </w:lvl>
    <w:lvl w:ilvl="3" w:tplc="D706BCAC">
      <w:start w:val="1"/>
      <w:numFmt w:val="decimal"/>
      <w:lvlText w:val="%4."/>
      <w:lvlJc w:val="left"/>
      <w:pPr>
        <w:ind w:left="2880" w:hanging="360"/>
      </w:pPr>
    </w:lvl>
    <w:lvl w:ilvl="4" w:tplc="BA04B18A">
      <w:start w:val="1"/>
      <w:numFmt w:val="lowerLetter"/>
      <w:lvlText w:val="%5."/>
      <w:lvlJc w:val="left"/>
      <w:pPr>
        <w:ind w:left="3600" w:hanging="360"/>
      </w:pPr>
    </w:lvl>
    <w:lvl w:ilvl="5" w:tplc="AB044F14">
      <w:start w:val="1"/>
      <w:numFmt w:val="lowerRoman"/>
      <w:lvlText w:val="%6."/>
      <w:lvlJc w:val="right"/>
      <w:pPr>
        <w:ind w:left="4320" w:hanging="180"/>
      </w:pPr>
    </w:lvl>
    <w:lvl w:ilvl="6" w:tplc="2B9C4D06">
      <w:start w:val="1"/>
      <w:numFmt w:val="decimal"/>
      <w:lvlText w:val="%7."/>
      <w:lvlJc w:val="left"/>
      <w:pPr>
        <w:ind w:left="5040" w:hanging="360"/>
      </w:pPr>
    </w:lvl>
    <w:lvl w:ilvl="7" w:tplc="37A8A35C">
      <w:start w:val="1"/>
      <w:numFmt w:val="lowerLetter"/>
      <w:lvlText w:val="%8."/>
      <w:lvlJc w:val="left"/>
      <w:pPr>
        <w:ind w:left="5760" w:hanging="360"/>
      </w:pPr>
    </w:lvl>
    <w:lvl w:ilvl="8" w:tplc="A3EC3C8E">
      <w:start w:val="1"/>
      <w:numFmt w:val="lowerRoman"/>
      <w:lvlText w:val="%9."/>
      <w:lvlJc w:val="right"/>
      <w:pPr>
        <w:ind w:left="6480" w:hanging="180"/>
      </w:pPr>
    </w:lvl>
  </w:abstractNum>
  <w:abstractNum w:abstractNumId="29" w15:restartNumberingAfterBreak="0">
    <w:nsid w:val="5E0069CF"/>
    <w:multiLevelType w:val="hybridMultilevel"/>
    <w:tmpl w:val="FFFFFFFF"/>
    <w:lvl w:ilvl="0" w:tplc="9E444760">
      <w:start w:val="1"/>
      <w:numFmt w:val="bullet"/>
      <w:lvlText w:val=""/>
      <w:lvlJc w:val="left"/>
      <w:pPr>
        <w:ind w:left="720" w:hanging="360"/>
      </w:pPr>
      <w:rPr>
        <w:rFonts w:ascii="Symbol" w:hAnsi="Symbol" w:hint="default"/>
      </w:rPr>
    </w:lvl>
    <w:lvl w:ilvl="1" w:tplc="AEF21C40">
      <w:start w:val="1"/>
      <w:numFmt w:val="bullet"/>
      <w:lvlText w:val="o"/>
      <w:lvlJc w:val="left"/>
      <w:pPr>
        <w:ind w:left="1440" w:hanging="360"/>
      </w:pPr>
      <w:rPr>
        <w:rFonts w:ascii="Courier New" w:hAnsi="Courier New" w:hint="default"/>
      </w:rPr>
    </w:lvl>
    <w:lvl w:ilvl="2" w:tplc="0E9A8BD2">
      <w:start w:val="1"/>
      <w:numFmt w:val="bullet"/>
      <w:lvlText w:val=""/>
      <w:lvlJc w:val="left"/>
      <w:pPr>
        <w:ind w:left="2160" w:hanging="360"/>
      </w:pPr>
      <w:rPr>
        <w:rFonts w:ascii="Wingdings" w:hAnsi="Wingdings" w:hint="default"/>
      </w:rPr>
    </w:lvl>
    <w:lvl w:ilvl="3" w:tplc="9A624D66">
      <w:start w:val="1"/>
      <w:numFmt w:val="bullet"/>
      <w:lvlText w:val=""/>
      <w:lvlJc w:val="left"/>
      <w:pPr>
        <w:ind w:left="2880" w:hanging="360"/>
      </w:pPr>
      <w:rPr>
        <w:rFonts w:ascii="Symbol" w:hAnsi="Symbol" w:hint="default"/>
      </w:rPr>
    </w:lvl>
    <w:lvl w:ilvl="4" w:tplc="B9B6F5C6">
      <w:start w:val="1"/>
      <w:numFmt w:val="bullet"/>
      <w:lvlText w:val="o"/>
      <w:lvlJc w:val="left"/>
      <w:pPr>
        <w:ind w:left="3600" w:hanging="360"/>
      </w:pPr>
      <w:rPr>
        <w:rFonts w:ascii="Courier New" w:hAnsi="Courier New" w:hint="default"/>
      </w:rPr>
    </w:lvl>
    <w:lvl w:ilvl="5" w:tplc="427603F6">
      <w:start w:val="1"/>
      <w:numFmt w:val="bullet"/>
      <w:lvlText w:val=""/>
      <w:lvlJc w:val="left"/>
      <w:pPr>
        <w:ind w:left="4320" w:hanging="360"/>
      </w:pPr>
      <w:rPr>
        <w:rFonts w:ascii="Wingdings" w:hAnsi="Wingdings" w:hint="default"/>
      </w:rPr>
    </w:lvl>
    <w:lvl w:ilvl="6" w:tplc="50B0C5E4">
      <w:start w:val="1"/>
      <w:numFmt w:val="bullet"/>
      <w:lvlText w:val=""/>
      <w:lvlJc w:val="left"/>
      <w:pPr>
        <w:ind w:left="5040" w:hanging="360"/>
      </w:pPr>
      <w:rPr>
        <w:rFonts w:ascii="Symbol" w:hAnsi="Symbol" w:hint="default"/>
      </w:rPr>
    </w:lvl>
    <w:lvl w:ilvl="7" w:tplc="4E28C3CA">
      <w:start w:val="1"/>
      <w:numFmt w:val="bullet"/>
      <w:lvlText w:val="o"/>
      <w:lvlJc w:val="left"/>
      <w:pPr>
        <w:ind w:left="5760" w:hanging="360"/>
      </w:pPr>
      <w:rPr>
        <w:rFonts w:ascii="Courier New" w:hAnsi="Courier New" w:hint="default"/>
      </w:rPr>
    </w:lvl>
    <w:lvl w:ilvl="8" w:tplc="AEB84E0E">
      <w:start w:val="1"/>
      <w:numFmt w:val="bullet"/>
      <w:lvlText w:val=""/>
      <w:lvlJc w:val="left"/>
      <w:pPr>
        <w:ind w:left="6480" w:hanging="360"/>
      </w:pPr>
      <w:rPr>
        <w:rFonts w:ascii="Wingdings" w:hAnsi="Wingdings" w:hint="default"/>
      </w:rPr>
    </w:lvl>
  </w:abstractNum>
  <w:abstractNum w:abstractNumId="30" w15:restartNumberingAfterBreak="0">
    <w:nsid w:val="5E8818C2"/>
    <w:multiLevelType w:val="hybridMultilevel"/>
    <w:tmpl w:val="FFFFFFFF"/>
    <w:lvl w:ilvl="0" w:tplc="F36046EA">
      <w:start w:val="1"/>
      <w:numFmt w:val="bullet"/>
      <w:lvlText w:val=""/>
      <w:lvlJc w:val="left"/>
      <w:pPr>
        <w:ind w:left="720" w:hanging="360"/>
      </w:pPr>
      <w:rPr>
        <w:rFonts w:ascii="Symbol" w:hAnsi="Symbol" w:hint="default"/>
      </w:rPr>
    </w:lvl>
    <w:lvl w:ilvl="1" w:tplc="F232ECDE">
      <w:start w:val="1"/>
      <w:numFmt w:val="bullet"/>
      <w:lvlText w:val="o"/>
      <w:lvlJc w:val="left"/>
      <w:pPr>
        <w:ind w:left="1440" w:hanging="360"/>
      </w:pPr>
      <w:rPr>
        <w:rFonts w:ascii="Courier New" w:hAnsi="Courier New" w:hint="default"/>
      </w:rPr>
    </w:lvl>
    <w:lvl w:ilvl="2" w:tplc="9980354A">
      <w:start w:val="1"/>
      <w:numFmt w:val="bullet"/>
      <w:lvlText w:val=""/>
      <w:lvlJc w:val="left"/>
      <w:pPr>
        <w:ind w:left="2160" w:hanging="360"/>
      </w:pPr>
      <w:rPr>
        <w:rFonts w:ascii="Wingdings" w:hAnsi="Wingdings" w:hint="default"/>
      </w:rPr>
    </w:lvl>
    <w:lvl w:ilvl="3" w:tplc="E93E6EF0">
      <w:start w:val="1"/>
      <w:numFmt w:val="bullet"/>
      <w:lvlText w:val=""/>
      <w:lvlJc w:val="left"/>
      <w:pPr>
        <w:ind w:left="2880" w:hanging="360"/>
      </w:pPr>
      <w:rPr>
        <w:rFonts w:ascii="Symbol" w:hAnsi="Symbol" w:hint="default"/>
      </w:rPr>
    </w:lvl>
    <w:lvl w:ilvl="4" w:tplc="8234AD22">
      <w:start w:val="1"/>
      <w:numFmt w:val="bullet"/>
      <w:lvlText w:val="o"/>
      <w:lvlJc w:val="left"/>
      <w:pPr>
        <w:ind w:left="3600" w:hanging="360"/>
      </w:pPr>
      <w:rPr>
        <w:rFonts w:ascii="Courier New" w:hAnsi="Courier New" w:hint="default"/>
      </w:rPr>
    </w:lvl>
    <w:lvl w:ilvl="5" w:tplc="81D40B00">
      <w:start w:val="1"/>
      <w:numFmt w:val="bullet"/>
      <w:lvlText w:val=""/>
      <w:lvlJc w:val="left"/>
      <w:pPr>
        <w:ind w:left="4320" w:hanging="360"/>
      </w:pPr>
      <w:rPr>
        <w:rFonts w:ascii="Wingdings" w:hAnsi="Wingdings" w:hint="default"/>
      </w:rPr>
    </w:lvl>
    <w:lvl w:ilvl="6" w:tplc="40F2E544">
      <w:start w:val="1"/>
      <w:numFmt w:val="bullet"/>
      <w:lvlText w:val=""/>
      <w:lvlJc w:val="left"/>
      <w:pPr>
        <w:ind w:left="5040" w:hanging="360"/>
      </w:pPr>
      <w:rPr>
        <w:rFonts w:ascii="Symbol" w:hAnsi="Symbol" w:hint="default"/>
      </w:rPr>
    </w:lvl>
    <w:lvl w:ilvl="7" w:tplc="206E8FC2">
      <w:start w:val="1"/>
      <w:numFmt w:val="bullet"/>
      <w:lvlText w:val="o"/>
      <w:lvlJc w:val="left"/>
      <w:pPr>
        <w:ind w:left="5760" w:hanging="360"/>
      </w:pPr>
      <w:rPr>
        <w:rFonts w:ascii="Courier New" w:hAnsi="Courier New" w:hint="default"/>
      </w:rPr>
    </w:lvl>
    <w:lvl w:ilvl="8" w:tplc="B01EE2D8">
      <w:start w:val="1"/>
      <w:numFmt w:val="bullet"/>
      <w:lvlText w:val=""/>
      <w:lvlJc w:val="left"/>
      <w:pPr>
        <w:ind w:left="6480" w:hanging="360"/>
      </w:pPr>
      <w:rPr>
        <w:rFonts w:ascii="Wingdings" w:hAnsi="Wingdings" w:hint="default"/>
      </w:rPr>
    </w:lvl>
  </w:abstractNum>
  <w:abstractNum w:abstractNumId="31" w15:restartNumberingAfterBreak="0">
    <w:nsid w:val="600A89C3"/>
    <w:multiLevelType w:val="hybridMultilevel"/>
    <w:tmpl w:val="FFFFFFFF"/>
    <w:lvl w:ilvl="0" w:tplc="3D4034FC">
      <w:start w:val="1"/>
      <w:numFmt w:val="bullet"/>
      <w:lvlText w:val=""/>
      <w:lvlJc w:val="left"/>
      <w:pPr>
        <w:ind w:left="720" w:hanging="360"/>
      </w:pPr>
      <w:rPr>
        <w:rFonts w:ascii="Symbol" w:hAnsi="Symbol" w:hint="default"/>
      </w:rPr>
    </w:lvl>
    <w:lvl w:ilvl="1" w:tplc="2DFC9F72">
      <w:start w:val="1"/>
      <w:numFmt w:val="bullet"/>
      <w:lvlText w:val="o"/>
      <w:lvlJc w:val="left"/>
      <w:pPr>
        <w:ind w:left="1440" w:hanging="360"/>
      </w:pPr>
      <w:rPr>
        <w:rFonts w:ascii="Courier New" w:hAnsi="Courier New" w:hint="default"/>
      </w:rPr>
    </w:lvl>
    <w:lvl w:ilvl="2" w:tplc="894A3D7C">
      <w:start w:val="1"/>
      <w:numFmt w:val="bullet"/>
      <w:lvlText w:val=""/>
      <w:lvlJc w:val="left"/>
      <w:pPr>
        <w:ind w:left="2160" w:hanging="360"/>
      </w:pPr>
      <w:rPr>
        <w:rFonts w:ascii="Wingdings" w:hAnsi="Wingdings" w:hint="default"/>
      </w:rPr>
    </w:lvl>
    <w:lvl w:ilvl="3" w:tplc="19F648B6">
      <w:start w:val="1"/>
      <w:numFmt w:val="bullet"/>
      <w:lvlText w:val=""/>
      <w:lvlJc w:val="left"/>
      <w:pPr>
        <w:ind w:left="2880" w:hanging="360"/>
      </w:pPr>
      <w:rPr>
        <w:rFonts w:ascii="Symbol" w:hAnsi="Symbol" w:hint="default"/>
      </w:rPr>
    </w:lvl>
    <w:lvl w:ilvl="4" w:tplc="D98C512E">
      <w:start w:val="1"/>
      <w:numFmt w:val="bullet"/>
      <w:lvlText w:val="o"/>
      <w:lvlJc w:val="left"/>
      <w:pPr>
        <w:ind w:left="3600" w:hanging="360"/>
      </w:pPr>
      <w:rPr>
        <w:rFonts w:ascii="Courier New" w:hAnsi="Courier New" w:hint="default"/>
      </w:rPr>
    </w:lvl>
    <w:lvl w:ilvl="5" w:tplc="B9CE9EC0">
      <w:start w:val="1"/>
      <w:numFmt w:val="bullet"/>
      <w:lvlText w:val=""/>
      <w:lvlJc w:val="left"/>
      <w:pPr>
        <w:ind w:left="4320" w:hanging="360"/>
      </w:pPr>
      <w:rPr>
        <w:rFonts w:ascii="Wingdings" w:hAnsi="Wingdings" w:hint="default"/>
      </w:rPr>
    </w:lvl>
    <w:lvl w:ilvl="6" w:tplc="B33C87C2">
      <w:start w:val="1"/>
      <w:numFmt w:val="bullet"/>
      <w:lvlText w:val=""/>
      <w:lvlJc w:val="left"/>
      <w:pPr>
        <w:ind w:left="5040" w:hanging="360"/>
      </w:pPr>
      <w:rPr>
        <w:rFonts w:ascii="Symbol" w:hAnsi="Symbol" w:hint="default"/>
      </w:rPr>
    </w:lvl>
    <w:lvl w:ilvl="7" w:tplc="9BBCFFDA">
      <w:start w:val="1"/>
      <w:numFmt w:val="bullet"/>
      <w:lvlText w:val="o"/>
      <w:lvlJc w:val="left"/>
      <w:pPr>
        <w:ind w:left="5760" w:hanging="360"/>
      </w:pPr>
      <w:rPr>
        <w:rFonts w:ascii="Courier New" w:hAnsi="Courier New" w:hint="default"/>
      </w:rPr>
    </w:lvl>
    <w:lvl w:ilvl="8" w:tplc="D53E528A">
      <w:start w:val="1"/>
      <w:numFmt w:val="bullet"/>
      <w:lvlText w:val=""/>
      <w:lvlJc w:val="left"/>
      <w:pPr>
        <w:ind w:left="6480" w:hanging="360"/>
      </w:pPr>
      <w:rPr>
        <w:rFonts w:ascii="Wingdings" w:hAnsi="Wingdings" w:hint="default"/>
      </w:rPr>
    </w:lvl>
  </w:abstractNum>
  <w:abstractNum w:abstractNumId="32" w15:restartNumberingAfterBreak="0">
    <w:nsid w:val="60A02A71"/>
    <w:multiLevelType w:val="hybridMultilevel"/>
    <w:tmpl w:val="FFFFFFFF"/>
    <w:lvl w:ilvl="0" w:tplc="370291A8">
      <w:start w:val="1"/>
      <w:numFmt w:val="bullet"/>
      <w:lvlText w:val=""/>
      <w:lvlJc w:val="left"/>
      <w:pPr>
        <w:ind w:left="720" w:hanging="360"/>
      </w:pPr>
      <w:rPr>
        <w:rFonts w:ascii="Symbol" w:hAnsi="Symbol" w:hint="default"/>
      </w:rPr>
    </w:lvl>
    <w:lvl w:ilvl="1" w:tplc="754088CE">
      <w:start w:val="1"/>
      <w:numFmt w:val="bullet"/>
      <w:lvlText w:val="o"/>
      <w:lvlJc w:val="left"/>
      <w:pPr>
        <w:ind w:left="1440" w:hanging="360"/>
      </w:pPr>
      <w:rPr>
        <w:rFonts w:ascii="Courier New" w:hAnsi="Courier New" w:hint="default"/>
      </w:rPr>
    </w:lvl>
    <w:lvl w:ilvl="2" w:tplc="E5B01C26">
      <w:start w:val="1"/>
      <w:numFmt w:val="bullet"/>
      <w:lvlText w:val=""/>
      <w:lvlJc w:val="left"/>
      <w:pPr>
        <w:ind w:left="2160" w:hanging="360"/>
      </w:pPr>
      <w:rPr>
        <w:rFonts w:ascii="Wingdings" w:hAnsi="Wingdings" w:hint="default"/>
      </w:rPr>
    </w:lvl>
    <w:lvl w:ilvl="3" w:tplc="5B1A5254">
      <w:start w:val="1"/>
      <w:numFmt w:val="bullet"/>
      <w:lvlText w:val=""/>
      <w:lvlJc w:val="left"/>
      <w:pPr>
        <w:ind w:left="2880" w:hanging="360"/>
      </w:pPr>
      <w:rPr>
        <w:rFonts w:ascii="Symbol" w:hAnsi="Symbol" w:hint="default"/>
      </w:rPr>
    </w:lvl>
    <w:lvl w:ilvl="4" w:tplc="CE0C3644">
      <w:start w:val="1"/>
      <w:numFmt w:val="bullet"/>
      <w:lvlText w:val="o"/>
      <w:lvlJc w:val="left"/>
      <w:pPr>
        <w:ind w:left="3600" w:hanging="360"/>
      </w:pPr>
      <w:rPr>
        <w:rFonts w:ascii="Courier New" w:hAnsi="Courier New" w:hint="default"/>
      </w:rPr>
    </w:lvl>
    <w:lvl w:ilvl="5" w:tplc="1D0A5EB6">
      <w:start w:val="1"/>
      <w:numFmt w:val="bullet"/>
      <w:lvlText w:val=""/>
      <w:lvlJc w:val="left"/>
      <w:pPr>
        <w:ind w:left="4320" w:hanging="360"/>
      </w:pPr>
      <w:rPr>
        <w:rFonts w:ascii="Wingdings" w:hAnsi="Wingdings" w:hint="default"/>
      </w:rPr>
    </w:lvl>
    <w:lvl w:ilvl="6" w:tplc="0A3E6796">
      <w:start w:val="1"/>
      <w:numFmt w:val="bullet"/>
      <w:lvlText w:val=""/>
      <w:lvlJc w:val="left"/>
      <w:pPr>
        <w:ind w:left="5040" w:hanging="360"/>
      </w:pPr>
      <w:rPr>
        <w:rFonts w:ascii="Symbol" w:hAnsi="Symbol" w:hint="default"/>
      </w:rPr>
    </w:lvl>
    <w:lvl w:ilvl="7" w:tplc="500EA7D6">
      <w:start w:val="1"/>
      <w:numFmt w:val="bullet"/>
      <w:lvlText w:val="o"/>
      <w:lvlJc w:val="left"/>
      <w:pPr>
        <w:ind w:left="5760" w:hanging="360"/>
      </w:pPr>
      <w:rPr>
        <w:rFonts w:ascii="Courier New" w:hAnsi="Courier New" w:hint="default"/>
      </w:rPr>
    </w:lvl>
    <w:lvl w:ilvl="8" w:tplc="396C49E0">
      <w:start w:val="1"/>
      <w:numFmt w:val="bullet"/>
      <w:lvlText w:val=""/>
      <w:lvlJc w:val="left"/>
      <w:pPr>
        <w:ind w:left="6480" w:hanging="360"/>
      </w:pPr>
      <w:rPr>
        <w:rFonts w:ascii="Wingdings" w:hAnsi="Wingdings" w:hint="default"/>
      </w:rPr>
    </w:lvl>
  </w:abstractNum>
  <w:abstractNum w:abstractNumId="33" w15:restartNumberingAfterBreak="0">
    <w:nsid w:val="654FBF54"/>
    <w:multiLevelType w:val="hybridMultilevel"/>
    <w:tmpl w:val="FFFFFFFF"/>
    <w:lvl w:ilvl="0" w:tplc="D1F8918A">
      <w:start w:val="1"/>
      <w:numFmt w:val="bullet"/>
      <w:lvlText w:val=""/>
      <w:lvlJc w:val="left"/>
      <w:pPr>
        <w:ind w:left="720" w:hanging="360"/>
      </w:pPr>
      <w:rPr>
        <w:rFonts w:ascii="Symbol" w:hAnsi="Symbol" w:hint="default"/>
      </w:rPr>
    </w:lvl>
    <w:lvl w:ilvl="1" w:tplc="D41E33D6">
      <w:start w:val="1"/>
      <w:numFmt w:val="bullet"/>
      <w:lvlText w:val="o"/>
      <w:lvlJc w:val="left"/>
      <w:pPr>
        <w:ind w:left="1440" w:hanging="360"/>
      </w:pPr>
      <w:rPr>
        <w:rFonts w:ascii="Courier New" w:hAnsi="Courier New" w:hint="default"/>
      </w:rPr>
    </w:lvl>
    <w:lvl w:ilvl="2" w:tplc="06BE190A">
      <w:start w:val="1"/>
      <w:numFmt w:val="bullet"/>
      <w:lvlText w:val=""/>
      <w:lvlJc w:val="left"/>
      <w:pPr>
        <w:ind w:left="2160" w:hanging="360"/>
      </w:pPr>
      <w:rPr>
        <w:rFonts w:ascii="Wingdings" w:hAnsi="Wingdings" w:hint="default"/>
      </w:rPr>
    </w:lvl>
    <w:lvl w:ilvl="3" w:tplc="FC18E84E">
      <w:start w:val="1"/>
      <w:numFmt w:val="bullet"/>
      <w:lvlText w:val=""/>
      <w:lvlJc w:val="left"/>
      <w:pPr>
        <w:ind w:left="2880" w:hanging="360"/>
      </w:pPr>
      <w:rPr>
        <w:rFonts w:ascii="Symbol" w:hAnsi="Symbol" w:hint="default"/>
      </w:rPr>
    </w:lvl>
    <w:lvl w:ilvl="4" w:tplc="8BC4867E">
      <w:start w:val="1"/>
      <w:numFmt w:val="bullet"/>
      <w:lvlText w:val="o"/>
      <w:lvlJc w:val="left"/>
      <w:pPr>
        <w:ind w:left="3600" w:hanging="360"/>
      </w:pPr>
      <w:rPr>
        <w:rFonts w:ascii="Courier New" w:hAnsi="Courier New" w:hint="default"/>
      </w:rPr>
    </w:lvl>
    <w:lvl w:ilvl="5" w:tplc="F0660FB8">
      <w:start w:val="1"/>
      <w:numFmt w:val="bullet"/>
      <w:lvlText w:val=""/>
      <w:lvlJc w:val="left"/>
      <w:pPr>
        <w:ind w:left="4320" w:hanging="360"/>
      </w:pPr>
      <w:rPr>
        <w:rFonts w:ascii="Wingdings" w:hAnsi="Wingdings" w:hint="default"/>
      </w:rPr>
    </w:lvl>
    <w:lvl w:ilvl="6" w:tplc="4D10B596">
      <w:start w:val="1"/>
      <w:numFmt w:val="bullet"/>
      <w:lvlText w:val=""/>
      <w:lvlJc w:val="left"/>
      <w:pPr>
        <w:ind w:left="5040" w:hanging="360"/>
      </w:pPr>
      <w:rPr>
        <w:rFonts w:ascii="Symbol" w:hAnsi="Symbol" w:hint="default"/>
      </w:rPr>
    </w:lvl>
    <w:lvl w:ilvl="7" w:tplc="CF58E70A">
      <w:start w:val="1"/>
      <w:numFmt w:val="bullet"/>
      <w:lvlText w:val="o"/>
      <w:lvlJc w:val="left"/>
      <w:pPr>
        <w:ind w:left="5760" w:hanging="360"/>
      </w:pPr>
      <w:rPr>
        <w:rFonts w:ascii="Courier New" w:hAnsi="Courier New" w:hint="default"/>
      </w:rPr>
    </w:lvl>
    <w:lvl w:ilvl="8" w:tplc="207805F2">
      <w:start w:val="1"/>
      <w:numFmt w:val="bullet"/>
      <w:lvlText w:val=""/>
      <w:lvlJc w:val="left"/>
      <w:pPr>
        <w:ind w:left="6480" w:hanging="360"/>
      </w:pPr>
      <w:rPr>
        <w:rFonts w:ascii="Wingdings" w:hAnsi="Wingdings" w:hint="default"/>
      </w:rPr>
    </w:lvl>
  </w:abstractNum>
  <w:abstractNum w:abstractNumId="34" w15:restartNumberingAfterBreak="0">
    <w:nsid w:val="661A6595"/>
    <w:multiLevelType w:val="hybridMultilevel"/>
    <w:tmpl w:val="FFFFFFFF"/>
    <w:lvl w:ilvl="0" w:tplc="5028663A">
      <w:start w:val="1"/>
      <w:numFmt w:val="bullet"/>
      <w:lvlText w:val=""/>
      <w:lvlJc w:val="left"/>
      <w:pPr>
        <w:ind w:left="720" w:hanging="360"/>
      </w:pPr>
      <w:rPr>
        <w:rFonts w:ascii="Symbol" w:hAnsi="Symbol" w:hint="default"/>
      </w:rPr>
    </w:lvl>
    <w:lvl w:ilvl="1" w:tplc="4E80168A">
      <w:start w:val="1"/>
      <w:numFmt w:val="bullet"/>
      <w:lvlText w:val="o"/>
      <w:lvlJc w:val="left"/>
      <w:pPr>
        <w:ind w:left="1440" w:hanging="360"/>
      </w:pPr>
      <w:rPr>
        <w:rFonts w:ascii="Courier New" w:hAnsi="Courier New" w:hint="default"/>
      </w:rPr>
    </w:lvl>
    <w:lvl w:ilvl="2" w:tplc="300A4A26">
      <w:start w:val="1"/>
      <w:numFmt w:val="bullet"/>
      <w:lvlText w:val=""/>
      <w:lvlJc w:val="left"/>
      <w:pPr>
        <w:ind w:left="2160" w:hanging="360"/>
      </w:pPr>
      <w:rPr>
        <w:rFonts w:ascii="Wingdings" w:hAnsi="Wingdings" w:hint="default"/>
      </w:rPr>
    </w:lvl>
    <w:lvl w:ilvl="3" w:tplc="0B9A543C">
      <w:start w:val="1"/>
      <w:numFmt w:val="bullet"/>
      <w:lvlText w:val=""/>
      <w:lvlJc w:val="left"/>
      <w:pPr>
        <w:ind w:left="2880" w:hanging="360"/>
      </w:pPr>
      <w:rPr>
        <w:rFonts w:ascii="Symbol" w:hAnsi="Symbol" w:hint="default"/>
      </w:rPr>
    </w:lvl>
    <w:lvl w:ilvl="4" w:tplc="DBAE62FA">
      <w:start w:val="1"/>
      <w:numFmt w:val="bullet"/>
      <w:lvlText w:val="o"/>
      <w:lvlJc w:val="left"/>
      <w:pPr>
        <w:ind w:left="3600" w:hanging="360"/>
      </w:pPr>
      <w:rPr>
        <w:rFonts w:ascii="Courier New" w:hAnsi="Courier New" w:hint="default"/>
      </w:rPr>
    </w:lvl>
    <w:lvl w:ilvl="5" w:tplc="A1D28B72">
      <w:start w:val="1"/>
      <w:numFmt w:val="bullet"/>
      <w:lvlText w:val=""/>
      <w:lvlJc w:val="left"/>
      <w:pPr>
        <w:ind w:left="4320" w:hanging="360"/>
      </w:pPr>
      <w:rPr>
        <w:rFonts w:ascii="Wingdings" w:hAnsi="Wingdings" w:hint="default"/>
      </w:rPr>
    </w:lvl>
    <w:lvl w:ilvl="6" w:tplc="16F656F4">
      <w:start w:val="1"/>
      <w:numFmt w:val="bullet"/>
      <w:lvlText w:val=""/>
      <w:lvlJc w:val="left"/>
      <w:pPr>
        <w:ind w:left="5040" w:hanging="360"/>
      </w:pPr>
      <w:rPr>
        <w:rFonts w:ascii="Symbol" w:hAnsi="Symbol" w:hint="default"/>
      </w:rPr>
    </w:lvl>
    <w:lvl w:ilvl="7" w:tplc="26283AEE">
      <w:start w:val="1"/>
      <w:numFmt w:val="bullet"/>
      <w:lvlText w:val="o"/>
      <w:lvlJc w:val="left"/>
      <w:pPr>
        <w:ind w:left="5760" w:hanging="360"/>
      </w:pPr>
      <w:rPr>
        <w:rFonts w:ascii="Courier New" w:hAnsi="Courier New" w:hint="default"/>
      </w:rPr>
    </w:lvl>
    <w:lvl w:ilvl="8" w:tplc="06DA232E">
      <w:start w:val="1"/>
      <w:numFmt w:val="bullet"/>
      <w:lvlText w:val=""/>
      <w:lvlJc w:val="left"/>
      <w:pPr>
        <w:ind w:left="6480" w:hanging="360"/>
      </w:pPr>
      <w:rPr>
        <w:rFonts w:ascii="Wingdings" w:hAnsi="Wingdings" w:hint="default"/>
      </w:rPr>
    </w:lvl>
  </w:abstractNum>
  <w:abstractNum w:abstractNumId="35" w15:restartNumberingAfterBreak="0">
    <w:nsid w:val="662110C8"/>
    <w:multiLevelType w:val="hybridMultilevel"/>
    <w:tmpl w:val="36B2CD08"/>
    <w:lvl w:ilvl="0" w:tplc="4D36961C">
      <w:start w:val="1"/>
      <w:numFmt w:val="bullet"/>
      <w:lvlText w:val="·"/>
      <w:lvlJc w:val="left"/>
      <w:pPr>
        <w:ind w:left="720" w:hanging="360"/>
      </w:pPr>
      <w:rPr>
        <w:rFonts w:ascii="Symbol" w:hAnsi="Symbol" w:hint="default"/>
      </w:rPr>
    </w:lvl>
    <w:lvl w:ilvl="1" w:tplc="4D645028">
      <w:start w:val="1"/>
      <w:numFmt w:val="bullet"/>
      <w:lvlText w:val="o"/>
      <w:lvlJc w:val="left"/>
      <w:pPr>
        <w:ind w:left="1440" w:hanging="360"/>
      </w:pPr>
      <w:rPr>
        <w:rFonts w:ascii="Courier New" w:hAnsi="Courier New" w:hint="default"/>
      </w:rPr>
    </w:lvl>
    <w:lvl w:ilvl="2" w:tplc="7E200DF6">
      <w:start w:val="1"/>
      <w:numFmt w:val="bullet"/>
      <w:lvlText w:val=""/>
      <w:lvlJc w:val="left"/>
      <w:pPr>
        <w:ind w:left="2160" w:hanging="360"/>
      </w:pPr>
      <w:rPr>
        <w:rFonts w:ascii="Wingdings" w:hAnsi="Wingdings" w:hint="default"/>
      </w:rPr>
    </w:lvl>
    <w:lvl w:ilvl="3" w:tplc="F74CB0E0">
      <w:start w:val="1"/>
      <w:numFmt w:val="bullet"/>
      <w:lvlText w:val=""/>
      <w:lvlJc w:val="left"/>
      <w:pPr>
        <w:ind w:left="2880" w:hanging="360"/>
      </w:pPr>
      <w:rPr>
        <w:rFonts w:ascii="Symbol" w:hAnsi="Symbol" w:hint="default"/>
      </w:rPr>
    </w:lvl>
    <w:lvl w:ilvl="4" w:tplc="2B2EDBD6">
      <w:start w:val="1"/>
      <w:numFmt w:val="bullet"/>
      <w:lvlText w:val="o"/>
      <w:lvlJc w:val="left"/>
      <w:pPr>
        <w:ind w:left="3600" w:hanging="360"/>
      </w:pPr>
      <w:rPr>
        <w:rFonts w:ascii="Courier New" w:hAnsi="Courier New" w:hint="default"/>
      </w:rPr>
    </w:lvl>
    <w:lvl w:ilvl="5" w:tplc="3EEE9B3E">
      <w:start w:val="1"/>
      <w:numFmt w:val="bullet"/>
      <w:lvlText w:val=""/>
      <w:lvlJc w:val="left"/>
      <w:pPr>
        <w:ind w:left="4320" w:hanging="360"/>
      </w:pPr>
      <w:rPr>
        <w:rFonts w:ascii="Wingdings" w:hAnsi="Wingdings" w:hint="default"/>
      </w:rPr>
    </w:lvl>
    <w:lvl w:ilvl="6" w:tplc="2EF02324">
      <w:start w:val="1"/>
      <w:numFmt w:val="bullet"/>
      <w:lvlText w:val=""/>
      <w:lvlJc w:val="left"/>
      <w:pPr>
        <w:ind w:left="5040" w:hanging="360"/>
      </w:pPr>
      <w:rPr>
        <w:rFonts w:ascii="Symbol" w:hAnsi="Symbol" w:hint="default"/>
      </w:rPr>
    </w:lvl>
    <w:lvl w:ilvl="7" w:tplc="718698D4">
      <w:start w:val="1"/>
      <w:numFmt w:val="bullet"/>
      <w:lvlText w:val="o"/>
      <w:lvlJc w:val="left"/>
      <w:pPr>
        <w:ind w:left="5760" w:hanging="360"/>
      </w:pPr>
      <w:rPr>
        <w:rFonts w:ascii="Courier New" w:hAnsi="Courier New" w:hint="default"/>
      </w:rPr>
    </w:lvl>
    <w:lvl w:ilvl="8" w:tplc="AC6C542E">
      <w:start w:val="1"/>
      <w:numFmt w:val="bullet"/>
      <w:lvlText w:val=""/>
      <w:lvlJc w:val="left"/>
      <w:pPr>
        <w:ind w:left="6480" w:hanging="360"/>
      </w:pPr>
      <w:rPr>
        <w:rFonts w:ascii="Wingdings" w:hAnsi="Wingdings" w:hint="default"/>
      </w:rPr>
    </w:lvl>
  </w:abstractNum>
  <w:abstractNum w:abstractNumId="36" w15:restartNumberingAfterBreak="0">
    <w:nsid w:val="6784633F"/>
    <w:multiLevelType w:val="hybridMultilevel"/>
    <w:tmpl w:val="FFFFFFFF"/>
    <w:lvl w:ilvl="0" w:tplc="EF369278">
      <w:start w:val="1"/>
      <w:numFmt w:val="bullet"/>
      <w:lvlText w:val=""/>
      <w:lvlJc w:val="left"/>
      <w:pPr>
        <w:ind w:left="720" w:hanging="360"/>
      </w:pPr>
      <w:rPr>
        <w:rFonts w:ascii="Symbol" w:hAnsi="Symbol" w:hint="default"/>
      </w:rPr>
    </w:lvl>
    <w:lvl w:ilvl="1" w:tplc="77BAA460">
      <w:start w:val="1"/>
      <w:numFmt w:val="bullet"/>
      <w:lvlText w:val="o"/>
      <w:lvlJc w:val="left"/>
      <w:pPr>
        <w:ind w:left="1440" w:hanging="360"/>
      </w:pPr>
      <w:rPr>
        <w:rFonts w:ascii="Courier New" w:hAnsi="Courier New" w:hint="default"/>
      </w:rPr>
    </w:lvl>
    <w:lvl w:ilvl="2" w:tplc="74765ABE">
      <w:start w:val="1"/>
      <w:numFmt w:val="bullet"/>
      <w:lvlText w:val=""/>
      <w:lvlJc w:val="left"/>
      <w:pPr>
        <w:ind w:left="2160" w:hanging="360"/>
      </w:pPr>
      <w:rPr>
        <w:rFonts w:ascii="Wingdings" w:hAnsi="Wingdings" w:hint="default"/>
      </w:rPr>
    </w:lvl>
    <w:lvl w:ilvl="3" w:tplc="810C2E3A">
      <w:start w:val="1"/>
      <w:numFmt w:val="bullet"/>
      <w:lvlText w:val=""/>
      <w:lvlJc w:val="left"/>
      <w:pPr>
        <w:ind w:left="2880" w:hanging="360"/>
      </w:pPr>
      <w:rPr>
        <w:rFonts w:ascii="Symbol" w:hAnsi="Symbol" w:hint="default"/>
      </w:rPr>
    </w:lvl>
    <w:lvl w:ilvl="4" w:tplc="D0E2E49E">
      <w:start w:val="1"/>
      <w:numFmt w:val="bullet"/>
      <w:lvlText w:val="o"/>
      <w:lvlJc w:val="left"/>
      <w:pPr>
        <w:ind w:left="3600" w:hanging="360"/>
      </w:pPr>
      <w:rPr>
        <w:rFonts w:ascii="Courier New" w:hAnsi="Courier New" w:hint="default"/>
      </w:rPr>
    </w:lvl>
    <w:lvl w:ilvl="5" w:tplc="41A6CA52">
      <w:start w:val="1"/>
      <w:numFmt w:val="bullet"/>
      <w:lvlText w:val=""/>
      <w:lvlJc w:val="left"/>
      <w:pPr>
        <w:ind w:left="4320" w:hanging="360"/>
      </w:pPr>
      <w:rPr>
        <w:rFonts w:ascii="Wingdings" w:hAnsi="Wingdings" w:hint="default"/>
      </w:rPr>
    </w:lvl>
    <w:lvl w:ilvl="6" w:tplc="342A9896">
      <w:start w:val="1"/>
      <w:numFmt w:val="bullet"/>
      <w:lvlText w:val=""/>
      <w:lvlJc w:val="left"/>
      <w:pPr>
        <w:ind w:left="5040" w:hanging="360"/>
      </w:pPr>
      <w:rPr>
        <w:rFonts w:ascii="Symbol" w:hAnsi="Symbol" w:hint="default"/>
      </w:rPr>
    </w:lvl>
    <w:lvl w:ilvl="7" w:tplc="2C02B7FA">
      <w:start w:val="1"/>
      <w:numFmt w:val="bullet"/>
      <w:lvlText w:val="o"/>
      <w:lvlJc w:val="left"/>
      <w:pPr>
        <w:ind w:left="5760" w:hanging="360"/>
      </w:pPr>
      <w:rPr>
        <w:rFonts w:ascii="Courier New" w:hAnsi="Courier New" w:hint="default"/>
      </w:rPr>
    </w:lvl>
    <w:lvl w:ilvl="8" w:tplc="8E9C97F2">
      <w:start w:val="1"/>
      <w:numFmt w:val="bullet"/>
      <w:lvlText w:val=""/>
      <w:lvlJc w:val="left"/>
      <w:pPr>
        <w:ind w:left="6480" w:hanging="360"/>
      </w:pPr>
      <w:rPr>
        <w:rFonts w:ascii="Wingdings" w:hAnsi="Wingdings" w:hint="default"/>
      </w:rPr>
    </w:lvl>
  </w:abstractNum>
  <w:abstractNum w:abstractNumId="37" w15:restartNumberingAfterBreak="0">
    <w:nsid w:val="6930EB8A"/>
    <w:multiLevelType w:val="hybridMultilevel"/>
    <w:tmpl w:val="FFFFFFFF"/>
    <w:lvl w:ilvl="0" w:tplc="5CB05A6C">
      <w:start w:val="1"/>
      <w:numFmt w:val="bullet"/>
      <w:lvlText w:val=""/>
      <w:lvlJc w:val="left"/>
      <w:pPr>
        <w:ind w:left="720" w:hanging="360"/>
      </w:pPr>
      <w:rPr>
        <w:rFonts w:ascii="Symbol" w:hAnsi="Symbol" w:hint="default"/>
      </w:rPr>
    </w:lvl>
    <w:lvl w:ilvl="1" w:tplc="4EE2CE2C">
      <w:start w:val="1"/>
      <w:numFmt w:val="bullet"/>
      <w:lvlText w:val="o"/>
      <w:lvlJc w:val="left"/>
      <w:pPr>
        <w:ind w:left="1440" w:hanging="360"/>
      </w:pPr>
      <w:rPr>
        <w:rFonts w:ascii="Courier New" w:hAnsi="Courier New" w:hint="default"/>
      </w:rPr>
    </w:lvl>
    <w:lvl w:ilvl="2" w:tplc="2D3238CC">
      <w:start w:val="1"/>
      <w:numFmt w:val="bullet"/>
      <w:lvlText w:val=""/>
      <w:lvlJc w:val="left"/>
      <w:pPr>
        <w:ind w:left="2160" w:hanging="360"/>
      </w:pPr>
      <w:rPr>
        <w:rFonts w:ascii="Wingdings" w:hAnsi="Wingdings" w:hint="default"/>
      </w:rPr>
    </w:lvl>
    <w:lvl w:ilvl="3" w:tplc="401CBD50">
      <w:start w:val="1"/>
      <w:numFmt w:val="bullet"/>
      <w:lvlText w:val=""/>
      <w:lvlJc w:val="left"/>
      <w:pPr>
        <w:ind w:left="2880" w:hanging="360"/>
      </w:pPr>
      <w:rPr>
        <w:rFonts w:ascii="Symbol" w:hAnsi="Symbol" w:hint="default"/>
      </w:rPr>
    </w:lvl>
    <w:lvl w:ilvl="4" w:tplc="5ACA7CCC">
      <w:start w:val="1"/>
      <w:numFmt w:val="bullet"/>
      <w:lvlText w:val="o"/>
      <w:lvlJc w:val="left"/>
      <w:pPr>
        <w:ind w:left="3600" w:hanging="360"/>
      </w:pPr>
      <w:rPr>
        <w:rFonts w:ascii="Courier New" w:hAnsi="Courier New" w:hint="default"/>
      </w:rPr>
    </w:lvl>
    <w:lvl w:ilvl="5" w:tplc="3F589792">
      <w:start w:val="1"/>
      <w:numFmt w:val="bullet"/>
      <w:lvlText w:val=""/>
      <w:lvlJc w:val="left"/>
      <w:pPr>
        <w:ind w:left="4320" w:hanging="360"/>
      </w:pPr>
      <w:rPr>
        <w:rFonts w:ascii="Wingdings" w:hAnsi="Wingdings" w:hint="default"/>
      </w:rPr>
    </w:lvl>
    <w:lvl w:ilvl="6" w:tplc="66FC58D8">
      <w:start w:val="1"/>
      <w:numFmt w:val="bullet"/>
      <w:lvlText w:val=""/>
      <w:lvlJc w:val="left"/>
      <w:pPr>
        <w:ind w:left="5040" w:hanging="360"/>
      </w:pPr>
      <w:rPr>
        <w:rFonts w:ascii="Symbol" w:hAnsi="Symbol" w:hint="default"/>
      </w:rPr>
    </w:lvl>
    <w:lvl w:ilvl="7" w:tplc="C9F69240">
      <w:start w:val="1"/>
      <w:numFmt w:val="bullet"/>
      <w:lvlText w:val="o"/>
      <w:lvlJc w:val="left"/>
      <w:pPr>
        <w:ind w:left="5760" w:hanging="360"/>
      </w:pPr>
      <w:rPr>
        <w:rFonts w:ascii="Courier New" w:hAnsi="Courier New" w:hint="default"/>
      </w:rPr>
    </w:lvl>
    <w:lvl w:ilvl="8" w:tplc="110C7294">
      <w:start w:val="1"/>
      <w:numFmt w:val="bullet"/>
      <w:lvlText w:val=""/>
      <w:lvlJc w:val="left"/>
      <w:pPr>
        <w:ind w:left="6480" w:hanging="360"/>
      </w:pPr>
      <w:rPr>
        <w:rFonts w:ascii="Wingdings" w:hAnsi="Wingdings" w:hint="default"/>
      </w:rPr>
    </w:lvl>
  </w:abstractNum>
  <w:abstractNum w:abstractNumId="38" w15:restartNumberingAfterBreak="0">
    <w:nsid w:val="69DCB71D"/>
    <w:multiLevelType w:val="hybridMultilevel"/>
    <w:tmpl w:val="FFFFFFFF"/>
    <w:lvl w:ilvl="0" w:tplc="E244EDB8">
      <w:start w:val="1"/>
      <w:numFmt w:val="bullet"/>
      <w:lvlText w:val=""/>
      <w:lvlJc w:val="left"/>
      <w:pPr>
        <w:ind w:left="720" w:hanging="360"/>
      </w:pPr>
      <w:rPr>
        <w:rFonts w:ascii="Symbol" w:hAnsi="Symbol" w:hint="default"/>
      </w:rPr>
    </w:lvl>
    <w:lvl w:ilvl="1" w:tplc="3C3E97E4">
      <w:start w:val="1"/>
      <w:numFmt w:val="bullet"/>
      <w:lvlText w:val="o"/>
      <w:lvlJc w:val="left"/>
      <w:pPr>
        <w:ind w:left="1440" w:hanging="360"/>
      </w:pPr>
      <w:rPr>
        <w:rFonts w:ascii="Courier New" w:hAnsi="Courier New" w:hint="default"/>
      </w:rPr>
    </w:lvl>
    <w:lvl w:ilvl="2" w:tplc="7E5E7C12">
      <w:start w:val="1"/>
      <w:numFmt w:val="bullet"/>
      <w:lvlText w:val=""/>
      <w:lvlJc w:val="left"/>
      <w:pPr>
        <w:ind w:left="2160" w:hanging="360"/>
      </w:pPr>
      <w:rPr>
        <w:rFonts w:ascii="Wingdings" w:hAnsi="Wingdings" w:hint="default"/>
      </w:rPr>
    </w:lvl>
    <w:lvl w:ilvl="3" w:tplc="1A7A0F80">
      <w:start w:val="1"/>
      <w:numFmt w:val="bullet"/>
      <w:lvlText w:val=""/>
      <w:lvlJc w:val="left"/>
      <w:pPr>
        <w:ind w:left="2880" w:hanging="360"/>
      </w:pPr>
      <w:rPr>
        <w:rFonts w:ascii="Symbol" w:hAnsi="Symbol" w:hint="default"/>
      </w:rPr>
    </w:lvl>
    <w:lvl w:ilvl="4" w:tplc="147887AA">
      <w:start w:val="1"/>
      <w:numFmt w:val="bullet"/>
      <w:lvlText w:val="o"/>
      <w:lvlJc w:val="left"/>
      <w:pPr>
        <w:ind w:left="3600" w:hanging="360"/>
      </w:pPr>
      <w:rPr>
        <w:rFonts w:ascii="Courier New" w:hAnsi="Courier New" w:hint="default"/>
      </w:rPr>
    </w:lvl>
    <w:lvl w:ilvl="5" w:tplc="E932CEBA">
      <w:start w:val="1"/>
      <w:numFmt w:val="bullet"/>
      <w:lvlText w:val=""/>
      <w:lvlJc w:val="left"/>
      <w:pPr>
        <w:ind w:left="4320" w:hanging="360"/>
      </w:pPr>
      <w:rPr>
        <w:rFonts w:ascii="Wingdings" w:hAnsi="Wingdings" w:hint="default"/>
      </w:rPr>
    </w:lvl>
    <w:lvl w:ilvl="6" w:tplc="5C3AB26A">
      <w:start w:val="1"/>
      <w:numFmt w:val="bullet"/>
      <w:lvlText w:val=""/>
      <w:lvlJc w:val="left"/>
      <w:pPr>
        <w:ind w:left="5040" w:hanging="360"/>
      </w:pPr>
      <w:rPr>
        <w:rFonts w:ascii="Symbol" w:hAnsi="Symbol" w:hint="default"/>
      </w:rPr>
    </w:lvl>
    <w:lvl w:ilvl="7" w:tplc="139A6EF4">
      <w:start w:val="1"/>
      <w:numFmt w:val="bullet"/>
      <w:lvlText w:val="o"/>
      <w:lvlJc w:val="left"/>
      <w:pPr>
        <w:ind w:left="5760" w:hanging="360"/>
      </w:pPr>
      <w:rPr>
        <w:rFonts w:ascii="Courier New" w:hAnsi="Courier New" w:hint="default"/>
      </w:rPr>
    </w:lvl>
    <w:lvl w:ilvl="8" w:tplc="E8FC9E24">
      <w:start w:val="1"/>
      <w:numFmt w:val="bullet"/>
      <w:lvlText w:val=""/>
      <w:lvlJc w:val="left"/>
      <w:pPr>
        <w:ind w:left="6480" w:hanging="360"/>
      </w:pPr>
      <w:rPr>
        <w:rFonts w:ascii="Wingdings" w:hAnsi="Wingdings" w:hint="default"/>
      </w:rPr>
    </w:lvl>
  </w:abstractNum>
  <w:abstractNum w:abstractNumId="39" w15:restartNumberingAfterBreak="0">
    <w:nsid w:val="6B0C4828"/>
    <w:multiLevelType w:val="hybridMultilevel"/>
    <w:tmpl w:val="FFFFFFFF"/>
    <w:lvl w:ilvl="0" w:tplc="0890DAC6">
      <w:start w:val="1"/>
      <w:numFmt w:val="bullet"/>
      <w:lvlText w:val=""/>
      <w:lvlJc w:val="left"/>
      <w:pPr>
        <w:ind w:left="720" w:hanging="360"/>
      </w:pPr>
      <w:rPr>
        <w:rFonts w:ascii="Symbol" w:hAnsi="Symbol" w:hint="default"/>
      </w:rPr>
    </w:lvl>
    <w:lvl w:ilvl="1" w:tplc="5B38EE12">
      <w:start w:val="1"/>
      <w:numFmt w:val="bullet"/>
      <w:lvlText w:val="o"/>
      <w:lvlJc w:val="left"/>
      <w:pPr>
        <w:ind w:left="1440" w:hanging="360"/>
      </w:pPr>
      <w:rPr>
        <w:rFonts w:ascii="Courier New" w:hAnsi="Courier New" w:hint="default"/>
      </w:rPr>
    </w:lvl>
    <w:lvl w:ilvl="2" w:tplc="C25E2458">
      <w:start w:val="1"/>
      <w:numFmt w:val="bullet"/>
      <w:lvlText w:val=""/>
      <w:lvlJc w:val="left"/>
      <w:pPr>
        <w:ind w:left="2160" w:hanging="360"/>
      </w:pPr>
      <w:rPr>
        <w:rFonts w:ascii="Wingdings" w:hAnsi="Wingdings" w:hint="default"/>
      </w:rPr>
    </w:lvl>
    <w:lvl w:ilvl="3" w:tplc="B6CADB66">
      <w:start w:val="1"/>
      <w:numFmt w:val="bullet"/>
      <w:lvlText w:val=""/>
      <w:lvlJc w:val="left"/>
      <w:pPr>
        <w:ind w:left="2880" w:hanging="360"/>
      </w:pPr>
      <w:rPr>
        <w:rFonts w:ascii="Symbol" w:hAnsi="Symbol" w:hint="default"/>
      </w:rPr>
    </w:lvl>
    <w:lvl w:ilvl="4" w:tplc="99BA1DCA">
      <w:start w:val="1"/>
      <w:numFmt w:val="bullet"/>
      <w:lvlText w:val="o"/>
      <w:lvlJc w:val="left"/>
      <w:pPr>
        <w:ind w:left="3600" w:hanging="360"/>
      </w:pPr>
      <w:rPr>
        <w:rFonts w:ascii="Courier New" w:hAnsi="Courier New" w:hint="default"/>
      </w:rPr>
    </w:lvl>
    <w:lvl w:ilvl="5" w:tplc="50948F7C">
      <w:start w:val="1"/>
      <w:numFmt w:val="bullet"/>
      <w:lvlText w:val=""/>
      <w:lvlJc w:val="left"/>
      <w:pPr>
        <w:ind w:left="4320" w:hanging="360"/>
      </w:pPr>
      <w:rPr>
        <w:rFonts w:ascii="Wingdings" w:hAnsi="Wingdings" w:hint="default"/>
      </w:rPr>
    </w:lvl>
    <w:lvl w:ilvl="6" w:tplc="2B4093DC">
      <w:start w:val="1"/>
      <w:numFmt w:val="bullet"/>
      <w:lvlText w:val=""/>
      <w:lvlJc w:val="left"/>
      <w:pPr>
        <w:ind w:left="5040" w:hanging="360"/>
      </w:pPr>
      <w:rPr>
        <w:rFonts w:ascii="Symbol" w:hAnsi="Symbol" w:hint="default"/>
      </w:rPr>
    </w:lvl>
    <w:lvl w:ilvl="7" w:tplc="0DCE1D86">
      <w:start w:val="1"/>
      <w:numFmt w:val="bullet"/>
      <w:lvlText w:val="o"/>
      <w:lvlJc w:val="left"/>
      <w:pPr>
        <w:ind w:left="5760" w:hanging="360"/>
      </w:pPr>
      <w:rPr>
        <w:rFonts w:ascii="Courier New" w:hAnsi="Courier New" w:hint="default"/>
      </w:rPr>
    </w:lvl>
    <w:lvl w:ilvl="8" w:tplc="25185852">
      <w:start w:val="1"/>
      <w:numFmt w:val="bullet"/>
      <w:lvlText w:val=""/>
      <w:lvlJc w:val="left"/>
      <w:pPr>
        <w:ind w:left="6480" w:hanging="360"/>
      </w:pPr>
      <w:rPr>
        <w:rFonts w:ascii="Wingdings" w:hAnsi="Wingdings" w:hint="default"/>
      </w:rPr>
    </w:lvl>
  </w:abstractNum>
  <w:abstractNum w:abstractNumId="40" w15:restartNumberingAfterBreak="0">
    <w:nsid w:val="6D75C77C"/>
    <w:multiLevelType w:val="hybridMultilevel"/>
    <w:tmpl w:val="FFFFFFFF"/>
    <w:lvl w:ilvl="0" w:tplc="1A06969C">
      <w:start w:val="1"/>
      <w:numFmt w:val="bullet"/>
      <w:lvlText w:val=""/>
      <w:lvlJc w:val="left"/>
      <w:pPr>
        <w:ind w:left="720" w:hanging="360"/>
      </w:pPr>
      <w:rPr>
        <w:rFonts w:ascii="Symbol" w:hAnsi="Symbol" w:hint="default"/>
      </w:rPr>
    </w:lvl>
    <w:lvl w:ilvl="1" w:tplc="5CF6ABCC">
      <w:start w:val="1"/>
      <w:numFmt w:val="bullet"/>
      <w:lvlText w:val="o"/>
      <w:lvlJc w:val="left"/>
      <w:pPr>
        <w:ind w:left="1440" w:hanging="360"/>
      </w:pPr>
      <w:rPr>
        <w:rFonts w:ascii="Courier New" w:hAnsi="Courier New" w:hint="default"/>
      </w:rPr>
    </w:lvl>
    <w:lvl w:ilvl="2" w:tplc="5DA62488">
      <w:start w:val="1"/>
      <w:numFmt w:val="bullet"/>
      <w:lvlText w:val=""/>
      <w:lvlJc w:val="left"/>
      <w:pPr>
        <w:ind w:left="2160" w:hanging="360"/>
      </w:pPr>
      <w:rPr>
        <w:rFonts w:ascii="Wingdings" w:hAnsi="Wingdings" w:hint="default"/>
      </w:rPr>
    </w:lvl>
    <w:lvl w:ilvl="3" w:tplc="EC3C66D2">
      <w:start w:val="1"/>
      <w:numFmt w:val="bullet"/>
      <w:lvlText w:val=""/>
      <w:lvlJc w:val="left"/>
      <w:pPr>
        <w:ind w:left="2880" w:hanging="360"/>
      </w:pPr>
      <w:rPr>
        <w:rFonts w:ascii="Symbol" w:hAnsi="Symbol" w:hint="default"/>
      </w:rPr>
    </w:lvl>
    <w:lvl w:ilvl="4" w:tplc="F16E9116">
      <w:start w:val="1"/>
      <w:numFmt w:val="bullet"/>
      <w:lvlText w:val="o"/>
      <w:lvlJc w:val="left"/>
      <w:pPr>
        <w:ind w:left="3600" w:hanging="360"/>
      </w:pPr>
      <w:rPr>
        <w:rFonts w:ascii="Courier New" w:hAnsi="Courier New" w:hint="default"/>
      </w:rPr>
    </w:lvl>
    <w:lvl w:ilvl="5" w:tplc="8DDE0A84">
      <w:start w:val="1"/>
      <w:numFmt w:val="bullet"/>
      <w:lvlText w:val=""/>
      <w:lvlJc w:val="left"/>
      <w:pPr>
        <w:ind w:left="4320" w:hanging="360"/>
      </w:pPr>
      <w:rPr>
        <w:rFonts w:ascii="Wingdings" w:hAnsi="Wingdings" w:hint="default"/>
      </w:rPr>
    </w:lvl>
    <w:lvl w:ilvl="6" w:tplc="CEFC31B2">
      <w:start w:val="1"/>
      <w:numFmt w:val="bullet"/>
      <w:lvlText w:val=""/>
      <w:lvlJc w:val="left"/>
      <w:pPr>
        <w:ind w:left="5040" w:hanging="360"/>
      </w:pPr>
      <w:rPr>
        <w:rFonts w:ascii="Symbol" w:hAnsi="Symbol" w:hint="default"/>
      </w:rPr>
    </w:lvl>
    <w:lvl w:ilvl="7" w:tplc="04688084">
      <w:start w:val="1"/>
      <w:numFmt w:val="bullet"/>
      <w:lvlText w:val="o"/>
      <w:lvlJc w:val="left"/>
      <w:pPr>
        <w:ind w:left="5760" w:hanging="360"/>
      </w:pPr>
      <w:rPr>
        <w:rFonts w:ascii="Courier New" w:hAnsi="Courier New" w:hint="default"/>
      </w:rPr>
    </w:lvl>
    <w:lvl w:ilvl="8" w:tplc="DC1244EC">
      <w:start w:val="1"/>
      <w:numFmt w:val="bullet"/>
      <w:lvlText w:val=""/>
      <w:lvlJc w:val="left"/>
      <w:pPr>
        <w:ind w:left="6480" w:hanging="360"/>
      </w:pPr>
      <w:rPr>
        <w:rFonts w:ascii="Wingdings" w:hAnsi="Wingdings" w:hint="default"/>
      </w:rPr>
    </w:lvl>
  </w:abstractNum>
  <w:abstractNum w:abstractNumId="41" w15:restartNumberingAfterBreak="0">
    <w:nsid w:val="6F10774D"/>
    <w:multiLevelType w:val="multilevel"/>
    <w:tmpl w:val="3E525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2E282A2"/>
    <w:multiLevelType w:val="hybridMultilevel"/>
    <w:tmpl w:val="FFFFFFFF"/>
    <w:lvl w:ilvl="0" w:tplc="AC081D40">
      <w:start w:val="1"/>
      <w:numFmt w:val="bullet"/>
      <w:lvlText w:val=""/>
      <w:lvlJc w:val="left"/>
      <w:pPr>
        <w:ind w:left="720" w:hanging="360"/>
      </w:pPr>
      <w:rPr>
        <w:rFonts w:ascii="Symbol" w:hAnsi="Symbol" w:hint="default"/>
      </w:rPr>
    </w:lvl>
    <w:lvl w:ilvl="1" w:tplc="A0567382">
      <w:start w:val="1"/>
      <w:numFmt w:val="bullet"/>
      <w:lvlText w:val="o"/>
      <w:lvlJc w:val="left"/>
      <w:pPr>
        <w:ind w:left="1440" w:hanging="360"/>
      </w:pPr>
      <w:rPr>
        <w:rFonts w:ascii="Courier New" w:hAnsi="Courier New" w:hint="default"/>
      </w:rPr>
    </w:lvl>
    <w:lvl w:ilvl="2" w:tplc="C5549E7A">
      <w:start w:val="1"/>
      <w:numFmt w:val="bullet"/>
      <w:lvlText w:val=""/>
      <w:lvlJc w:val="left"/>
      <w:pPr>
        <w:ind w:left="2160" w:hanging="360"/>
      </w:pPr>
      <w:rPr>
        <w:rFonts w:ascii="Wingdings" w:hAnsi="Wingdings" w:hint="default"/>
      </w:rPr>
    </w:lvl>
    <w:lvl w:ilvl="3" w:tplc="4D703430">
      <w:start w:val="1"/>
      <w:numFmt w:val="bullet"/>
      <w:lvlText w:val=""/>
      <w:lvlJc w:val="left"/>
      <w:pPr>
        <w:ind w:left="2880" w:hanging="360"/>
      </w:pPr>
      <w:rPr>
        <w:rFonts w:ascii="Symbol" w:hAnsi="Symbol" w:hint="default"/>
      </w:rPr>
    </w:lvl>
    <w:lvl w:ilvl="4" w:tplc="88EA009C">
      <w:start w:val="1"/>
      <w:numFmt w:val="bullet"/>
      <w:lvlText w:val="o"/>
      <w:lvlJc w:val="left"/>
      <w:pPr>
        <w:ind w:left="3600" w:hanging="360"/>
      </w:pPr>
      <w:rPr>
        <w:rFonts w:ascii="Courier New" w:hAnsi="Courier New" w:hint="default"/>
      </w:rPr>
    </w:lvl>
    <w:lvl w:ilvl="5" w:tplc="BBFEA406">
      <w:start w:val="1"/>
      <w:numFmt w:val="bullet"/>
      <w:lvlText w:val=""/>
      <w:lvlJc w:val="left"/>
      <w:pPr>
        <w:ind w:left="4320" w:hanging="360"/>
      </w:pPr>
      <w:rPr>
        <w:rFonts w:ascii="Wingdings" w:hAnsi="Wingdings" w:hint="default"/>
      </w:rPr>
    </w:lvl>
    <w:lvl w:ilvl="6" w:tplc="1862EEAC">
      <w:start w:val="1"/>
      <w:numFmt w:val="bullet"/>
      <w:lvlText w:val=""/>
      <w:lvlJc w:val="left"/>
      <w:pPr>
        <w:ind w:left="5040" w:hanging="360"/>
      </w:pPr>
      <w:rPr>
        <w:rFonts w:ascii="Symbol" w:hAnsi="Symbol" w:hint="default"/>
      </w:rPr>
    </w:lvl>
    <w:lvl w:ilvl="7" w:tplc="E7DC8CCC">
      <w:start w:val="1"/>
      <w:numFmt w:val="bullet"/>
      <w:lvlText w:val="o"/>
      <w:lvlJc w:val="left"/>
      <w:pPr>
        <w:ind w:left="5760" w:hanging="360"/>
      </w:pPr>
      <w:rPr>
        <w:rFonts w:ascii="Courier New" w:hAnsi="Courier New" w:hint="default"/>
      </w:rPr>
    </w:lvl>
    <w:lvl w:ilvl="8" w:tplc="14CEA9EC">
      <w:start w:val="1"/>
      <w:numFmt w:val="bullet"/>
      <w:lvlText w:val=""/>
      <w:lvlJc w:val="left"/>
      <w:pPr>
        <w:ind w:left="6480" w:hanging="360"/>
      </w:pPr>
      <w:rPr>
        <w:rFonts w:ascii="Wingdings" w:hAnsi="Wingdings" w:hint="default"/>
      </w:rPr>
    </w:lvl>
  </w:abstractNum>
  <w:abstractNum w:abstractNumId="43" w15:restartNumberingAfterBreak="0">
    <w:nsid w:val="73F6BEC7"/>
    <w:multiLevelType w:val="hybridMultilevel"/>
    <w:tmpl w:val="FFFFFFFF"/>
    <w:lvl w:ilvl="0" w:tplc="73CCD954">
      <w:start w:val="1"/>
      <w:numFmt w:val="bullet"/>
      <w:lvlText w:val=""/>
      <w:lvlJc w:val="left"/>
      <w:pPr>
        <w:ind w:left="720" w:hanging="360"/>
      </w:pPr>
      <w:rPr>
        <w:rFonts w:ascii="Symbol" w:hAnsi="Symbol" w:hint="default"/>
      </w:rPr>
    </w:lvl>
    <w:lvl w:ilvl="1" w:tplc="056444B2">
      <w:start w:val="1"/>
      <w:numFmt w:val="bullet"/>
      <w:lvlText w:val="o"/>
      <w:lvlJc w:val="left"/>
      <w:pPr>
        <w:ind w:left="1440" w:hanging="360"/>
      </w:pPr>
      <w:rPr>
        <w:rFonts w:ascii="Courier New" w:hAnsi="Courier New" w:hint="default"/>
      </w:rPr>
    </w:lvl>
    <w:lvl w:ilvl="2" w:tplc="E9EC9AD2">
      <w:start w:val="1"/>
      <w:numFmt w:val="bullet"/>
      <w:lvlText w:val=""/>
      <w:lvlJc w:val="left"/>
      <w:pPr>
        <w:ind w:left="2160" w:hanging="360"/>
      </w:pPr>
      <w:rPr>
        <w:rFonts w:ascii="Wingdings" w:hAnsi="Wingdings" w:hint="default"/>
      </w:rPr>
    </w:lvl>
    <w:lvl w:ilvl="3" w:tplc="F7062C1A">
      <w:start w:val="1"/>
      <w:numFmt w:val="bullet"/>
      <w:lvlText w:val=""/>
      <w:lvlJc w:val="left"/>
      <w:pPr>
        <w:ind w:left="2880" w:hanging="360"/>
      </w:pPr>
      <w:rPr>
        <w:rFonts w:ascii="Symbol" w:hAnsi="Symbol" w:hint="default"/>
      </w:rPr>
    </w:lvl>
    <w:lvl w:ilvl="4" w:tplc="6F34AB16">
      <w:start w:val="1"/>
      <w:numFmt w:val="bullet"/>
      <w:lvlText w:val="o"/>
      <w:lvlJc w:val="left"/>
      <w:pPr>
        <w:ind w:left="3600" w:hanging="360"/>
      </w:pPr>
      <w:rPr>
        <w:rFonts w:ascii="Courier New" w:hAnsi="Courier New" w:hint="default"/>
      </w:rPr>
    </w:lvl>
    <w:lvl w:ilvl="5" w:tplc="131A3E2E">
      <w:start w:val="1"/>
      <w:numFmt w:val="bullet"/>
      <w:lvlText w:val=""/>
      <w:lvlJc w:val="left"/>
      <w:pPr>
        <w:ind w:left="4320" w:hanging="360"/>
      </w:pPr>
      <w:rPr>
        <w:rFonts w:ascii="Wingdings" w:hAnsi="Wingdings" w:hint="default"/>
      </w:rPr>
    </w:lvl>
    <w:lvl w:ilvl="6" w:tplc="F306B8E8">
      <w:start w:val="1"/>
      <w:numFmt w:val="bullet"/>
      <w:lvlText w:val=""/>
      <w:lvlJc w:val="left"/>
      <w:pPr>
        <w:ind w:left="5040" w:hanging="360"/>
      </w:pPr>
      <w:rPr>
        <w:rFonts w:ascii="Symbol" w:hAnsi="Symbol" w:hint="default"/>
      </w:rPr>
    </w:lvl>
    <w:lvl w:ilvl="7" w:tplc="22020624">
      <w:start w:val="1"/>
      <w:numFmt w:val="bullet"/>
      <w:lvlText w:val="o"/>
      <w:lvlJc w:val="left"/>
      <w:pPr>
        <w:ind w:left="5760" w:hanging="360"/>
      </w:pPr>
      <w:rPr>
        <w:rFonts w:ascii="Courier New" w:hAnsi="Courier New" w:hint="default"/>
      </w:rPr>
    </w:lvl>
    <w:lvl w:ilvl="8" w:tplc="099020C6">
      <w:start w:val="1"/>
      <w:numFmt w:val="bullet"/>
      <w:lvlText w:val=""/>
      <w:lvlJc w:val="left"/>
      <w:pPr>
        <w:ind w:left="6480" w:hanging="360"/>
      </w:pPr>
      <w:rPr>
        <w:rFonts w:ascii="Wingdings" w:hAnsi="Wingdings" w:hint="default"/>
      </w:rPr>
    </w:lvl>
  </w:abstractNum>
  <w:abstractNum w:abstractNumId="44" w15:restartNumberingAfterBreak="0">
    <w:nsid w:val="75651D1E"/>
    <w:multiLevelType w:val="hybridMultilevel"/>
    <w:tmpl w:val="FFFFFFFF"/>
    <w:lvl w:ilvl="0" w:tplc="94749D4A">
      <w:start w:val="1"/>
      <w:numFmt w:val="bullet"/>
      <w:lvlText w:val=""/>
      <w:lvlJc w:val="left"/>
      <w:pPr>
        <w:ind w:left="720" w:hanging="360"/>
      </w:pPr>
      <w:rPr>
        <w:rFonts w:ascii="Symbol" w:hAnsi="Symbol" w:hint="default"/>
      </w:rPr>
    </w:lvl>
    <w:lvl w:ilvl="1" w:tplc="A5FE9B2E">
      <w:start w:val="1"/>
      <w:numFmt w:val="bullet"/>
      <w:lvlText w:val="o"/>
      <w:lvlJc w:val="left"/>
      <w:pPr>
        <w:ind w:left="1440" w:hanging="360"/>
      </w:pPr>
      <w:rPr>
        <w:rFonts w:ascii="Courier New" w:hAnsi="Courier New" w:hint="default"/>
      </w:rPr>
    </w:lvl>
    <w:lvl w:ilvl="2" w:tplc="9F7CC31A">
      <w:start w:val="1"/>
      <w:numFmt w:val="bullet"/>
      <w:lvlText w:val=""/>
      <w:lvlJc w:val="left"/>
      <w:pPr>
        <w:ind w:left="2160" w:hanging="360"/>
      </w:pPr>
      <w:rPr>
        <w:rFonts w:ascii="Wingdings" w:hAnsi="Wingdings" w:hint="default"/>
      </w:rPr>
    </w:lvl>
    <w:lvl w:ilvl="3" w:tplc="32822840">
      <w:start w:val="1"/>
      <w:numFmt w:val="bullet"/>
      <w:lvlText w:val=""/>
      <w:lvlJc w:val="left"/>
      <w:pPr>
        <w:ind w:left="2880" w:hanging="360"/>
      </w:pPr>
      <w:rPr>
        <w:rFonts w:ascii="Symbol" w:hAnsi="Symbol" w:hint="default"/>
      </w:rPr>
    </w:lvl>
    <w:lvl w:ilvl="4" w:tplc="9B104C52">
      <w:start w:val="1"/>
      <w:numFmt w:val="bullet"/>
      <w:lvlText w:val="o"/>
      <w:lvlJc w:val="left"/>
      <w:pPr>
        <w:ind w:left="3600" w:hanging="360"/>
      </w:pPr>
      <w:rPr>
        <w:rFonts w:ascii="Courier New" w:hAnsi="Courier New" w:hint="default"/>
      </w:rPr>
    </w:lvl>
    <w:lvl w:ilvl="5" w:tplc="5E484F48">
      <w:start w:val="1"/>
      <w:numFmt w:val="bullet"/>
      <w:lvlText w:val=""/>
      <w:lvlJc w:val="left"/>
      <w:pPr>
        <w:ind w:left="4320" w:hanging="360"/>
      </w:pPr>
      <w:rPr>
        <w:rFonts w:ascii="Wingdings" w:hAnsi="Wingdings" w:hint="default"/>
      </w:rPr>
    </w:lvl>
    <w:lvl w:ilvl="6" w:tplc="D460133A">
      <w:start w:val="1"/>
      <w:numFmt w:val="bullet"/>
      <w:lvlText w:val=""/>
      <w:lvlJc w:val="left"/>
      <w:pPr>
        <w:ind w:left="5040" w:hanging="360"/>
      </w:pPr>
      <w:rPr>
        <w:rFonts w:ascii="Symbol" w:hAnsi="Symbol" w:hint="default"/>
      </w:rPr>
    </w:lvl>
    <w:lvl w:ilvl="7" w:tplc="F1587BBC">
      <w:start w:val="1"/>
      <w:numFmt w:val="bullet"/>
      <w:lvlText w:val="o"/>
      <w:lvlJc w:val="left"/>
      <w:pPr>
        <w:ind w:left="5760" w:hanging="360"/>
      </w:pPr>
      <w:rPr>
        <w:rFonts w:ascii="Courier New" w:hAnsi="Courier New" w:hint="default"/>
      </w:rPr>
    </w:lvl>
    <w:lvl w:ilvl="8" w:tplc="5330C212">
      <w:start w:val="1"/>
      <w:numFmt w:val="bullet"/>
      <w:lvlText w:val=""/>
      <w:lvlJc w:val="left"/>
      <w:pPr>
        <w:ind w:left="6480" w:hanging="360"/>
      </w:pPr>
      <w:rPr>
        <w:rFonts w:ascii="Wingdings" w:hAnsi="Wingdings" w:hint="default"/>
      </w:rPr>
    </w:lvl>
  </w:abstractNum>
  <w:abstractNum w:abstractNumId="45" w15:restartNumberingAfterBreak="0">
    <w:nsid w:val="7A85B6C1"/>
    <w:multiLevelType w:val="hybridMultilevel"/>
    <w:tmpl w:val="BB96DF9A"/>
    <w:lvl w:ilvl="0" w:tplc="967A2CDC">
      <w:start w:val="1"/>
      <w:numFmt w:val="bullet"/>
      <w:lvlText w:val="·"/>
      <w:lvlJc w:val="left"/>
      <w:pPr>
        <w:ind w:left="720" w:hanging="360"/>
      </w:pPr>
      <w:rPr>
        <w:rFonts w:ascii="Symbol" w:hAnsi="Symbol" w:hint="default"/>
      </w:rPr>
    </w:lvl>
    <w:lvl w:ilvl="1" w:tplc="3E9AF4C8">
      <w:start w:val="1"/>
      <w:numFmt w:val="bullet"/>
      <w:lvlText w:val="o"/>
      <w:lvlJc w:val="left"/>
      <w:pPr>
        <w:ind w:left="1440" w:hanging="360"/>
      </w:pPr>
      <w:rPr>
        <w:rFonts w:ascii="Courier New" w:hAnsi="Courier New" w:hint="default"/>
      </w:rPr>
    </w:lvl>
    <w:lvl w:ilvl="2" w:tplc="508EAC9A">
      <w:start w:val="1"/>
      <w:numFmt w:val="bullet"/>
      <w:lvlText w:val=""/>
      <w:lvlJc w:val="left"/>
      <w:pPr>
        <w:ind w:left="2160" w:hanging="360"/>
      </w:pPr>
      <w:rPr>
        <w:rFonts w:ascii="Wingdings" w:hAnsi="Wingdings" w:hint="default"/>
      </w:rPr>
    </w:lvl>
    <w:lvl w:ilvl="3" w:tplc="04A212D2">
      <w:start w:val="1"/>
      <w:numFmt w:val="bullet"/>
      <w:lvlText w:val=""/>
      <w:lvlJc w:val="left"/>
      <w:pPr>
        <w:ind w:left="2880" w:hanging="360"/>
      </w:pPr>
      <w:rPr>
        <w:rFonts w:ascii="Symbol" w:hAnsi="Symbol" w:hint="default"/>
      </w:rPr>
    </w:lvl>
    <w:lvl w:ilvl="4" w:tplc="60DA222E">
      <w:start w:val="1"/>
      <w:numFmt w:val="bullet"/>
      <w:lvlText w:val="o"/>
      <w:lvlJc w:val="left"/>
      <w:pPr>
        <w:ind w:left="3600" w:hanging="360"/>
      </w:pPr>
      <w:rPr>
        <w:rFonts w:ascii="Courier New" w:hAnsi="Courier New" w:hint="default"/>
      </w:rPr>
    </w:lvl>
    <w:lvl w:ilvl="5" w:tplc="BF1AFC4E">
      <w:start w:val="1"/>
      <w:numFmt w:val="bullet"/>
      <w:lvlText w:val=""/>
      <w:lvlJc w:val="left"/>
      <w:pPr>
        <w:ind w:left="4320" w:hanging="360"/>
      </w:pPr>
      <w:rPr>
        <w:rFonts w:ascii="Wingdings" w:hAnsi="Wingdings" w:hint="default"/>
      </w:rPr>
    </w:lvl>
    <w:lvl w:ilvl="6" w:tplc="E41CC430">
      <w:start w:val="1"/>
      <w:numFmt w:val="bullet"/>
      <w:lvlText w:val=""/>
      <w:lvlJc w:val="left"/>
      <w:pPr>
        <w:ind w:left="5040" w:hanging="360"/>
      </w:pPr>
      <w:rPr>
        <w:rFonts w:ascii="Symbol" w:hAnsi="Symbol" w:hint="default"/>
      </w:rPr>
    </w:lvl>
    <w:lvl w:ilvl="7" w:tplc="F77AA528">
      <w:start w:val="1"/>
      <w:numFmt w:val="bullet"/>
      <w:lvlText w:val="o"/>
      <w:lvlJc w:val="left"/>
      <w:pPr>
        <w:ind w:left="5760" w:hanging="360"/>
      </w:pPr>
      <w:rPr>
        <w:rFonts w:ascii="Courier New" w:hAnsi="Courier New" w:hint="default"/>
      </w:rPr>
    </w:lvl>
    <w:lvl w:ilvl="8" w:tplc="7FE04910">
      <w:start w:val="1"/>
      <w:numFmt w:val="bullet"/>
      <w:lvlText w:val=""/>
      <w:lvlJc w:val="left"/>
      <w:pPr>
        <w:ind w:left="6480" w:hanging="360"/>
      </w:pPr>
      <w:rPr>
        <w:rFonts w:ascii="Wingdings" w:hAnsi="Wingdings" w:hint="default"/>
      </w:rPr>
    </w:lvl>
  </w:abstractNum>
  <w:abstractNum w:abstractNumId="46" w15:restartNumberingAfterBreak="0">
    <w:nsid w:val="7E859063"/>
    <w:multiLevelType w:val="hybridMultilevel"/>
    <w:tmpl w:val="FFFFFFFF"/>
    <w:lvl w:ilvl="0" w:tplc="D3C0227C">
      <w:start w:val="1"/>
      <w:numFmt w:val="bullet"/>
      <w:lvlText w:val=""/>
      <w:lvlJc w:val="left"/>
      <w:pPr>
        <w:ind w:left="720" w:hanging="360"/>
      </w:pPr>
      <w:rPr>
        <w:rFonts w:ascii="Symbol" w:hAnsi="Symbol" w:hint="default"/>
      </w:rPr>
    </w:lvl>
    <w:lvl w:ilvl="1" w:tplc="4866C2B8">
      <w:start w:val="1"/>
      <w:numFmt w:val="bullet"/>
      <w:lvlText w:val="o"/>
      <w:lvlJc w:val="left"/>
      <w:pPr>
        <w:ind w:left="1440" w:hanging="360"/>
      </w:pPr>
      <w:rPr>
        <w:rFonts w:ascii="Courier New" w:hAnsi="Courier New" w:hint="default"/>
      </w:rPr>
    </w:lvl>
    <w:lvl w:ilvl="2" w:tplc="B9FEEE50">
      <w:start w:val="1"/>
      <w:numFmt w:val="bullet"/>
      <w:lvlText w:val=""/>
      <w:lvlJc w:val="left"/>
      <w:pPr>
        <w:ind w:left="2160" w:hanging="360"/>
      </w:pPr>
      <w:rPr>
        <w:rFonts w:ascii="Wingdings" w:hAnsi="Wingdings" w:hint="default"/>
      </w:rPr>
    </w:lvl>
    <w:lvl w:ilvl="3" w:tplc="0DB63F6A">
      <w:start w:val="1"/>
      <w:numFmt w:val="bullet"/>
      <w:lvlText w:val=""/>
      <w:lvlJc w:val="left"/>
      <w:pPr>
        <w:ind w:left="2880" w:hanging="360"/>
      </w:pPr>
      <w:rPr>
        <w:rFonts w:ascii="Symbol" w:hAnsi="Symbol" w:hint="default"/>
      </w:rPr>
    </w:lvl>
    <w:lvl w:ilvl="4" w:tplc="27A663CA">
      <w:start w:val="1"/>
      <w:numFmt w:val="bullet"/>
      <w:lvlText w:val="o"/>
      <w:lvlJc w:val="left"/>
      <w:pPr>
        <w:ind w:left="3600" w:hanging="360"/>
      </w:pPr>
      <w:rPr>
        <w:rFonts w:ascii="Courier New" w:hAnsi="Courier New" w:hint="default"/>
      </w:rPr>
    </w:lvl>
    <w:lvl w:ilvl="5" w:tplc="D494CBA6">
      <w:start w:val="1"/>
      <w:numFmt w:val="bullet"/>
      <w:lvlText w:val=""/>
      <w:lvlJc w:val="left"/>
      <w:pPr>
        <w:ind w:left="4320" w:hanging="360"/>
      </w:pPr>
      <w:rPr>
        <w:rFonts w:ascii="Wingdings" w:hAnsi="Wingdings" w:hint="default"/>
      </w:rPr>
    </w:lvl>
    <w:lvl w:ilvl="6" w:tplc="4080CE24">
      <w:start w:val="1"/>
      <w:numFmt w:val="bullet"/>
      <w:lvlText w:val=""/>
      <w:lvlJc w:val="left"/>
      <w:pPr>
        <w:ind w:left="5040" w:hanging="360"/>
      </w:pPr>
      <w:rPr>
        <w:rFonts w:ascii="Symbol" w:hAnsi="Symbol" w:hint="default"/>
      </w:rPr>
    </w:lvl>
    <w:lvl w:ilvl="7" w:tplc="C64CDAA2">
      <w:start w:val="1"/>
      <w:numFmt w:val="bullet"/>
      <w:lvlText w:val="o"/>
      <w:lvlJc w:val="left"/>
      <w:pPr>
        <w:ind w:left="5760" w:hanging="360"/>
      </w:pPr>
      <w:rPr>
        <w:rFonts w:ascii="Courier New" w:hAnsi="Courier New" w:hint="default"/>
      </w:rPr>
    </w:lvl>
    <w:lvl w:ilvl="8" w:tplc="0772E29E">
      <w:start w:val="1"/>
      <w:numFmt w:val="bullet"/>
      <w:lvlText w:val=""/>
      <w:lvlJc w:val="left"/>
      <w:pPr>
        <w:ind w:left="6480" w:hanging="360"/>
      </w:pPr>
      <w:rPr>
        <w:rFonts w:ascii="Wingdings" w:hAnsi="Wingdings" w:hint="default"/>
      </w:rPr>
    </w:lvl>
  </w:abstractNum>
  <w:abstractNum w:abstractNumId="47" w15:restartNumberingAfterBreak="0">
    <w:nsid w:val="7EA11AE2"/>
    <w:multiLevelType w:val="hybridMultilevel"/>
    <w:tmpl w:val="FFFFFFFF"/>
    <w:lvl w:ilvl="0" w:tplc="C2F8449A">
      <w:start w:val="1"/>
      <w:numFmt w:val="bullet"/>
      <w:lvlText w:val=""/>
      <w:lvlJc w:val="left"/>
      <w:pPr>
        <w:ind w:left="720" w:hanging="360"/>
      </w:pPr>
      <w:rPr>
        <w:rFonts w:ascii="Symbol" w:hAnsi="Symbol" w:hint="default"/>
      </w:rPr>
    </w:lvl>
    <w:lvl w:ilvl="1" w:tplc="501E1844">
      <w:start w:val="1"/>
      <w:numFmt w:val="bullet"/>
      <w:lvlText w:val="o"/>
      <w:lvlJc w:val="left"/>
      <w:pPr>
        <w:ind w:left="1440" w:hanging="360"/>
      </w:pPr>
      <w:rPr>
        <w:rFonts w:ascii="Courier New" w:hAnsi="Courier New" w:hint="default"/>
      </w:rPr>
    </w:lvl>
    <w:lvl w:ilvl="2" w:tplc="515A681C">
      <w:start w:val="1"/>
      <w:numFmt w:val="bullet"/>
      <w:lvlText w:val=""/>
      <w:lvlJc w:val="left"/>
      <w:pPr>
        <w:ind w:left="2160" w:hanging="360"/>
      </w:pPr>
      <w:rPr>
        <w:rFonts w:ascii="Wingdings" w:hAnsi="Wingdings" w:hint="default"/>
      </w:rPr>
    </w:lvl>
    <w:lvl w:ilvl="3" w:tplc="808CF3A6">
      <w:start w:val="1"/>
      <w:numFmt w:val="bullet"/>
      <w:lvlText w:val=""/>
      <w:lvlJc w:val="left"/>
      <w:pPr>
        <w:ind w:left="2880" w:hanging="360"/>
      </w:pPr>
      <w:rPr>
        <w:rFonts w:ascii="Symbol" w:hAnsi="Symbol" w:hint="default"/>
      </w:rPr>
    </w:lvl>
    <w:lvl w:ilvl="4" w:tplc="D14CFC72">
      <w:start w:val="1"/>
      <w:numFmt w:val="bullet"/>
      <w:lvlText w:val="o"/>
      <w:lvlJc w:val="left"/>
      <w:pPr>
        <w:ind w:left="3600" w:hanging="360"/>
      </w:pPr>
      <w:rPr>
        <w:rFonts w:ascii="Courier New" w:hAnsi="Courier New" w:hint="default"/>
      </w:rPr>
    </w:lvl>
    <w:lvl w:ilvl="5" w:tplc="3B407F14">
      <w:start w:val="1"/>
      <w:numFmt w:val="bullet"/>
      <w:lvlText w:val=""/>
      <w:lvlJc w:val="left"/>
      <w:pPr>
        <w:ind w:left="4320" w:hanging="360"/>
      </w:pPr>
      <w:rPr>
        <w:rFonts w:ascii="Wingdings" w:hAnsi="Wingdings" w:hint="default"/>
      </w:rPr>
    </w:lvl>
    <w:lvl w:ilvl="6" w:tplc="9FC02120">
      <w:start w:val="1"/>
      <w:numFmt w:val="bullet"/>
      <w:lvlText w:val=""/>
      <w:lvlJc w:val="left"/>
      <w:pPr>
        <w:ind w:left="5040" w:hanging="360"/>
      </w:pPr>
      <w:rPr>
        <w:rFonts w:ascii="Symbol" w:hAnsi="Symbol" w:hint="default"/>
      </w:rPr>
    </w:lvl>
    <w:lvl w:ilvl="7" w:tplc="2D5CA6AC">
      <w:start w:val="1"/>
      <w:numFmt w:val="bullet"/>
      <w:lvlText w:val="o"/>
      <w:lvlJc w:val="left"/>
      <w:pPr>
        <w:ind w:left="5760" w:hanging="360"/>
      </w:pPr>
      <w:rPr>
        <w:rFonts w:ascii="Courier New" w:hAnsi="Courier New" w:hint="default"/>
      </w:rPr>
    </w:lvl>
    <w:lvl w:ilvl="8" w:tplc="852E9EB8">
      <w:start w:val="1"/>
      <w:numFmt w:val="bullet"/>
      <w:lvlText w:val=""/>
      <w:lvlJc w:val="left"/>
      <w:pPr>
        <w:ind w:left="6480" w:hanging="360"/>
      </w:pPr>
      <w:rPr>
        <w:rFonts w:ascii="Wingdings" w:hAnsi="Wingdings" w:hint="default"/>
      </w:rPr>
    </w:lvl>
  </w:abstractNum>
  <w:num w:numId="1" w16cid:durableId="1127897554">
    <w:abstractNumId w:val="28"/>
  </w:num>
  <w:num w:numId="2" w16cid:durableId="239565119">
    <w:abstractNumId w:val="31"/>
  </w:num>
  <w:num w:numId="3" w16cid:durableId="1459108556">
    <w:abstractNumId w:val="22"/>
  </w:num>
  <w:num w:numId="4" w16cid:durableId="1080369197">
    <w:abstractNumId w:val="38"/>
  </w:num>
  <w:num w:numId="5" w16cid:durableId="242762658">
    <w:abstractNumId w:val="20"/>
  </w:num>
  <w:num w:numId="6" w16cid:durableId="1984381013">
    <w:abstractNumId w:val="12"/>
  </w:num>
  <w:num w:numId="7" w16cid:durableId="145360376">
    <w:abstractNumId w:val="44"/>
  </w:num>
  <w:num w:numId="8" w16cid:durableId="2015767975">
    <w:abstractNumId w:val="33"/>
  </w:num>
  <w:num w:numId="9" w16cid:durableId="126705164">
    <w:abstractNumId w:val="7"/>
  </w:num>
  <w:num w:numId="10" w16cid:durableId="171456965">
    <w:abstractNumId w:val="32"/>
  </w:num>
  <w:num w:numId="11" w16cid:durableId="1494449545">
    <w:abstractNumId w:val="24"/>
  </w:num>
  <w:num w:numId="12" w16cid:durableId="611667744">
    <w:abstractNumId w:val="35"/>
  </w:num>
  <w:num w:numId="13" w16cid:durableId="1557280133">
    <w:abstractNumId w:val="45"/>
  </w:num>
  <w:num w:numId="14" w16cid:durableId="16126505">
    <w:abstractNumId w:val="6"/>
  </w:num>
  <w:num w:numId="15" w16cid:durableId="1961186189">
    <w:abstractNumId w:val="5"/>
  </w:num>
  <w:num w:numId="16" w16cid:durableId="1904900661">
    <w:abstractNumId w:val="10"/>
  </w:num>
  <w:num w:numId="17" w16cid:durableId="1930848200">
    <w:abstractNumId w:val="26"/>
  </w:num>
  <w:num w:numId="18" w16cid:durableId="1297373789">
    <w:abstractNumId w:val="3"/>
  </w:num>
  <w:num w:numId="19" w16cid:durableId="1350259384">
    <w:abstractNumId w:val="15"/>
  </w:num>
  <w:num w:numId="20" w16cid:durableId="2110000213">
    <w:abstractNumId w:val="18"/>
  </w:num>
  <w:num w:numId="21" w16cid:durableId="1973707269">
    <w:abstractNumId w:val="19"/>
  </w:num>
  <w:num w:numId="22" w16cid:durableId="1902445869">
    <w:abstractNumId w:val="2"/>
  </w:num>
  <w:num w:numId="23" w16cid:durableId="726227286">
    <w:abstractNumId w:val="14"/>
  </w:num>
  <w:num w:numId="24" w16cid:durableId="539246085">
    <w:abstractNumId w:val="11"/>
  </w:num>
  <w:num w:numId="25" w16cid:durableId="1753038304">
    <w:abstractNumId w:val="17"/>
  </w:num>
  <w:num w:numId="26" w16cid:durableId="767193313">
    <w:abstractNumId w:val="41"/>
  </w:num>
  <w:num w:numId="27" w16cid:durableId="64963193">
    <w:abstractNumId w:val="27"/>
  </w:num>
  <w:num w:numId="28" w16cid:durableId="838885480">
    <w:abstractNumId w:val="4"/>
  </w:num>
  <w:num w:numId="29" w16cid:durableId="1874883733">
    <w:abstractNumId w:val="13"/>
  </w:num>
  <w:num w:numId="30" w16cid:durableId="2004356292">
    <w:abstractNumId w:val="47"/>
  </w:num>
  <w:num w:numId="31" w16cid:durableId="56511909">
    <w:abstractNumId w:val="23"/>
  </w:num>
  <w:num w:numId="32" w16cid:durableId="1973363101">
    <w:abstractNumId w:val="16"/>
  </w:num>
  <w:num w:numId="33" w16cid:durableId="856308499">
    <w:abstractNumId w:val="29"/>
  </w:num>
  <w:num w:numId="34" w16cid:durableId="1550142434">
    <w:abstractNumId w:val="37"/>
  </w:num>
  <w:num w:numId="35" w16cid:durableId="1601375170">
    <w:abstractNumId w:val="21"/>
  </w:num>
  <w:num w:numId="36" w16cid:durableId="1135759063">
    <w:abstractNumId w:val="30"/>
  </w:num>
  <w:num w:numId="37" w16cid:durableId="362748036">
    <w:abstractNumId w:val="43"/>
  </w:num>
  <w:num w:numId="38" w16cid:durableId="1062098838">
    <w:abstractNumId w:val="42"/>
  </w:num>
  <w:num w:numId="39" w16cid:durableId="381832827">
    <w:abstractNumId w:val="46"/>
  </w:num>
  <w:num w:numId="40" w16cid:durableId="154688580">
    <w:abstractNumId w:val="8"/>
  </w:num>
  <w:num w:numId="41" w16cid:durableId="1108889011">
    <w:abstractNumId w:val="40"/>
  </w:num>
  <w:num w:numId="42" w16cid:durableId="1644429988">
    <w:abstractNumId w:val="1"/>
  </w:num>
  <w:num w:numId="43" w16cid:durableId="1173422442">
    <w:abstractNumId w:val="0"/>
  </w:num>
  <w:num w:numId="44" w16cid:durableId="696665963">
    <w:abstractNumId w:val="39"/>
  </w:num>
  <w:num w:numId="45" w16cid:durableId="1716269397">
    <w:abstractNumId w:val="9"/>
  </w:num>
  <w:num w:numId="46" w16cid:durableId="542669488">
    <w:abstractNumId w:val="36"/>
  </w:num>
  <w:num w:numId="47" w16cid:durableId="1641615770">
    <w:abstractNumId w:val="34"/>
  </w:num>
  <w:num w:numId="48" w16cid:durableId="1861897768">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24E"/>
    <w:rsid w:val="000000EF"/>
    <w:rsid w:val="000002D2"/>
    <w:rsid w:val="00000A80"/>
    <w:rsid w:val="00000B35"/>
    <w:rsid w:val="00000DD9"/>
    <w:rsid w:val="00000FE5"/>
    <w:rsid w:val="000011AB"/>
    <w:rsid w:val="000017C9"/>
    <w:rsid w:val="000019F1"/>
    <w:rsid w:val="00002C36"/>
    <w:rsid w:val="00002FEE"/>
    <w:rsid w:val="00003A15"/>
    <w:rsid w:val="00003CA6"/>
    <w:rsid w:val="00003CB2"/>
    <w:rsid w:val="00003ED2"/>
    <w:rsid w:val="00004846"/>
    <w:rsid w:val="00004996"/>
    <w:rsid w:val="000051A3"/>
    <w:rsid w:val="000052BF"/>
    <w:rsid w:val="0000557E"/>
    <w:rsid w:val="00005EFC"/>
    <w:rsid w:val="000061FF"/>
    <w:rsid w:val="0000644E"/>
    <w:rsid w:val="000066CB"/>
    <w:rsid w:val="00006C53"/>
    <w:rsid w:val="00006F74"/>
    <w:rsid w:val="000070A7"/>
    <w:rsid w:val="00007770"/>
    <w:rsid w:val="00007998"/>
    <w:rsid w:val="00007D55"/>
    <w:rsid w:val="00010578"/>
    <w:rsid w:val="000106D0"/>
    <w:rsid w:val="00011C04"/>
    <w:rsid w:val="00011D9A"/>
    <w:rsid w:val="0001230E"/>
    <w:rsid w:val="000125B4"/>
    <w:rsid w:val="000125E4"/>
    <w:rsid w:val="00012A25"/>
    <w:rsid w:val="00012BCF"/>
    <w:rsid w:val="00012C7A"/>
    <w:rsid w:val="00013028"/>
    <w:rsid w:val="0001349D"/>
    <w:rsid w:val="00013C80"/>
    <w:rsid w:val="00013CFD"/>
    <w:rsid w:val="00013FB5"/>
    <w:rsid w:val="00014341"/>
    <w:rsid w:val="000150A2"/>
    <w:rsid w:val="0001537F"/>
    <w:rsid w:val="00015583"/>
    <w:rsid w:val="000156A9"/>
    <w:rsid w:val="0001577F"/>
    <w:rsid w:val="000157C7"/>
    <w:rsid w:val="0001584A"/>
    <w:rsid w:val="00015997"/>
    <w:rsid w:val="00015F0A"/>
    <w:rsid w:val="00016094"/>
    <w:rsid w:val="00016400"/>
    <w:rsid w:val="0001673D"/>
    <w:rsid w:val="0001686F"/>
    <w:rsid w:val="00016A63"/>
    <w:rsid w:val="0001713A"/>
    <w:rsid w:val="00017414"/>
    <w:rsid w:val="00017592"/>
    <w:rsid w:val="00017986"/>
    <w:rsid w:val="00017AB7"/>
    <w:rsid w:val="00020203"/>
    <w:rsid w:val="0002044C"/>
    <w:rsid w:val="000210A3"/>
    <w:rsid w:val="0002190D"/>
    <w:rsid w:val="000222F9"/>
    <w:rsid w:val="0002304E"/>
    <w:rsid w:val="00023208"/>
    <w:rsid w:val="0002355F"/>
    <w:rsid w:val="00023AD2"/>
    <w:rsid w:val="00023AF4"/>
    <w:rsid w:val="00023BC6"/>
    <w:rsid w:val="00023EF5"/>
    <w:rsid w:val="00025840"/>
    <w:rsid w:val="0002596D"/>
    <w:rsid w:val="000264B9"/>
    <w:rsid w:val="00026889"/>
    <w:rsid w:val="00026DC6"/>
    <w:rsid w:val="0002768D"/>
    <w:rsid w:val="00027899"/>
    <w:rsid w:val="0002799E"/>
    <w:rsid w:val="00027B83"/>
    <w:rsid w:val="00027DD4"/>
    <w:rsid w:val="00030114"/>
    <w:rsid w:val="0003020D"/>
    <w:rsid w:val="00030537"/>
    <w:rsid w:val="00030776"/>
    <w:rsid w:val="000307F1"/>
    <w:rsid w:val="000309BC"/>
    <w:rsid w:val="00030AAD"/>
    <w:rsid w:val="00030D6F"/>
    <w:rsid w:val="000312C2"/>
    <w:rsid w:val="00031681"/>
    <w:rsid w:val="00031AC8"/>
    <w:rsid w:val="00031B99"/>
    <w:rsid w:val="00031BB8"/>
    <w:rsid w:val="00031D29"/>
    <w:rsid w:val="0003247A"/>
    <w:rsid w:val="00032527"/>
    <w:rsid w:val="00032EEE"/>
    <w:rsid w:val="000335A1"/>
    <w:rsid w:val="00033EF8"/>
    <w:rsid w:val="00033F52"/>
    <w:rsid w:val="00034536"/>
    <w:rsid w:val="00034B28"/>
    <w:rsid w:val="00034CED"/>
    <w:rsid w:val="0003549B"/>
    <w:rsid w:val="00036035"/>
    <w:rsid w:val="00036098"/>
    <w:rsid w:val="0003685C"/>
    <w:rsid w:val="000368FE"/>
    <w:rsid w:val="00036C5B"/>
    <w:rsid w:val="00036F18"/>
    <w:rsid w:val="00037041"/>
    <w:rsid w:val="00037CF0"/>
    <w:rsid w:val="00040113"/>
    <w:rsid w:val="0004035F"/>
    <w:rsid w:val="00040459"/>
    <w:rsid w:val="00040716"/>
    <w:rsid w:val="00040C44"/>
    <w:rsid w:val="00040D23"/>
    <w:rsid w:val="00040EE0"/>
    <w:rsid w:val="000410BD"/>
    <w:rsid w:val="0004149B"/>
    <w:rsid w:val="00041856"/>
    <w:rsid w:val="000419A1"/>
    <w:rsid w:val="00041ABD"/>
    <w:rsid w:val="00041C7C"/>
    <w:rsid w:val="00041EF3"/>
    <w:rsid w:val="00041FA6"/>
    <w:rsid w:val="00042A2E"/>
    <w:rsid w:val="00042B13"/>
    <w:rsid w:val="00042BA3"/>
    <w:rsid w:val="00042BD4"/>
    <w:rsid w:val="00042E68"/>
    <w:rsid w:val="000434D5"/>
    <w:rsid w:val="0004377D"/>
    <w:rsid w:val="00043885"/>
    <w:rsid w:val="00043C83"/>
    <w:rsid w:val="000443F3"/>
    <w:rsid w:val="0004458E"/>
    <w:rsid w:val="00044F80"/>
    <w:rsid w:val="00045056"/>
    <w:rsid w:val="000450AF"/>
    <w:rsid w:val="000453E5"/>
    <w:rsid w:val="00045A41"/>
    <w:rsid w:val="00045F5F"/>
    <w:rsid w:val="0004628B"/>
    <w:rsid w:val="0004643E"/>
    <w:rsid w:val="000468EC"/>
    <w:rsid w:val="00046DB2"/>
    <w:rsid w:val="00047322"/>
    <w:rsid w:val="000475FC"/>
    <w:rsid w:val="000476A2"/>
    <w:rsid w:val="000476DF"/>
    <w:rsid w:val="00047B6B"/>
    <w:rsid w:val="00050092"/>
    <w:rsid w:val="00051D09"/>
    <w:rsid w:val="000520F5"/>
    <w:rsid w:val="00052D43"/>
    <w:rsid w:val="0005346E"/>
    <w:rsid w:val="00053722"/>
    <w:rsid w:val="000539D6"/>
    <w:rsid w:val="00053A1F"/>
    <w:rsid w:val="00053BFB"/>
    <w:rsid w:val="00053CCC"/>
    <w:rsid w:val="00054139"/>
    <w:rsid w:val="000543B0"/>
    <w:rsid w:val="00054990"/>
    <w:rsid w:val="00055A9A"/>
    <w:rsid w:val="00056C88"/>
    <w:rsid w:val="00057B89"/>
    <w:rsid w:val="00060233"/>
    <w:rsid w:val="000603A2"/>
    <w:rsid w:val="000603E1"/>
    <w:rsid w:val="00060426"/>
    <w:rsid w:val="00060428"/>
    <w:rsid w:val="00060C71"/>
    <w:rsid w:val="00060F35"/>
    <w:rsid w:val="00061083"/>
    <w:rsid w:val="000612D5"/>
    <w:rsid w:val="0006136A"/>
    <w:rsid w:val="00061787"/>
    <w:rsid w:val="0006190A"/>
    <w:rsid w:val="00061CF0"/>
    <w:rsid w:val="00061E8E"/>
    <w:rsid w:val="00061FB9"/>
    <w:rsid w:val="0006204D"/>
    <w:rsid w:val="00062410"/>
    <w:rsid w:val="000625F0"/>
    <w:rsid w:val="00062954"/>
    <w:rsid w:val="000629FD"/>
    <w:rsid w:val="00062C68"/>
    <w:rsid w:val="00062C85"/>
    <w:rsid w:val="00063080"/>
    <w:rsid w:val="000631B8"/>
    <w:rsid w:val="000634AC"/>
    <w:rsid w:val="00063B2F"/>
    <w:rsid w:val="00063E1E"/>
    <w:rsid w:val="00063FDE"/>
    <w:rsid w:val="000643A5"/>
    <w:rsid w:val="00064B67"/>
    <w:rsid w:val="00064C1B"/>
    <w:rsid w:val="000651FC"/>
    <w:rsid w:val="00065430"/>
    <w:rsid w:val="00065565"/>
    <w:rsid w:val="00065705"/>
    <w:rsid w:val="00066066"/>
    <w:rsid w:val="0006688C"/>
    <w:rsid w:val="000669F8"/>
    <w:rsid w:val="00066CCA"/>
    <w:rsid w:val="00066EA6"/>
    <w:rsid w:val="000672BC"/>
    <w:rsid w:val="00067329"/>
    <w:rsid w:val="0006738F"/>
    <w:rsid w:val="00067604"/>
    <w:rsid w:val="000679CD"/>
    <w:rsid w:val="00067E2B"/>
    <w:rsid w:val="00067F75"/>
    <w:rsid w:val="0007005C"/>
    <w:rsid w:val="000703A5"/>
    <w:rsid w:val="000703D5"/>
    <w:rsid w:val="0007046E"/>
    <w:rsid w:val="00070553"/>
    <w:rsid w:val="000708CE"/>
    <w:rsid w:val="00070C25"/>
    <w:rsid w:val="00070F4E"/>
    <w:rsid w:val="00071124"/>
    <w:rsid w:val="00071372"/>
    <w:rsid w:val="00071866"/>
    <w:rsid w:val="00071EDE"/>
    <w:rsid w:val="00071FB2"/>
    <w:rsid w:val="00073530"/>
    <w:rsid w:val="000741C5"/>
    <w:rsid w:val="000746B8"/>
    <w:rsid w:val="00074AE7"/>
    <w:rsid w:val="00074CCE"/>
    <w:rsid w:val="00074E9E"/>
    <w:rsid w:val="0007637D"/>
    <w:rsid w:val="00077039"/>
    <w:rsid w:val="0007721A"/>
    <w:rsid w:val="00077EF0"/>
    <w:rsid w:val="000806E5"/>
    <w:rsid w:val="00080BA1"/>
    <w:rsid w:val="00080C34"/>
    <w:rsid w:val="00081131"/>
    <w:rsid w:val="000816FA"/>
    <w:rsid w:val="000819D5"/>
    <w:rsid w:val="00081A9B"/>
    <w:rsid w:val="00081D8C"/>
    <w:rsid w:val="00081F36"/>
    <w:rsid w:val="0008220B"/>
    <w:rsid w:val="0008248B"/>
    <w:rsid w:val="000824B4"/>
    <w:rsid w:val="00082CA6"/>
    <w:rsid w:val="00082CF7"/>
    <w:rsid w:val="0008317D"/>
    <w:rsid w:val="000834CF"/>
    <w:rsid w:val="00083910"/>
    <w:rsid w:val="00083ADA"/>
    <w:rsid w:val="00083B4E"/>
    <w:rsid w:val="00083C3A"/>
    <w:rsid w:val="00083E4C"/>
    <w:rsid w:val="000846D4"/>
    <w:rsid w:val="0008479E"/>
    <w:rsid w:val="000847BE"/>
    <w:rsid w:val="0008494A"/>
    <w:rsid w:val="00084B98"/>
    <w:rsid w:val="00084FE2"/>
    <w:rsid w:val="000855C3"/>
    <w:rsid w:val="000858D4"/>
    <w:rsid w:val="000863D2"/>
    <w:rsid w:val="000864F7"/>
    <w:rsid w:val="00087059"/>
    <w:rsid w:val="0008768C"/>
    <w:rsid w:val="00087A32"/>
    <w:rsid w:val="00087E3A"/>
    <w:rsid w:val="00087E8B"/>
    <w:rsid w:val="0009016F"/>
    <w:rsid w:val="0009025A"/>
    <w:rsid w:val="000905E3"/>
    <w:rsid w:val="00090997"/>
    <w:rsid w:val="00090C61"/>
    <w:rsid w:val="00090D22"/>
    <w:rsid w:val="00091292"/>
    <w:rsid w:val="0009199F"/>
    <w:rsid w:val="00092759"/>
    <w:rsid w:val="0009294A"/>
    <w:rsid w:val="00092A18"/>
    <w:rsid w:val="00092AD6"/>
    <w:rsid w:val="00092BB3"/>
    <w:rsid w:val="00092C0A"/>
    <w:rsid w:val="00092DD5"/>
    <w:rsid w:val="00092E69"/>
    <w:rsid w:val="00093A08"/>
    <w:rsid w:val="00093B0E"/>
    <w:rsid w:val="00093D01"/>
    <w:rsid w:val="0009436C"/>
    <w:rsid w:val="000947E6"/>
    <w:rsid w:val="000949F8"/>
    <w:rsid w:val="00095155"/>
    <w:rsid w:val="00095B4F"/>
    <w:rsid w:val="000963C8"/>
    <w:rsid w:val="00096881"/>
    <w:rsid w:val="00096CA6"/>
    <w:rsid w:val="00096D9E"/>
    <w:rsid w:val="0009753B"/>
    <w:rsid w:val="000A04F4"/>
    <w:rsid w:val="000A0755"/>
    <w:rsid w:val="000A081D"/>
    <w:rsid w:val="000A114F"/>
    <w:rsid w:val="000A13B4"/>
    <w:rsid w:val="000A1D44"/>
    <w:rsid w:val="000A1E4A"/>
    <w:rsid w:val="000A2489"/>
    <w:rsid w:val="000A2830"/>
    <w:rsid w:val="000A2A29"/>
    <w:rsid w:val="000A2AB1"/>
    <w:rsid w:val="000A2B17"/>
    <w:rsid w:val="000A2D0B"/>
    <w:rsid w:val="000A3F93"/>
    <w:rsid w:val="000A44A7"/>
    <w:rsid w:val="000A4772"/>
    <w:rsid w:val="000A4778"/>
    <w:rsid w:val="000A49B5"/>
    <w:rsid w:val="000A49B9"/>
    <w:rsid w:val="000A4BCD"/>
    <w:rsid w:val="000A4C1E"/>
    <w:rsid w:val="000A4D35"/>
    <w:rsid w:val="000A5376"/>
    <w:rsid w:val="000A590B"/>
    <w:rsid w:val="000A5D3A"/>
    <w:rsid w:val="000A6316"/>
    <w:rsid w:val="000A6E39"/>
    <w:rsid w:val="000A6FE2"/>
    <w:rsid w:val="000B0B57"/>
    <w:rsid w:val="000B0D13"/>
    <w:rsid w:val="000B14E9"/>
    <w:rsid w:val="000B1B37"/>
    <w:rsid w:val="000B1D59"/>
    <w:rsid w:val="000B238B"/>
    <w:rsid w:val="000B2548"/>
    <w:rsid w:val="000B263A"/>
    <w:rsid w:val="000B2866"/>
    <w:rsid w:val="000B2B83"/>
    <w:rsid w:val="000B2DC9"/>
    <w:rsid w:val="000B33CD"/>
    <w:rsid w:val="000B4089"/>
    <w:rsid w:val="000B45BC"/>
    <w:rsid w:val="000B4A05"/>
    <w:rsid w:val="000B4AD3"/>
    <w:rsid w:val="000B4E44"/>
    <w:rsid w:val="000B5AA1"/>
    <w:rsid w:val="000B6034"/>
    <w:rsid w:val="000B6B8C"/>
    <w:rsid w:val="000B6F77"/>
    <w:rsid w:val="000B7137"/>
    <w:rsid w:val="000B7370"/>
    <w:rsid w:val="000B77D2"/>
    <w:rsid w:val="000B7822"/>
    <w:rsid w:val="000B7E16"/>
    <w:rsid w:val="000C0382"/>
    <w:rsid w:val="000C08B1"/>
    <w:rsid w:val="000C08BE"/>
    <w:rsid w:val="000C0A82"/>
    <w:rsid w:val="000C0D69"/>
    <w:rsid w:val="000C0F08"/>
    <w:rsid w:val="000C100E"/>
    <w:rsid w:val="000C140E"/>
    <w:rsid w:val="000C1A03"/>
    <w:rsid w:val="000C2599"/>
    <w:rsid w:val="000C2A1D"/>
    <w:rsid w:val="000C30C2"/>
    <w:rsid w:val="000C30EA"/>
    <w:rsid w:val="000C324A"/>
    <w:rsid w:val="000C3BFB"/>
    <w:rsid w:val="000C411D"/>
    <w:rsid w:val="000C433B"/>
    <w:rsid w:val="000C434F"/>
    <w:rsid w:val="000C5688"/>
    <w:rsid w:val="000C5ACA"/>
    <w:rsid w:val="000C5F0A"/>
    <w:rsid w:val="000C64F2"/>
    <w:rsid w:val="000C6B59"/>
    <w:rsid w:val="000C741C"/>
    <w:rsid w:val="000C745B"/>
    <w:rsid w:val="000C7532"/>
    <w:rsid w:val="000C7DD1"/>
    <w:rsid w:val="000C7FE1"/>
    <w:rsid w:val="000D073C"/>
    <w:rsid w:val="000D090A"/>
    <w:rsid w:val="000D0B9D"/>
    <w:rsid w:val="000D0CB1"/>
    <w:rsid w:val="000D13C8"/>
    <w:rsid w:val="000D1824"/>
    <w:rsid w:val="000D1B57"/>
    <w:rsid w:val="000D1E1C"/>
    <w:rsid w:val="000D2881"/>
    <w:rsid w:val="000D2951"/>
    <w:rsid w:val="000D3528"/>
    <w:rsid w:val="000D3537"/>
    <w:rsid w:val="000D3FA4"/>
    <w:rsid w:val="000D41D9"/>
    <w:rsid w:val="000D43D7"/>
    <w:rsid w:val="000D4685"/>
    <w:rsid w:val="000D573E"/>
    <w:rsid w:val="000D5B8B"/>
    <w:rsid w:val="000D5CCD"/>
    <w:rsid w:val="000D5CDF"/>
    <w:rsid w:val="000D6838"/>
    <w:rsid w:val="000D70FC"/>
    <w:rsid w:val="000D7739"/>
    <w:rsid w:val="000D7778"/>
    <w:rsid w:val="000D788D"/>
    <w:rsid w:val="000D7B81"/>
    <w:rsid w:val="000D7C67"/>
    <w:rsid w:val="000D7E6E"/>
    <w:rsid w:val="000D7FCD"/>
    <w:rsid w:val="000E0149"/>
    <w:rsid w:val="000E04EF"/>
    <w:rsid w:val="000E0925"/>
    <w:rsid w:val="000E0AEC"/>
    <w:rsid w:val="000E0B16"/>
    <w:rsid w:val="000E0DDB"/>
    <w:rsid w:val="000E14E1"/>
    <w:rsid w:val="000E1B87"/>
    <w:rsid w:val="000E1C99"/>
    <w:rsid w:val="000E1DDB"/>
    <w:rsid w:val="000E23AB"/>
    <w:rsid w:val="000E2461"/>
    <w:rsid w:val="000E2841"/>
    <w:rsid w:val="000E2D27"/>
    <w:rsid w:val="000E2E3F"/>
    <w:rsid w:val="000E30FC"/>
    <w:rsid w:val="000E3219"/>
    <w:rsid w:val="000E3255"/>
    <w:rsid w:val="000E3397"/>
    <w:rsid w:val="000E33E3"/>
    <w:rsid w:val="000E3536"/>
    <w:rsid w:val="000E3735"/>
    <w:rsid w:val="000E37F9"/>
    <w:rsid w:val="000E432A"/>
    <w:rsid w:val="000E43AA"/>
    <w:rsid w:val="000E515E"/>
    <w:rsid w:val="000E51A6"/>
    <w:rsid w:val="000E540B"/>
    <w:rsid w:val="000E5712"/>
    <w:rsid w:val="000E5E43"/>
    <w:rsid w:val="000E69BB"/>
    <w:rsid w:val="000E72D4"/>
    <w:rsid w:val="000E7841"/>
    <w:rsid w:val="000E7DEB"/>
    <w:rsid w:val="000E7E2C"/>
    <w:rsid w:val="000E7E37"/>
    <w:rsid w:val="000F0883"/>
    <w:rsid w:val="000F0918"/>
    <w:rsid w:val="000F0B12"/>
    <w:rsid w:val="000F0D79"/>
    <w:rsid w:val="000F0ED1"/>
    <w:rsid w:val="000F145A"/>
    <w:rsid w:val="000F1785"/>
    <w:rsid w:val="000F183E"/>
    <w:rsid w:val="000F186B"/>
    <w:rsid w:val="000F1CBF"/>
    <w:rsid w:val="000F1ED3"/>
    <w:rsid w:val="000F207A"/>
    <w:rsid w:val="000F2C67"/>
    <w:rsid w:val="000F2DA3"/>
    <w:rsid w:val="000F35A2"/>
    <w:rsid w:val="000F35A7"/>
    <w:rsid w:val="000F3671"/>
    <w:rsid w:val="000F40C0"/>
    <w:rsid w:val="000F5219"/>
    <w:rsid w:val="000F52FD"/>
    <w:rsid w:val="000F5617"/>
    <w:rsid w:val="000F5A54"/>
    <w:rsid w:val="000F5DBB"/>
    <w:rsid w:val="000F60A5"/>
    <w:rsid w:val="000F61EE"/>
    <w:rsid w:val="000F6D37"/>
    <w:rsid w:val="000F6E78"/>
    <w:rsid w:val="000F71E2"/>
    <w:rsid w:val="000F73B4"/>
    <w:rsid w:val="000F744D"/>
    <w:rsid w:val="000F7B54"/>
    <w:rsid w:val="000F7E98"/>
    <w:rsid w:val="0010020B"/>
    <w:rsid w:val="0010037D"/>
    <w:rsid w:val="00100C6F"/>
    <w:rsid w:val="00100D59"/>
    <w:rsid w:val="00100DDC"/>
    <w:rsid w:val="0010172D"/>
    <w:rsid w:val="00102AFC"/>
    <w:rsid w:val="00102F52"/>
    <w:rsid w:val="001041C9"/>
    <w:rsid w:val="0010441D"/>
    <w:rsid w:val="00104BF2"/>
    <w:rsid w:val="001056EF"/>
    <w:rsid w:val="00105BA9"/>
    <w:rsid w:val="00105D23"/>
    <w:rsid w:val="00105D3F"/>
    <w:rsid w:val="00105D4F"/>
    <w:rsid w:val="00106024"/>
    <w:rsid w:val="001066F1"/>
    <w:rsid w:val="00106EBD"/>
    <w:rsid w:val="00107681"/>
    <w:rsid w:val="00107DBE"/>
    <w:rsid w:val="00107E96"/>
    <w:rsid w:val="001100A4"/>
    <w:rsid w:val="001102F1"/>
    <w:rsid w:val="0011049E"/>
    <w:rsid w:val="00111202"/>
    <w:rsid w:val="001114FA"/>
    <w:rsid w:val="00111AE1"/>
    <w:rsid w:val="0011248A"/>
    <w:rsid w:val="001126DE"/>
    <w:rsid w:val="0011293A"/>
    <w:rsid w:val="0011309F"/>
    <w:rsid w:val="00113BAE"/>
    <w:rsid w:val="00113F67"/>
    <w:rsid w:val="00113F9A"/>
    <w:rsid w:val="00114723"/>
    <w:rsid w:val="0011483C"/>
    <w:rsid w:val="00115691"/>
    <w:rsid w:val="00115870"/>
    <w:rsid w:val="00115A93"/>
    <w:rsid w:val="00115DD9"/>
    <w:rsid w:val="00115DE4"/>
    <w:rsid w:val="001160D7"/>
    <w:rsid w:val="00116A5D"/>
    <w:rsid w:val="00117AF1"/>
    <w:rsid w:val="00117CE0"/>
    <w:rsid w:val="00117E64"/>
    <w:rsid w:val="00117FBD"/>
    <w:rsid w:val="001206E2"/>
    <w:rsid w:val="001208D8"/>
    <w:rsid w:val="00120D96"/>
    <w:rsid w:val="00120D98"/>
    <w:rsid w:val="00120F74"/>
    <w:rsid w:val="00121067"/>
    <w:rsid w:val="00121356"/>
    <w:rsid w:val="001213B6"/>
    <w:rsid w:val="00121F8E"/>
    <w:rsid w:val="00122286"/>
    <w:rsid w:val="0012243C"/>
    <w:rsid w:val="001228F0"/>
    <w:rsid w:val="001229A7"/>
    <w:rsid w:val="00122BA9"/>
    <w:rsid w:val="00123046"/>
    <w:rsid w:val="001231E5"/>
    <w:rsid w:val="00123229"/>
    <w:rsid w:val="00123CCB"/>
    <w:rsid w:val="00124127"/>
    <w:rsid w:val="0012466D"/>
    <w:rsid w:val="00124B80"/>
    <w:rsid w:val="00124DC1"/>
    <w:rsid w:val="00125095"/>
    <w:rsid w:val="00125182"/>
    <w:rsid w:val="0012531A"/>
    <w:rsid w:val="001256FF"/>
    <w:rsid w:val="00126192"/>
    <w:rsid w:val="001263EF"/>
    <w:rsid w:val="00126753"/>
    <w:rsid w:val="00126B2B"/>
    <w:rsid w:val="001272F3"/>
    <w:rsid w:val="00127D08"/>
    <w:rsid w:val="00127E33"/>
    <w:rsid w:val="00130155"/>
    <w:rsid w:val="0013051A"/>
    <w:rsid w:val="0013056E"/>
    <w:rsid w:val="0013107F"/>
    <w:rsid w:val="001312E7"/>
    <w:rsid w:val="001312EC"/>
    <w:rsid w:val="00132636"/>
    <w:rsid w:val="001329C1"/>
    <w:rsid w:val="00133386"/>
    <w:rsid w:val="001333A6"/>
    <w:rsid w:val="00133455"/>
    <w:rsid w:val="001338C7"/>
    <w:rsid w:val="00133ED5"/>
    <w:rsid w:val="00133F6E"/>
    <w:rsid w:val="0013435C"/>
    <w:rsid w:val="00134412"/>
    <w:rsid w:val="00134522"/>
    <w:rsid w:val="00134A23"/>
    <w:rsid w:val="00135099"/>
    <w:rsid w:val="00135281"/>
    <w:rsid w:val="00135AC3"/>
    <w:rsid w:val="00135F14"/>
    <w:rsid w:val="00136BCF"/>
    <w:rsid w:val="00136C98"/>
    <w:rsid w:val="001375CE"/>
    <w:rsid w:val="001375FB"/>
    <w:rsid w:val="00137D76"/>
    <w:rsid w:val="00137E9D"/>
    <w:rsid w:val="001402E6"/>
    <w:rsid w:val="00140560"/>
    <w:rsid w:val="00140906"/>
    <w:rsid w:val="00140925"/>
    <w:rsid w:val="00140DF3"/>
    <w:rsid w:val="00141025"/>
    <w:rsid w:val="0014123C"/>
    <w:rsid w:val="00141240"/>
    <w:rsid w:val="001415FA"/>
    <w:rsid w:val="00141EE3"/>
    <w:rsid w:val="00141FB5"/>
    <w:rsid w:val="001421E8"/>
    <w:rsid w:val="0014306C"/>
    <w:rsid w:val="001430B6"/>
    <w:rsid w:val="001439D1"/>
    <w:rsid w:val="00143CAC"/>
    <w:rsid w:val="00144934"/>
    <w:rsid w:val="00144A4D"/>
    <w:rsid w:val="00144D08"/>
    <w:rsid w:val="00144E03"/>
    <w:rsid w:val="001452AD"/>
    <w:rsid w:val="001452C4"/>
    <w:rsid w:val="00145302"/>
    <w:rsid w:val="001454C6"/>
    <w:rsid w:val="00145B7F"/>
    <w:rsid w:val="00145BE6"/>
    <w:rsid w:val="00145D77"/>
    <w:rsid w:val="0014629B"/>
    <w:rsid w:val="00146D58"/>
    <w:rsid w:val="00146DE2"/>
    <w:rsid w:val="00146F09"/>
    <w:rsid w:val="00147420"/>
    <w:rsid w:val="00147552"/>
    <w:rsid w:val="00147656"/>
    <w:rsid w:val="001478F6"/>
    <w:rsid w:val="00147D57"/>
    <w:rsid w:val="00150053"/>
    <w:rsid w:val="00150453"/>
    <w:rsid w:val="00150464"/>
    <w:rsid w:val="001513E6"/>
    <w:rsid w:val="001515E2"/>
    <w:rsid w:val="00151696"/>
    <w:rsid w:val="001518B2"/>
    <w:rsid w:val="001518BE"/>
    <w:rsid w:val="00151E3B"/>
    <w:rsid w:val="00152073"/>
    <w:rsid w:val="0015216D"/>
    <w:rsid w:val="0015289C"/>
    <w:rsid w:val="001528E8"/>
    <w:rsid w:val="00153310"/>
    <w:rsid w:val="0015346F"/>
    <w:rsid w:val="001534CA"/>
    <w:rsid w:val="00153999"/>
    <w:rsid w:val="00153D50"/>
    <w:rsid w:val="0015403D"/>
    <w:rsid w:val="00154128"/>
    <w:rsid w:val="00154487"/>
    <w:rsid w:val="0015575D"/>
    <w:rsid w:val="00155AA0"/>
    <w:rsid w:val="00155B1F"/>
    <w:rsid w:val="00155B88"/>
    <w:rsid w:val="0015603E"/>
    <w:rsid w:val="00156111"/>
    <w:rsid w:val="00156DE7"/>
    <w:rsid w:val="001572C2"/>
    <w:rsid w:val="0015784E"/>
    <w:rsid w:val="0015786F"/>
    <w:rsid w:val="001578A8"/>
    <w:rsid w:val="00157D7D"/>
    <w:rsid w:val="0016057D"/>
    <w:rsid w:val="00160C87"/>
    <w:rsid w:val="00160EC0"/>
    <w:rsid w:val="0016106F"/>
    <w:rsid w:val="00161871"/>
    <w:rsid w:val="00161A46"/>
    <w:rsid w:val="00161A81"/>
    <w:rsid w:val="001621AB"/>
    <w:rsid w:val="001621E2"/>
    <w:rsid w:val="001624D0"/>
    <w:rsid w:val="00163DF6"/>
    <w:rsid w:val="00163DFF"/>
    <w:rsid w:val="00164833"/>
    <w:rsid w:val="00164E05"/>
    <w:rsid w:val="00164FF0"/>
    <w:rsid w:val="00165431"/>
    <w:rsid w:val="00165C86"/>
    <w:rsid w:val="00166065"/>
    <w:rsid w:val="001663E0"/>
    <w:rsid w:val="00166482"/>
    <w:rsid w:val="00166824"/>
    <w:rsid w:val="0016698F"/>
    <w:rsid w:val="00166A25"/>
    <w:rsid w:val="0016715F"/>
    <w:rsid w:val="001677D8"/>
    <w:rsid w:val="00167C0D"/>
    <w:rsid w:val="00167F43"/>
    <w:rsid w:val="0017003B"/>
    <w:rsid w:val="001705C9"/>
    <w:rsid w:val="00170734"/>
    <w:rsid w:val="00170B52"/>
    <w:rsid w:val="00170F9D"/>
    <w:rsid w:val="001711BE"/>
    <w:rsid w:val="001714C9"/>
    <w:rsid w:val="00171ADE"/>
    <w:rsid w:val="00171FB5"/>
    <w:rsid w:val="001726E4"/>
    <w:rsid w:val="001728C7"/>
    <w:rsid w:val="00172AB2"/>
    <w:rsid w:val="00172F23"/>
    <w:rsid w:val="001732FB"/>
    <w:rsid w:val="001734C8"/>
    <w:rsid w:val="001734F6"/>
    <w:rsid w:val="00173A57"/>
    <w:rsid w:val="00173C49"/>
    <w:rsid w:val="00174011"/>
    <w:rsid w:val="00174120"/>
    <w:rsid w:val="001741CF"/>
    <w:rsid w:val="001748E5"/>
    <w:rsid w:val="00174BFD"/>
    <w:rsid w:val="00174C73"/>
    <w:rsid w:val="00174CC8"/>
    <w:rsid w:val="0017500B"/>
    <w:rsid w:val="00175053"/>
    <w:rsid w:val="0017516A"/>
    <w:rsid w:val="00175198"/>
    <w:rsid w:val="001751B5"/>
    <w:rsid w:val="001751D9"/>
    <w:rsid w:val="001752DC"/>
    <w:rsid w:val="0017578F"/>
    <w:rsid w:val="001758E3"/>
    <w:rsid w:val="00175E93"/>
    <w:rsid w:val="00176087"/>
    <w:rsid w:val="0017611F"/>
    <w:rsid w:val="00176951"/>
    <w:rsid w:val="00176B6D"/>
    <w:rsid w:val="001774A5"/>
    <w:rsid w:val="001775C1"/>
    <w:rsid w:val="001776B9"/>
    <w:rsid w:val="00177AD6"/>
    <w:rsid w:val="00177B59"/>
    <w:rsid w:val="00177D9C"/>
    <w:rsid w:val="00180062"/>
    <w:rsid w:val="0018027F"/>
    <w:rsid w:val="001807E7"/>
    <w:rsid w:val="00180D9D"/>
    <w:rsid w:val="00180F08"/>
    <w:rsid w:val="001812C4"/>
    <w:rsid w:val="00181411"/>
    <w:rsid w:val="00181A4C"/>
    <w:rsid w:val="00182269"/>
    <w:rsid w:val="001831EE"/>
    <w:rsid w:val="00183732"/>
    <w:rsid w:val="0018374C"/>
    <w:rsid w:val="00183C64"/>
    <w:rsid w:val="00183F34"/>
    <w:rsid w:val="00184422"/>
    <w:rsid w:val="00184735"/>
    <w:rsid w:val="00184B7C"/>
    <w:rsid w:val="00184C11"/>
    <w:rsid w:val="00184C60"/>
    <w:rsid w:val="0018511E"/>
    <w:rsid w:val="00185143"/>
    <w:rsid w:val="001854E3"/>
    <w:rsid w:val="00185F75"/>
    <w:rsid w:val="00186120"/>
    <w:rsid w:val="001872CF"/>
    <w:rsid w:val="001872E4"/>
    <w:rsid w:val="00187743"/>
    <w:rsid w:val="00190064"/>
    <w:rsid w:val="0019020C"/>
    <w:rsid w:val="00190953"/>
    <w:rsid w:val="00191201"/>
    <w:rsid w:val="0019128F"/>
    <w:rsid w:val="001916E3"/>
    <w:rsid w:val="001917BD"/>
    <w:rsid w:val="0019184D"/>
    <w:rsid w:val="00191B8F"/>
    <w:rsid w:val="00191CED"/>
    <w:rsid w:val="001920FB"/>
    <w:rsid w:val="001921FC"/>
    <w:rsid w:val="001924F5"/>
    <w:rsid w:val="001929A2"/>
    <w:rsid w:val="00192A8C"/>
    <w:rsid w:val="00192E46"/>
    <w:rsid w:val="001931F8"/>
    <w:rsid w:val="00193A76"/>
    <w:rsid w:val="00193D7D"/>
    <w:rsid w:val="00193ECF"/>
    <w:rsid w:val="00194156"/>
    <w:rsid w:val="00194D13"/>
    <w:rsid w:val="00194D91"/>
    <w:rsid w:val="00195A14"/>
    <w:rsid w:val="00196276"/>
    <w:rsid w:val="00196695"/>
    <w:rsid w:val="00196FB2"/>
    <w:rsid w:val="00196FB8"/>
    <w:rsid w:val="00197190"/>
    <w:rsid w:val="001976E5"/>
    <w:rsid w:val="001977BC"/>
    <w:rsid w:val="001A055A"/>
    <w:rsid w:val="001A0961"/>
    <w:rsid w:val="001A0B77"/>
    <w:rsid w:val="001A0FAB"/>
    <w:rsid w:val="001A1701"/>
    <w:rsid w:val="001A17BE"/>
    <w:rsid w:val="001A18B7"/>
    <w:rsid w:val="001A1D90"/>
    <w:rsid w:val="001A1EF2"/>
    <w:rsid w:val="001A25EC"/>
    <w:rsid w:val="001A2A7C"/>
    <w:rsid w:val="001A3193"/>
    <w:rsid w:val="001A31D6"/>
    <w:rsid w:val="001A3200"/>
    <w:rsid w:val="001A35B5"/>
    <w:rsid w:val="001A3683"/>
    <w:rsid w:val="001A3E2D"/>
    <w:rsid w:val="001A3E31"/>
    <w:rsid w:val="001A3E8D"/>
    <w:rsid w:val="001A4955"/>
    <w:rsid w:val="001A4DB1"/>
    <w:rsid w:val="001A523F"/>
    <w:rsid w:val="001A56A2"/>
    <w:rsid w:val="001A577D"/>
    <w:rsid w:val="001A5D5C"/>
    <w:rsid w:val="001A60E0"/>
    <w:rsid w:val="001A62CD"/>
    <w:rsid w:val="001A677F"/>
    <w:rsid w:val="001A6DEA"/>
    <w:rsid w:val="001A6EC9"/>
    <w:rsid w:val="001A6FDD"/>
    <w:rsid w:val="001A701A"/>
    <w:rsid w:val="001B00E3"/>
    <w:rsid w:val="001B034D"/>
    <w:rsid w:val="001B0B3A"/>
    <w:rsid w:val="001B0E7E"/>
    <w:rsid w:val="001B0F3D"/>
    <w:rsid w:val="001B18A7"/>
    <w:rsid w:val="001B2981"/>
    <w:rsid w:val="001B2F9B"/>
    <w:rsid w:val="001B3220"/>
    <w:rsid w:val="001B327A"/>
    <w:rsid w:val="001B437E"/>
    <w:rsid w:val="001B487C"/>
    <w:rsid w:val="001B4DBA"/>
    <w:rsid w:val="001B52D5"/>
    <w:rsid w:val="001B5332"/>
    <w:rsid w:val="001B5840"/>
    <w:rsid w:val="001B60B3"/>
    <w:rsid w:val="001B6422"/>
    <w:rsid w:val="001B647F"/>
    <w:rsid w:val="001B6499"/>
    <w:rsid w:val="001B6630"/>
    <w:rsid w:val="001B6A19"/>
    <w:rsid w:val="001B6D77"/>
    <w:rsid w:val="001B77DA"/>
    <w:rsid w:val="001C001E"/>
    <w:rsid w:val="001C008F"/>
    <w:rsid w:val="001C00CC"/>
    <w:rsid w:val="001C03A6"/>
    <w:rsid w:val="001C05F5"/>
    <w:rsid w:val="001C0874"/>
    <w:rsid w:val="001C0C17"/>
    <w:rsid w:val="001C0DF5"/>
    <w:rsid w:val="001C167E"/>
    <w:rsid w:val="001C19D3"/>
    <w:rsid w:val="001C1C1C"/>
    <w:rsid w:val="001C241D"/>
    <w:rsid w:val="001C2B1C"/>
    <w:rsid w:val="001C2B26"/>
    <w:rsid w:val="001C2C34"/>
    <w:rsid w:val="001C2EFB"/>
    <w:rsid w:val="001C34A4"/>
    <w:rsid w:val="001C34AB"/>
    <w:rsid w:val="001C36C7"/>
    <w:rsid w:val="001C36E0"/>
    <w:rsid w:val="001C385E"/>
    <w:rsid w:val="001C3A63"/>
    <w:rsid w:val="001C3C62"/>
    <w:rsid w:val="001C4051"/>
    <w:rsid w:val="001C4D59"/>
    <w:rsid w:val="001C52DF"/>
    <w:rsid w:val="001C5D5D"/>
    <w:rsid w:val="001C5E4D"/>
    <w:rsid w:val="001C650E"/>
    <w:rsid w:val="001C713A"/>
    <w:rsid w:val="001C750F"/>
    <w:rsid w:val="001C768E"/>
    <w:rsid w:val="001C7821"/>
    <w:rsid w:val="001C7C30"/>
    <w:rsid w:val="001D0E4C"/>
    <w:rsid w:val="001D1006"/>
    <w:rsid w:val="001D1017"/>
    <w:rsid w:val="001D1268"/>
    <w:rsid w:val="001D1C4A"/>
    <w:rsid w:val="001D1C6D"/>
    <w:rsid w:val="001D1F51"/>
    <w:rsid w:val="001D22E7"/>
    <w:rsid w:val="001D2399"/>
    <w:rsid w:val="001D23A3"/>
    <w:rsid w:val="001D2776"/>
    <w:rsid w:val="001D2CD8"/>
    <w:rsid w:val="001D2E28"/>
    <w:rsid w:val="001D2E9E"/>
    <w:rsid w:val="001D31AA"/>
    <w:rsid w:val="001D329A"/>
    <w:rsid w:val="001D39C3"/>
    <w:rsid w:val="001D40D6"/>
    <w:rsid w:val="001D4875"/>
    <w:rsid w:val="001D4A5D"/>
    <w:rsid w:val="001D4D5A"/>
    <w:rsid w:val="001D4F3C"/>
    <w:rsid w:val="001D53A1"/>
    <w:rsid w:val="001D5B01"/>
    <w:rsid w:val="001D5DD3"/>
    <w:rsid w:val="001D6273"/>
    <w:rsid w:val="001D6511"/>
    <w:rsid w:val="001D6538"/>
    <w:rsid w:val="001D6744"/>
    <w:rsid w:val="001D6A7A"/>
    <w:rsid w:val="001D6ED4"/>
    <w:rsid w:val="001D71B7"/>
    <w:rsid w:val="001D757B"/>
    <w:rsid w:val="001E045B"/>
    <w:rsid w:val="001E063F"/>
    <w:rsid w:val="001E090E"/>
    <w:rsid w:val="001E0BCF"/>
    <w:rsid w:val="001E0D72"/>
    <w:rsid w:val="001E1268"/>
    <w:rsid w:val="001E171D"/>
    <w:rsid w:val="001E215F"/>
    <w:rsid w:val="001E225E"/>
    <w:rsid w:val="001E26D7"/>
    <w:rsid w:val="001E34E4"/>
    <w:rsid w:val="001E354B"/>
    <w:rsid w:val="001E3E53"/>
    <w:rsid w:val="001E41A0"/>
    <w:rsid w:val="001E49F8"/>
    <w:rsid w:val="001E577E"/>
    <w:rsid w:val="001E5983"/>
    <w:rsid w:val="001E5CB7"/>
    <w:rsid w:val="001E5CFF"/>
    <w:rsid w:val="001E630B"/>
    <w:rsid w:val="001E669C"/>
    <w:rsid w:val="001E68C5"/>
    <w:rsid w:val="001E6B68"/>
    <w:rsid w:val="001E6EFD"/>
    <w:rsid w:val="001E6F99"/>
    <w:rsid w:val="001E7482"/>
    <w:rsid w:val="001E78D7"/>
    <w:rsid w:val="001E7986"/>
    <w:rsid w:val="001E7A8F"/>
    <w:rsid w:val="001F1457"/>
    <w:rsid w:val="001F186D"/>
    <w:rsid w:val="001F1AA4"/>
    <w:rsid w:val="001F1BF9"/>
    <w:rsid w:val="001F2CFF"/>
    <w:rsid w:val="001F322E"/>
    <w:rsid w:val="001F330E"/>
    <w:rsid w:val="001F33C4"/>
    <w:rsid w:val="001F34DE"/>
    <w:rsid w:val="001F352A"/>
    <w:rsid w:val="001F38DE"/>
    <w:rsid w:val="001F3F3B"/>
    <w:rsid w:val="001F43B0"/>
    <w:rsid w:val="001F444D"/>
    <w:rsid w:val="001F5548"/>
    <w:rsid w:val="001F5592"/>
    <w:rsid w:val="001F55CF"/>
    <w:rsid w:val="001F59F8"/>
    <w:rsid w:val="001F5DE0"/>
    <w:rsid w:val="001F5FE5"/>
    <w:rsid w:val="001F6042"/>
    <w:rsid w:val="001F620F"/>
    <w:rsid w:val="001F65BF"/>
    <w:rsid w:val="001F6861"/>
    <w:rsid w:val="001F68BE"/>
    <w:rsid w:val="001F6AAD"/>
    <w:rsid w:val="001F737D"/>
    <w:rsid w:val="001F7557"/>
    <w:rsid w:val="001F7AD0"/>
    <w:rsid w:val="001F7C15"/>
    <w:rsid w:val="00200220"/>
    <w:rsid w:val="002002EC"/>
    <w:rsid w:val="00200973"/>
    <w:rsid w:val="0020097B"/>
    <w:rsid w:val="00200B42"/>
    <w:rsid w:val="00200B44"/>
    <w:rsid w:val="00200DDB"/>
    <w:rsid w:val="00200F86"/>
    <w:rsid w:val="0020154A"/>
    <w:rsid w:val="00201AB0"/>
    <w:rsid w:val="00202062"/>
    <w:rsid w:val="00202AE0"/>
    <w:rsid w:val="00202EA9"/>
    <w:rsid w:val="00203376"/>
    <w:rsid w:val="00203617"/>
    <w:rsid w:val="002039B2"/>
    <w:rsid w:val="00204051"/>
    <w:rsid w:val="00204353"/>
    <w:rsid w:val="002046C6"/>
    <w:rsid w:val="0020477E"/>
    <w:rsid w:val="00204E6D"/>
    <w:rsid w:val="002052F8"/>
    <w:rsid w:val="002054C8"/>
    <w:rsid w:val="002062B3"/>
    <w:rsid w:val="0020634B"/>
    <w:rsid w:val="00207591"/>
    <w:rsid w:val="0021002C"/>
    <w:rsid w:val="002101EB"/>
    <w:rsid w:val="0021033C"/>
    <w:rsid w:val="0021034A"/>
    <w:rsid w:val="002109F6"/>
    <w:rsid w:val="00211710"/>
    <w:rsid w:val="0021195D"/>
    <w:rsid w:val="0021196A"/>
    <w:rsid w:val="00211FE7"/>
    <w:rsid w:val="0021205F"/>
    <w:rsid w:val="002120EC"/>
    <w:rsid w:val="00212582"/>
    <w:rsid w:val="0021260B"/>
    <w:rsid w:val="00213532"/>
    <w:rsid w:val="002137C2"/>
    <w:rsid w:val="00213C8F"/>
    <w:rsid w:val="002140FB"/>
    <w:rsid w:val="002142E8"/>
    <w:rsid w:val="002143B7"/>
    <w:rsid w:val="00214992"/>
    <w:rsid w:val="002151F0"/>
    <w:rsid w:val="002154B3"/>
    <w:rsid w:val="00215C83"/>
    <w:rsid w:val="00216103"/>
    <w:rsid w:val="00216132"/>
    <w:rsid w:val="00216D93"/>
    <w:rsid w:val="0022020F"/>
    <w:rsid w:val="00220A92"/>
    <w:rsid w:val="00221BA6"/>
    <w:rsid w:val="002220DA"/>
    <w:rsid w:val="00222562"/>
    <w:rsid w:val="00222596"/>
    <w:rsid w:val="00222611"/>
    <w:rsid w:val="002226A1"/>
    <w:rsid w:val="002229DD"/>
    <w:rsid w:val="00222C9B"/>
    <w:rsid w:val="00223110"/>
    <w:rsid w:val="00223492"/>
    <w:rsid w:val="00223E83"/>
    <w:rsid w:val="002247D5"/>
    <w:rsid w:val="0022499D"/>
    <w:rsid w:val="002258C7"/>
    <w:rsid w:val="002266D6"/>
    <w:rsid w:val="00226926"/>
    <w:rsid w:val="00226D66"/>
    <w:rsid w:val="00226E02"/>
    <w:rsid w:val="00226EF1"/>
    <w:rsid w:val="00227921"/>
    <w:rsid w:val="00227A1E"/>
    <w:rsid w:val="00230020"/>
    <w:rsid w:val="002303B4"/>
    <w:rsid w:val="0023098F"/>
    <w:rsid w:val="00231C0E"/>
    <w:rsid w:val="002324CE"/>
    <w:rsid w:val="00232AE0"/>
    <w:rsid w:val="00233611"/>
    <w:rsid w:val="002345E4"/>
    <w:rsid w:val="00234A1F"/>
    <w:rsid w:val="00234E75"/>
    <w:rsid w:val="00234E8D"/>
    <w:rsid w:val="00235EA0"/>
    <w:rsid w:val="002360CC"/>
    <w:rsid w:val="00236459"/>
    <w:rsid w:val="00236CA7"/>
    <w:rsid w:val="00237B28"/>
    <w:rsid w:val="00240378"/>
    <w:rsid w:val="00240535"/>
    <w:rsid w:val="00240626"/>
    <w:rsid w:val="0024066A"/>
    <w:rsid w:val="0024071F"/>
    <w:rsid w:val="00240CDA"/>
    <w:rsid w:val="00241163"/>
    <w:rsid w:val="00242D8F"/>
    <w:rsid w:val="0024391A"/>
    <w:rsid w:val="0024394E"/>
    <w:rsid w:val="00243D53"/>
    <w:rsid w:val="00244206"/>
    <w:rsid w:val="00244861"/>
    <w:rsid w:val="00244B68"/>
    <w:rsid w:val="00245894"/>
    <w:rsid w:val="00245AAE"/>
    <w:rsid w:val="00245EEB"/>
    <w:rsid w:val="002460CB"/>
    <w:rsid w:val="0024633A"/>
    <w:rsid w:val="002466BE"/>
    <w:rsid w:val="00246DE8"/>
    <w:rsid w:val="00247386"/>
    <w:rsid w:val="0024780F"/>
    <w:rsid w:val="00247C17"/>
    <w:rsid w:val="0025011B"/>
    <w:rsid w:val="00250491"/>
    <w:rsid w:val="0025063E"/>
    <w:rsid w:val="002510D8"/>
    <w:rsid w:val="00251132"/>
    <w:rsid w:val="00251448"/>
    <w:rsid w:val="00251BEA"/>
    <w:rsid w:val="002522A7"/>
    <w:rsid w:val="00252610"/>
    <w:rsid w:val="00252963"/>
    <w:rsid w:val="00252CEE"/>
    <w:rsid w:val="00252DD9"/>
    <w:rsid w:val="00252EEB"/>
    <w:rsid w:val="0025300E"/>
    <w:rsid w:val="00253304"/>
    <w:rsid w:val="00253452"/>
    <w:rsid w:val="00253A86"/>
    <w:rsid w:val="00253DCD"/>
    <w:rsid w:val="00253EF7"/>
    <w:rsid w:val="00255125"/>
    <w:rsid w:val="00255197"/>
    <w:rsid w:val="002551FE"/>
    <w:rsid w:val="002555C6"/>
    <w:rsid w:val="00255AE7"/>
    <w:rsid w:val="002563B2"/>
    <w:rsid w:val="00256634"/>
    <w:rsid w:val="00256ACB"/>
    <w:rsid w:val="002579A5"/>
    <w:rsid w:val="00257B31"/>
    <w:rsid w:val="00257B43"/>
    <w:rsid w:val="00260145"/>
    <w:rsid w:val="0026039A"/>
    <w:rsid w:val="002606F8"/>
    <w:rsid w:val="0026154B"/>
    <w:rsid w:val="00261C2E"/>
    <w:rsid w:val="00261D3D"/>
    <w:rsid w:val="00262166"/>
    <w:rsid w:val="002621F3"/>
    <w:rsid w:val="002625C6"/>
    <w:rsid w:val="00262C17"/>
    <w:rsid w:val="00263135"/>
    <w:rsid w:val="002631EE"/>
    <w:rsid w:val="0026367E"/>
    <w:rsid w:val="002638E3"/>
    <w:rsid w:val="00263901"/>
    <w:rsid w:val="002639AC"/>
    <w:rsid w:val="00263D02"/>
    <w:rsid w:val="00263E03"/>
    <w:rsid w:val="002641DB"/>
    <w:rsid w:val="002645BD"/>
    <w:rsid w:val="00264CA1"/>
    <w:rsid w:val="002651E5"/>
    <w:rsid w:val="00265331"/>
    <w:rsid w:val="00265FF1"/>
    <w:rsid w:val="0026627C"/>
    <w:rsid w:val="00267226"/>
    <w:rsid w:val="0026722E"/>
    <w:rsid w:val="00267506"/>
    <w:rsid w:val="00267786"/>
    <w:rsid w:val="002677DF"/>
    <w:rsid w:val="0026790B"/>
    <w:rsid w:val="00267B11"/>
    <w:rsid w:val="00267F5A"/>
    <w:rsid w:val="0026D4B7"/>
    <w:rsid w:val="00270036"/>
    <w:rsid w:val="002702E9"/>
    <w:rsid w:val="00270721"/>
    <w:rsid w:val="00270736"/>
    <w:rsid w:val="00271082"/>
    <w:rsid w:val="002711BF"/>
    <w:rsid w:val="00271449"/>
    <w:rsid w:val="00271AA8"/>
    <w:rsid w:val="00271B96"/>
    <w:rsid w:val="00271F28"/>
    <w:rsid w:val="002725CD"/>
    <w:rsid w:val="00272D92"/>
    <w:rsid w:val="00272FE2"/>
    <w:rsid w:val="002730FF"/>
    <w:rsid w:val="00273472"/>
    <w:rsid w:val="002737AF"/>
    <w:rsid w:val="00274067"/>
    <w:rsid w:val="00274080"/>
    <w:rsid w:val="00274129"/>
    <w:rsid w:val="002741B3"/>
    <w:rsid w:val="00274C9B"/>
    <w:rsid w:val="00274FCE"/>
    <w:rsid w:val="00275118"/>
    <w:rsid w:val="0027601D"/>
    <w:rsid w:val="0027629F"/>
    <w:rsid w:val="00276B6F"/>
    <w:rsid w:val="00276BD6"/>
    <w:rsid w:val="00277110"/>
    <w:rsid w:val="00277164"/>
    <w:rsid w:val="00277951"/>
    <w:rsid w:val="0028079A"/>
    <w:rsid w:val="00280C5F"/>
    <w:rsid w:val="00280D5D"/>
    <w:rsid w:val="00281DB6"/>
    <w:rsid w:val="00282DE4"/>
    <w:rsid w:val="002830B3"/>
    <w:rsid w:val="00283117"/>
    <w:rsid w:val="00283575"/>
    <w:rsid w:val="00283FE9"/>
    <w:rsid w:val="00284967"/>
    <w:rsid w:val="0028595C"/>
    <w:rsid w:val="00285FA0"/>
    <w:rsid w:val="002862AF"/>
    <w:rsid w:val="00286498"/>
    <w:rsid w:val="002868D5"/>
    <w:rsid w:val="0028691E"/>
    <w:rsid w:val="00286977"/>
    <w:rsid w:val="00286B39"/>
    <w:rsid w:val="00286DC8"/>
    <w:rsid w:val="00286E21"/>
    <w:rsid w:val="00287083"/>
    <w:rsid w:val="0028721A"/>
    <w:rsid w:val="00287288"/>
    <w:rsid w:val="00287365"/>
    <w:rsid w:val="002877A5"/>
    <w:rsid w:val="002877BB"/>
    <w:rsid w:val="002878F4"/>
    <w:rsid w:val="00287E21"/>
    <w:rsid w:val="00290351"/>
    <w:rsid w:val="0029042F"/>
    <w:rsid w:val="00291064"/>
    <w:rsid w:val="002917BE"/>
    <w:rsid w:val="00292233"/>
    <w:rsid w:val="00292A06"/>
    <w:rsid w:val="00292CB8"/>
    <w:rsid w:val="002937DB"/>
    <w:rsid w:val="00294B5A"/>
    <w:rsid w:val="00294EA9"/>
    <w:rsid w:val="00295672"/>
    <w:rsid w:val="00295A69"/>
    <w:rsid w:val="002961AA"/>
    <w:rsid w:val="00296756"/>
    <w:rsid w:val="00296A6B"/>
    <w:rsid w:val="0029735D"/>
    <w:rsid w:val="00297956"/>
    <w:rsid w:val="00297C70"/>
    <w:rsid w:val="00297CC0"/>
    <w:rsid w:val="002A0520"/>
    <w:rsid w:val="002A05A1"/>
    <w:rsid w:val="002A0D03"/>
    <w:rsid w:val="002A0E25"/>
    <w:rsid w:val="002A1AE3"/>
    <w:rsid w:val="002A1CCE"/>
    <w:rsid w:val="002A1E9D"/>
    <w:rsid w:val="002A1F0A"/>
    <w:rsid w:val="002A2067"/>
    <w:rsid w:val="002A2A26"/>
    <w:rsid w:val="002A2A69"/>
    <w:rsid w:val="002A2CBD"/>
    <w:rsid w:val="002A31B2"/>
    <w:rsid w:val="002A3235"/>
    <w:rsid w:val="002A3291"/>
    <w:rsid w:val="002A36FE"/>
    <w:rsid w:val="002A3C4F"/>
    <w:rsid w:val="002A3DFA"/>
    <w:rsid w:val="002A404F"/>
    <w:rsid w:val="002A4212"/>
    <w:rsid w:val="002A46F9"/>
    <w:rsid w:val="002A4726"/>
    <w:rsid w:val="002A5143"/>
    <w:rsid w:val="002A5185"/>
    <w:rsid w:val="002A59CD"/>
    <w:rsid w:val="002A5EE6"/>
    <w:rsid w:val="002A5F3F"/>
    <w:rsid w:val="002A621F"/>
    <w:rsid w:val="002A6426"/>
    <w:rsid w:val="002A64DC"/>
    <w:rsid w:val="002A6756"/>
    <w:rsid w:val="002A67C5"/>
    <w:rsid w:val="002A67DB"/>
    <w:rsid w:val="002A6C67"/>
    <w:rsid w:val="002A7261"/>
    <w:rsid w:val="002B10E7"/>
    <w:rsid w:val="002B175C"/>
    <w:rsid w:val="002B187A"/>
    <w:rsid w:val="002B1EAC"/>
    <w:rsid w:val="002B295C"/>
    <w:rsid w:val="002B34BD"/>
    <w:rsid w:val="002B3AD1"/>
    <w:rsid w:val="002B3CDC"/>
    <w:rsid w:val="002B3FC9"/>
    <w:rsid w:val="002B4240"/>
    <w:rsid w:val="002B42D1"/>
    <w:rsid w:val="002B439F"/>
    <w:rsid w:val="002B4870"/>
    <w:rsid w:val="002B5C29"/>
    <w:rsid w:val="002B6F3A"/>
    <w:rsid w:val="002B7344"/>
    <w:rsid w:val="002B7863"/>
    <w:rsid w:val="002B7ACF"/>
    <w:rsid w:val="002B7B6F"/>
    <w:rsid w:val="002B7F5C"/>
    <w:rsid w:val="002C011E"/>
    <w:rsid w:val="002C06B4"/>
    <w:rsid w:val="002C06DE"/>
    <w:rsid w:val="002C086D"/>
    <w:rsid w:val="002C08C0"/>
    <w:rsid w:val="002C0A91"/>
    <w:rsid w:val="002C0EFE"/>
    <w:rsid w:val="002C0FAB"/>
    <w:rsid w:val="002C1173"/>
    <w:rsid w:val="002C1324"/>
    <w:rsid w:val="002C14BD"/>
    <w:rsid w:val="002C1A28"/>
    <w:rsid w:val="002C1A4A"/>
    <w:rsid w:val="002C1B2A"/>
    <w:rsid w:val="002C1D41"/>
    <w:rsid w:val="002C2493"/>
    <w:rsid w:val="002C2B51"/>
    <w:rsid w:val="002C3E77"/>
    <w:rsid w:val="002C44C8"/>
    <w:rsid w:val="002C4648"/>
    <w:rsid w:val="002C46F3"/>
    <w:rsid w:val="002C48AD"/>
    <w:rsid w:val="002C4A1E"/>
    <w:rsid w:val="002C4B92"/>
    <w:rsid w:val="002C6314"/>
    <w:rsid w:val="002C65A5"/>
    <w:rsid w:val="002C6653"/>
    <w:rsid w:val="002C671D"/>
    <w:rsid w:val="002C69F2"/>
    <w:rsid w:val="002C6BCB"/>
    <w:rsid w:val="002C75D1"/>
    <w:rsid w:val="002C7DDE"/>
    <w:rsid w:val="002D00AD"/>
    <w:rsid w:val="002D052F"/>
    <w:rsid w:val="002D0703"/>
    <w:rsid w:val="002D0868"/>
    <w:rsid w:val="002D0B5B"/>
    <w:rsid w:val="002D1507"/>
    <w:rsid w:val="002D174D"/>
    <w:rsid w:val="002D1C5B"/>
    <w:rsid w:val="002D1E2A"/>
    <w:rsid w:val="002D2A5D"/>
    <w:rsid w:val="002D2B0B"/>
    <w:rsid w:val="002D2DDF"/>
    <w:rsid w:val="002D2F80"/>
    <w:rsid w:val="002D36D3"/>
    <w:rsid w:val="002D3747"/>
    <w:rsid w:val="002D3839"/>
    <w:rsid w:val="002D38A3"/>
    <w:rsid w:val="002D3F18"/>
    <w:rsid w:val="002D46B6"/>
    <w:rsid w:val="002D4769"/>
    <w:rsid w:val="002D4822"/>
    <w:rsid w:val="002D4F18"/>
    <w:rsid w:val="002D516F"/>
    <w:rsid w:val="002D5BFD"/>
    <w:rsid w:val="002D5D34"/>
    <w:rsid w:val="002D6680"/>
    <w:rsid w:val="002D66E1"/>
    <w:rsid w:val="002D678D"/>
    <w:rsid w:val="002D6FF5"/>
    <w:rsid w:val="002D759F"/>
    <w:rsid w:val="002D76E2"/>
    <w:rsid w:val="002D77BE"/>
    <w:rsid w:val="002D781B"/>
    <w:rsid w:val="002D7964"/>
    <w:rsid w:val="002D7CFF"/>
    <w:rsid w:val="002D8ACC"/>
    <w:rsid w:val="002E0245"/>
    <w:rsid w:val="002E0D9A"/>
    <w:rsid w:val="002E13A5"/>
    <w:rsid w:val="002E14BC"/>
    <w:rsid w:val="002E164D"/>
    <w:rsid w:val="002E19D1"/>
    <w:rsid w:val="002E1B9F"/>
    <w:rsid w:val="002E2571"/>
    <w:rsid w:val="002E288C"/>
    <w:rsid w:val="002E28A9"/>
    <w:rsid w:val="002E2EC9"/>
    <w:rsid w:val="002E39EE"/>
    <w:rsid w:val="002E3F0F"/>
    <w:rsid w:val="002E4071"/>
    <w:rsid w:val="002E40D5"/>
    <w:rsid w:val="002E478D"/>
    <w:rsid w:val="002E4947"/>
    <w:rsid w:val="002E4A7A"/>
    <w:rsid w:val="002E4B5F"/>
    <w:rsid w:val="002E4D23"/>
    <w:rsid w:val="002E4ED2"/>
    <w:rsid w:val="002E520F"/>
    <w:rsid w:val="002E54B3"/>
    <w:rsid w:val="002E5B90"/>
    <w:rsid w:val="002E6626"/>
    <w:rsid w:val="002E6F55"/>
    <w:rsid w:val="002E6FB9"/>
    <w:rsid w:val="002E7771"/>
    <w:rsid w:val="002E7BD7"/>
    <w:rsid w:val="002E7C94"/>
    <w:rsid w:val="002E7D1A"/>
    <w:rsid w:val="002F031B"/>
    <w:rsid w:val="002F0DE5"/>
    <w:rsid w:val="002F1073"/>
    <w:rsid w:val="002F1152"/>
    <w:rsid w:val="002F1670"/>
    <w:rsid w:val="002F1CC7"/>
    <w:rsid w:val="002F214B"/>
    <w:rsid w:val="002F220A"/>
    <w:rsid w:val="002F26E1"/>
    <w:rsid w:val="002F275D"/>
    <w:rsid w:val="002F2B04"/>
    <w:rsid w:val="002F307A"/>
    <w:rsid w:val="002F3203"/>
    <w:rsid w:val="002F35F2"/>
    <w:rsid w:val="002F3806"/>
    <w:rsid w:val="002F3903"/>
    <w:rsid w:val="002F3BC3"/>
    <w:rsid w:val="002F4060"/>
    <w:rsid w:val="002F431D"/>
    <w:rsid w:val="002F458D"/>
    <w:rsid w:val="002F4CA5"/>
    <w:rsid w:val="002F4F22"/>
    <w:rsid w:val="002F5493"/>
    <w:rsid w:val="002F55FB"/>
    <w:rsid w:val="002F5B91"/>
    <w:rsid w:val="002F669E"/>
    <w:rsid w:val="002F66CC"/>
    <w:rsid w:val="002F6828"/>
    <w:rsid w:val="002F6A64"/>
    <w:rsid w:val="002F6EF3"/>
    <w:rsid w:val="002F6F70"/>
    <w:rsid w:val="002F6FA6"/>
    <w:rsid w:val="002F73AD"/>
    <w:rsid w:val="002F777C"/>
    <w:rsid w:val="0030046C"/>
    <w:rsid w:val="003004ED"/>
    <w:rsid w:val="00300753"/>
    <w:rsid w:val="0030093B"/>
    <w:rsid w:val="003009B0"/>
    <w:rsid w:val="00301156"/>
    <w:rsid w:val="00301B91"/>
    <w:rsid w:val="003022C2"/>
    <w:rsid w:val="00302416"/>
    <w:rsid w:val="00302499"/>
    <w:rsid w:val="003026B4"/>
    <w:rsid w:val="00302813"/>
    <w:rsid w:val="00302A8A"/>
    <w:rsid w:val="00302D11"/>
    <w:rsid w:val="00302D2E"/>
    <w:rsid w:val="0030351B"/>
    <w:rsid w:val="003039E5"/>
    <w:rsid w:val="00303A1F"/>
    <w:rsid w:val="00303BC8"/>
    <w:rsid w:val="00303D3D"/>
    <w:rsid w:val="00304295"/>
    <w:rsid w:val="0030439C"/>
    <w:rsid w:val="00304546"/>
    <w:rsid w:val="00304721"/>
    <w:rsid w:val="00304B34"/>
    <w:rsid w:val="00304C67"/>
    <w:rsid w:val="00304EEA"/>
    <w:rsid w:val="0030507B"/>
    <w:rsid w:val="00305335"/>
    <w:rsid w:val="00305C6A"/>
    <w:rsid w:val="00305E91"/>
    <w:rsid w:val="00305F7B"/>
    <w:rsid w:val="0030601E"/>
    <w:rsid w:val="00306B6C"/>
    <w:rsid w:val="00306D2D"/>
    <w:rsid w:val="00306EAE"/>
    <w:rsid w:val="0030764D"/>
    <w:rsid w:val="00307A09"/>
    <w:rsid w:val="00307C4F"/>
    <w:rsid w:val="00307D9C"/>
    <w:rsid w:val="00307EA3"/>
    <w:rsid w:val="00307EFA"/>
    <w:rsid w:val="00310126"/>
    <w:rsid w:val="0031034E"/>
    <w:rsid w:val="00310369"/>
    <w:rsid w:val="003103D9"/>
    <w:rsid w:val="003110A9"/>
    <w:rsid w:val="0031127C"/>
    <w:rsid w:val="003117F5"/>
    <w:rsid w:val="0031186F"/>
    <w:rsid w:val="0031226D"/>
    <w:rsid w:val="00312C0C"/>
    <w:rsid w:val="0031336E"/>
    <w:rsid w:val="003133E9"/>
    <w:rsid w:val="00313727"/>
    <w:rsid w:val="00313BFB"/>
    <w:rsid w:val="00313DBF"/>
    <w:rsid w:val="00313E69"/>
    <w:rsid w:val="003144CE"/>
    <w:rsid w:val="003149D8"/>
    <w:rsid w:val="00314B37"/>
    <w:rsid w:val="003151B4"/>
    <w:rsid w:val="00315343"/>
    <w:rsid w:val="003154A4"/>
    <w:rsid w:val="003155F7"/>
    <w:rsid w:val="00315953"/>
    <w:rsid w:val="00315C85"/>
    <w:rsid w:val="00315F1A"/>
    <w:rsid w:val="003161D0"/>
    <w:rsid w:val="003165BD"/>
    <w:rsid w:val="003166B8"/>
    <w:rsid w:val="00316C85"/>
    <w:rsid w:val="003170F0"/>
    <w:rsid w:val="00317163"/>
    <w:rsid w:val="00317189"/>
    <w:rsid w:val="00317DF8"/>
    <w:rsid w:val="003200F9"/>
    <w:rsid w:val="003202AD"/>
    <w:rsid w:val="003206AB"/>
    <w:rsid w:val="003207FB"/>
    <w:rsid w:val="00321175"/>
    <w:rsid w:val="0032118A"/>
    <w:rsid w:val="00321262"/>
    <w:rsid w:val="003213A4"/>
    <w:rsid w:val="0032140F"/>
    <w:rsid w:val="003215D6"/>
    <w:rsid w:val="0032161D"/>
    <w:rsid w:val="00321A83"/>
    <w:rsid w:val="00321A92"/>
    <w:rsid w:val="00321BDC"/>
    <w:rsid w:val="00321D9D"/>
    <w:rsid w:val="00321DED"/>
    <w:rsid w:val="00322389"/>
    <w:rsid w:val="003223FB"/>
    <w:rsid w:val="00322516"/>
    <w:rsid w:val="0032268A"/>
    <w:rsid w:val="0032299D"/>
    <w:rsid w:val="0032323B"/>
    <w:rsid w:val="00323890"/>
    <w:rsid w:val="00323BA0"/>
    <w:rsid w:val="00324293"/>
    <w:rsid w:val="003245D8"/>
    <w:rsid w:val="00324B24"/>
    <w:rsid w:val="003259B7"/>
    <w:rsid w:val="00325A12"/>
    <w:rsid w:val="00325A45"/>
    <w:rsid w:val="00325F12"/>
    <w:rsid w:val="00326658"/>
    <w:rsid w:val="00326669"/>
    <w:rsid w:val="00326EE4"/>
    <w:rsid w:val="00326F2B"/>
    <w:rsid w:val="0032760D"/>
    <w:rsid w:val="00327671"/>
    <w:rsid w:val="003278AF"/>
    <w:rsid w:val="00327D29"/>
    <w:rsid w:val="00330139"/>
    <w:rsid w:val="00330242"/>
    <w:rsid w:val="003308FD"/>
    <w:rsid w:val="00330BD8"/>
    <w:rsid w:val="00331B7E"/>
    <w:rsid w:val="003321FB"/>
    <w:rsid w:val="003322DA"/>
    <w:rsid w:val="00332663"/>
    <w:rsid w:val="00332907"/>
    <w:rsid w:val="00332F57"/>
    <w:rsid w:val="00332FC7"/>
    <w:rsid w:val="00333476"/>
    <w:rsid w:val="00333563"/>
    <w:rsid w:val="003339FD"/>
    <w:rsid w:val="00333D3C"/>
    <w:rsid w:val="00335B02"/>
    <w:rsid w:val="00335D11"/>
    <w:rsid w:val="00335D2C"/>
    <w:rsid w:val="00335EC2"/>
    <w:rsid w:val="0033620A"/>
    <w:rsid w:val="0033622F"/>
    <w:rsid w:val="00337CA6"/>
    <w:rsid w:val="0033DC7C"/>
    <w:rsid w:val="00340AB4"/>
    <w:rsid w:val="00340AC8"/>
    <w:rsid w:val="00340C25"/>
    <w:rsid w:val="00341935"/>
    <w:rsid w:val="00341C21"/>
    <w:rsid w:val="00342F68"/>
    <w:rsid w:val="00343410"/>
    <w:rsid w:val="003435B7"/>
    <w:rsid w:val="00343B86"/>
    <w:rsid w:val="003442A8"/>
    <w:rsid w:val="00345452"/>
    <w:rsid w:val="00345767"/>
    <w:rsid w:val="00345B96"/>
    <w:rsid w:val="00345F0C"/>
    <w:rsid w:val="003460F8"/>
    <w:rsid w:val="0034639F"/>
    <w:rsid w:val="00346415"/>
    <w:rsid w:val="00346877"/>
    <w:rsid w:val="00346FF4"/>
    <w:rsid w:val="003471CC"/>
    <w:rsid w:val="0034726C"/>
    <w:rsid w:val="003472E3"/>
    <w:rsid w:val="003477DD"/>
    <w:rsid w:val="003478AB"/>
    <w:rsid w:val="00350183"/>
    <w:rsid w:val="003501F9"/>
    <w:rsid w:val="00350577"/>
    <w:rsid w:val="00350CC6"/>
    <w:rsid w:val="00351076"/>
    <w:rsid w:val="003511C6"/>
    <w:rsid w:val="0035136B"/>
    <w:rsid w:val="003515FE"/>
    <w:rsid w:val="003517DC"/>
    <w:rsid w:val="00351A0D"/>
    <w:rsid w:val="00352281"/>
    <w:rsid w:val="00352436"/>
    <w:rsid w:val="00352CB7"/>
    <w:rsid w:val="00353368"/>
    <w:rsid w:val="0035363F"/>
    <w:rsid w:val="0035373C"/>
    <w:rsid w:val="0035496B"/>
    <w:rsid w:val="00355074"/>
    <w:rsid w:val="003551B3"/>
    <w:rsid w:val="003552A0"/>
    <w:rsid w:val="0035545E"/>
    <w:rsid w:val="003554D8"/>
    <w:rsid w:val="00355751"/>
    <w:rsid w:val="0035576F"/>
    <w:rsid w:val="003558AB"/>
    <w:rsid w:val="00355CAC"/>
    <w:rsid w:val="00356041"/>
    <w:rsid w:val="003563DA"/>
    <w:rsid w:val="003565CA"/>
    <w:rsid w:val="003568E0"/>
    <w:rsid w:val="0035697F"/>
    <w:rsid w:val="00356E9F"/>
    <w:rsid w:val="00356EF2"/>
    <w:rsid w:val="0035701E"/>
    <w:rsid w:val="0035764F"/>
    <w:rsid w:val="00357956"/>
    <w:rsid w:val="003579CF"/>
    <w:rsid w:val="00357F06"/>
    <w:rsid w:val="0035CCED"/>
    <w:rsid w:val="00360141"/>
    <w:rsid w:val="0036014E"/>
    <w:rsid w:val="0036052A"/>
    <w:rsid w:val="00360F24"/>
    <w:rsid w:val="00360F7F"/>
    <w:rsid w:val="003613C7"/>
    <w:rsid w:val="00361BEF"/>
    <w:rsid w:val="00361C47"/>
    <w:rsid w:val="0036210E"/>
    <w:rsid w:val="003624AD"/>
    <w:rsid w:val="0036333E"/>
    <w:rsid w:val="003633F9"/>
    <w:rsid w:val="003644C2"/>
    <w:rsid w:val="003647F3"/>
    <w:rsid w:val="0036481D"/>
    <w:rsid w:val="00364AEA"/>
    <w:rsid w:val="00364CF9"/>
    <w:rsid w:val="00365439"/>
    <w:rsid w:val="003658BF"/>
    <w:rsid w:val="00365ACB"/>
    <w:rsid w:val="00366039"/>
    <w:rsid w:val="0036624F"/>
    <w:rsid w:val="00366754"/>
    <w:rsid w:val="00366CA6"/>
    <w:rsid w:val="00366EA0"/>
    <w:rsid w:val="00366FEE"/>
    <w:rsid w:val="003676CF"/>
    <w:rsid w:val="00367DCF"/>
    <w:rsid w:val="00370A57"/>
    <w:rsid w:val="0037141A"/>
    <w:rsid w:val="0037200C"/>
    <w:rsid w:val="00372A8C"/>
    <w:rsid w:val="00372F18"/>
    <w:rsid w:val="003732AE"/>
    <w:rsid w:val="0037374C"/>
    <w:rsid w:val="0037384D"/>
    <w:rsid w:val="00373A4F"/>
    <w:rsid w:val="00373E05"/>
    <w:rsid w:val="0037426B"/>
    <w:rsid w:val="0037528C"/>
    <w:rsid w:val="00375902"/>
    <w:rsid w:val="00375CCA"/>
    <w:rsid w:val="00375F86"/>
    <w:rsid w:val="00376AF1"/>
    <w:rsid w:val="003772EA"/>
    <w:rsid w:val="003774A0"/>
    <w:rsid w:val="003774D1"/>
    <w:rsid w:val="0037764B"/>
    <w:rsid w:val="00377F49"/>
    <w:rsid w:val="003800CB"/>
    <w:rsid w:val="00380270"/>
    <w:rsid w:val="00380E87"/>
    <w:rsid w:val="00380FF6"/>
    <w:rsid w:val="0038148B"/>
    <w:rsid w:val="00381631"/>
    <w:rsid w:val="00381B4E"/>
    <w:rsid w:val="00381BBF"/>
    <w:rsid w:val="00381CE4"/>
    <w:rsid w:val="003826D1"/>
    <w:rsid w:val="00382791"/>
    <w:rsid w:val="00383573"/>
    <w:rsid w:val="00383866"/>
    <w:rsid w:val="00383CFC"/>
    <w:rsid w:val="00383D08"/>
    <w:rsid w:val="00384071"/>
    <w:rsid w:val="003849D4"/>
    <w:rsid w:val="0038531F"/>
    <w:rsid w:val="00385395"/>
    <w:rsid w:val="003853E4"/>
    <w:rsid w:val="0038592C"/>
    <w:rsid w:val="00385A2C"/>
    <w:rsid w:val="00385ACB"/>
    <w:rsid w:val="00385BD8"/>
    <w:rsid w:val="00385C75"/>
    <w:rsid w:val="0038604A"/>
    <w:rsid w:val="003862E1"/>
    <w:rsid w:val="00387302"/>
    <w:rsid w:val="00387827"/>
    <w:rsid w:val="003878D9"/>
    <w:rsid w:val="00387B4F"/>
    <w:rsid w:val="00390DAC"/>
    <w:rsid w:val="00390E73"/>
    <w:rsid w:val="00391006"/>
    <w:rsid w:val="0039122F"/>
    <w:rsid w:val="003912C9"/>
    <w:rsid w:val="003917B3"/>
    <w:rsid w:val="00391840"/>
    <w:rsid w:val="00391DDA"/>
    <w:rsid w:val="003921E4"/>
    <w:rsid w:val="003927E7"/>
    <w:rsid w:val="003928A5"/>
    <w:rsid w:val="00392C6F"/>
    <w:rsid w:val="00392FB9"/>
    <w:rsid w:val="00393334"/>
    <w:rsid w:val="00394798"/>
    <w:rsid w:val="003947D4"/>
    <w:rsid w:val="0039486C"/>
    <w:rsid w:val="00394995"/>
    <w:rsid w:val="00394CE1"/>
    <w:rsid w:val="00395032"/>
    <w:rsid w:val="003958DA"/>
    <w:rsid w:val="0039612D"/>
    <w:rsid w:val="003964D8"/>
    <w:rsid w:val="003968AD"/>
    <w:rsid w:val="00396954"/>
    <w:rsid w:val="00396A39"/>
    <w:rsid w:val="00396D80"/>
    <w:rsid w:val="003973D7"/>
    <w:rsid w:val="00397480"/>
    <w:rsid w:val="00397B81"/>
    <w:rsid w:val="00397D40"/>
    <w:rsid w:val="00397D9D"/>
    <w:rsid w:val="003A0CC5"/>
    <w:rsid w:val="003A12AF"/>
    <w:rsid w:val="003A12FF"/>
    <w:rsid w:val="003A1868"/>
    <w:rsid w:val="003A1F38"/>
    <w:rsid w:val="003A2000"/>
    <w:rsid w:val="003A20A8"/>
    <w:rsid w:val="003A2430"/>
    <w:rsid w:val="003A254E"/>
    <w:rsid w:val="003A26A8"/>
    <w:rsid w:val="003A2BA3"/>
    <w:rsid w:val="003A331C"/>
    <w:rsid w:val="003A3F74"/>
    <w:rsid w:val="003A41B4"/>
    <w:rsid w:val="003A441A"/>
    <w:rsid w:val="003A444F"/>
    <w:rsid w:val="003A4D2E"/>
    <w:rsid w:val="003A4F07"/>
    <w:rsid w:val="003A528E"/>
    <w:rsid w:val="003A570C"/>
    <w:rsid w:val="003A5FF6"/>
    <w:rsid w:val="003A6DB0"/>
    <w:rsid w:val="003A70BD"/>
    <w:rsid w:val="003B00EC"/>
    <w:rsid w:val="003B0174"/>
    <w:rsid w:val="003B0646"/>
    <w:rsid w:val="003B0A8C"/>
    <w:rsid w:val="003B0DCE"/>
    <w:rsid w:val="003B1164"/>
    <w:rsid w:val="003B159F"/>
    <w:rsid w:val="003B295A"/>
    <w:rsid w:val="003B2C79"/>
    <w:rsid w:val="003B2FB5"/>
    <w:rsid w:val="003B319F"/>
    <w:rsid w:val="003B33E2"/>
    <w:rsid w:val="003B3939"/>
    <w:rsid w:val="003B3E25"/>
    <w:rsid w:val="003B3E52"/>
    <w:rsid w:val="003B45A2"/>
    <w:rsid w:val="003B4676"/>
    <w:rsid w:val="003B49A1"/>
    <w:rsid w:val="003B4F79"/>
    <w:rsid w:val="003B52BA"/>
    <w:rsid w:val="003B532E"/>
    <w:rsid w:val="003B543A"/>
    <w:rsid w:val="003B5CDB"/>
    <w:rsid w:val="003B6018"/>
    <w:rsid w:val="003B6286"/>
    <w:rsid w:val="003B676E"/>
    <w:rsid w:val="003B6E24"/>
    <w:rsid w:val="003B6E51"/>
    <w:rsid w:val="003B7243"/>
    <w:rsid w:val="003B78C6"/>
    <w:rsid w:val="003B7C1D"/>
    <w:rsid w:val="003B7C84"/>
    <w:rsid w:val="003B7DF5"/>
    <w:rsid w:val="003C07F0"/>
    <w:rsid w:val="003C081E"/>
    <w:rsid w:val="003C0DB5"/>
    <w:rsid w:val="003C0EEA"/>
    <w:rsid w:val="003C1450"/>
    <w:rsid w:val="003C15A3"/>
    <w:rsid w:val="003C18C3"/>
    <w:rsid w:val="003C1952"/>
    <w:rsid w:val="003C1C5A"/>
    <w:rsid w:val="003C23E1"/>
    <w:rsid w:val="003C3356"/>
    <w:rsid w:val="003C33AE"/>
    <w:rsid w:val="003C388E"/>
    <w:rsid w:val="003C38E1"/>
    <w:rsid w:val="003C3D03"/>
    <w:rsid w:val="003C3F62"/>
    <w:rsid w:val="003C42D3"/>
    <w:rsid w:val="003C4574"/>
    <w:rsid w:val="003C465E"/>
    <w:rsid w:val="003C49FB"/>
    <w:rsid w:val="003C4A51"/>
    <w:rsid w:val="003C5C79"/>
    <w:rsid w:val="003C61AD"/>
    <w:rsid w:val="003C74DE"/>
    <w:rsid w:val="003C7CF2"/>
    <w:rsid w:val="003D000F"/>
    <w:rsid w:val="003D00C8"/>
    <w:rsid w:val="003D041F"/>
    <w:rsid w:val="003D06C4"/>
    <w:rsid w:val="003D07F0"/>
    <w:rsid w:val="003D0B91"/>
    <w:rsid w:val="003D0F3C"/>
    <w:rsid w:val="003D1589"/>
    <w:rsid w:val="003D181C"/>
    <w:rsid w:val="003D1882"/>
    <w:rsid w:val="003D19D5"/>
    <w:rsid w:val="003D1BFF"/>
    <w:rsid w:val="003D1E0B"/>
    <w:rsid w:val="003D2281"/>
    <w:rsid w:val="003D235A"/>
    <w:rsid w:val="003D2E1F"/>
    <w:rsid w:val="003D3257"/>
    <w:rsid w:val="003D367D"/>
    <w:rsid w:val="003D3804"/>
    <w:rsid w:val="003D3A08"/>
    <w:rsid w:val="003D3B76"/>
    <w:rsid w:val="003D4797"/>
    <w:rsid w:val="003D4B79"/>
    <w:rsid w:val="003D6478"/>
    <w:rsid w:val="003D653E"/>
    <w:rsid w:val="003D67F7"/>
    <w:rsid w:val="003D6B7A"/>
    <w:rsid w:val="003D6C10"/>
    <w:rsid w:val="003D6F65"/>
    <w:rsid w:val="003D721A"/>
    <w:rsid w:val="003D7775"/>
    <w:rsid w:val="003E0EA8"/>
    <w:rsid w:val="003E1D5A"/>
    <w:rsid w:val="003E2249"/>
    <w:rsid w:val="003E229A"/>
    <w:rsid w:val="003E281F"/>
    <w:rsid w:val="003E2B8F"/>
    <w:rsid w:val="003E2DCF"/>
    <w:rsid w:val="003E2DFD"/>
    <w:rsid w:val="003E31B2"/>
    <w:rsid w:val="003E339A"/>
    <w:rsid w:val="003E346A"/>
    <w:rsid w:val="003E387A"/>
    <w:rsid w:val="003E38AF"/>
    <w:rsid w:val="003E3910"/>
    <w:rsid w:val="003E3B67"/>
    <w:rsid w:val="003E43BA"/>
    <w:rsid w:val="003E4671"/>
    <w:rsid w:val="003E4E86"/>
    <w:rsid w:val="003E54A0"/>
    <w:rsid w:val="003E5746"/>
    <w:rsid w:val="003E58F5"/>
    <w:rsid w:val="003E59C3"/>
    <w:rsid w:val="003E5C57"/>
    <w:rsid w:val="003E5E9A"/>
    <w:rsid w:val="003E60B8"/>
    <w:rsid w:val="003E6201"/>
    <w:rsid w:val="003E62AA"/>
    <w:rsid w:val="003E62BE"/>
    <w:rsid w:val="003E66F1"/>
    <w:rsid w:val="003E682A"/>
    <w:rsid w:val="003E68E8"/>
    <w:rsid w:val="003E6CD9"/>
    <w:rsid w:val="003E6EDF"/>
    <w:rsid w:val="003E7CA4"/>
    <w:rsid w:val="003E7D8A"/>
    <w:rsid w:val="003E7E2B"/>
    <w:rsid w:val="003F0178"/>
    <w:rsid w:val="003F0269"/>
    <w:rsid w:val="003F0348"/>
    <w:rsid w:val="003F038F"/>
    <w:rsid w:val="003F08A8"/>
    <w:rsid w:val="003F09FA"/>
    <w:rsid w:val="003F0CE4"/>
    <w:rsid w:val="003F0F05"/>
    <w:rsid w:val="003F1016"/>
    <w:rsid w:val="003F27ED"/>
    <w:rsid w:val="003F28F1"/>
    <w:rsid w:val="003F29F0"/>
    <w:rsid w:val="003F31A3"/>
    <w:rsid w:val="003F3C46"/>
    <w:rsid w:val="003F3C80"/>
    <w:rsid w:val="003F3E76"/>
    <w:rsid w:val="003F4D7B"/>
    <w:rsid w:val="003F4EFE"/>
    <w:rsid w:val="003F51FE"/>
    <w:rsid w:val="003F5423"/>
    <w:rsid w:val="003F548A"/>
    <w:rsid w:val="003F5CB4"/>
    <w:rsid w:val="003F627D"/>
    <w:rsid w:val="003F629F"/>
    <w:rsid w:val="003F669E"/>
    <w:rsid w:val="003F6ACA"/>
    <w:rsid w:val="003F6D79"/>
    <w:rsid w:val="003F6EDC"/>
    <w:rsid w:val="003F77AF"/>
    <w:rsid w:val="003F77B5"/>
    <w:rsid w:val="003F7A04"/>
    <w:rsid w:val="003F7C97"/>
    <w:rsid w:val="003F7D9A"/>
    <w:rsid w:val="004001DA"/>
    <w:rsid w:val="00400345"/>
    <w:rsid w:val="0040034E"/>
    <w:rsid w:val="00400481"/>
    <w:rsid w:val="00401000"/>
    <w:rsid w:val="0040196D"/>
    <w:rsid w:val="00402316"/>
    <w:rsid w:val="00402439"/>
    <w:rsid w:val="00402E86"/>
    <w:rsid w:val="00403C09"/>
    <w:rsid w:val="00404F3A"/>
    <w:rsid w:val="00405485"/>
    <w:rsid w:val="004055D1"/>
    <w:rsid w:val="00405956"/>
    <w:rsid w:val="0040709B"/>
    <w:rsid w:val="00407115"/>
    <w:rsid w:val="00407659"/>
    <w:rsid w:val="00410EE9"/>
    <w:rsid w:val="00410FF7"/>
    <w:rsid w:val="00411986"/>
    <w:rsid w:val="00411E1B"/>
    <w:rsid w:val="00411F69"/>
    <w:rsid w:val="00412AFD"/>
    <w:rsid w:val="00412CDB"/>
    <w:rsid w:val="00412CE6"/>
    <w:rsid w:val="00412F93"/>
    <w:rsid w:val="004130BF"/>
    <w:rsid w:val="004131B2"/>
    <w:rsid w:val="0041330B"/>
    <w:rsid w:val="0041338E"/>
    <w:rsid w:val="004134DC"/>
    <w:rsid w:val="00413E37"/>
    <w:rsid w:val="004144CD"/>
    <w:rsid w:val="00414ECE"/>
    <w:rsid w:val="00414F9A"/>
    <w:rsid w:val="00415199"/>
    <w:rsid w:val="00415271"/>
    <w:rsid w:val="004160F6"/>
    <w:rsid w:val="00416150"/>
    <w:rsid w:val="004168F8"/>
    <w:rsid w:val="00416A4F"/>
    <w:rsid w:val="00416EB0"/>
    <w:rsid w:val="0041744E"/>
    <w:rsid w:val="0041791B"/>
    <w:rsid w:val="004199B4"/>
    <w:rsid w:val="004202A8"/>
    <w:rsid w:val="004206E9"/>
    <w:rsid w:val="00420F9C"/>
    <w:rsid w:val="0042141E"/>
    <w:rsid w:val="0042145D"/>
    <w:rsid w:val="004215AD"/>
    <w:rsid w:val="004219B9"/>
    <w:rsid w:val="00421CE3"/>
    <w:rsid w:val="00422123"/>
    <w:rsid w:val="00422528"/>
    <w:rsid w:val="00422684"/>
    <w:rsid w:val="00422793"/>
    <w:rsid w:val="00423C36"/>
    <w:rsid w:val="00423FF1"/>
    <w:rsid w:val="004248EF"/>
    <w:rsid w:val="00424D09"/>
    <w:rsid w:val="0042504F"/>
    <w:rsid w:val="00425544"/>
    <w:rsid w:val="00425B82"/>
    <w:rsid w:val="00425C20"/>
    <w:rsid w:val="004262F2"/>
    <w:rsid w:val="0042663D"/>
    <w:rsid w:val="004269F2"/>
    <w:rsid w:val="004275FE"/>
    <w:rsid w:val="0042797C"/>
    <w:rsid w:val="004307B0"/>
    <w:rsid w:val="00430B76"/>
    <w:rsid w:val="00431467"/>
    <w:rsid w:val="00431688"/>
    <w:rsid w:val="00431963"/>
    <w:rsid w:val="00431985"/>
    <w:rsid w:val="00431B61"/>
    <w:rsid w:val="00431CDC"/>
    <w:rsid w:val="00432364"/>
    <w:rsid w:val="004326F5"/>
    <w:rsid w:val="0043295D"/>
    <w:rsid w:val="00432DB3"/>
    <w:rsid w:val="00432F09"/>
    <w:rsid w:val="00433298"/>
    <w:rsid w:val="00433988"/>
    <w:rsid w:val="00433A5C"/>
    <w:rsid w:val="0043409A"/>
    <w:rsid w:val="00434210"/>
    <w:rsid w:val="00434A2B"/>
    <w:rsid w:val="004352F4"/>
    <w:rsid w:val="0043578C"/>
    <w:rsid w:val="00435A4A"/>
    <w:rsid w:val="00435F80"/>
    <w:rsid w:val="004364CA"/>
    <w:rsid w:val="0043691E"/>
    <w:rsid w:val="00436CDB"/>
    <w:rsid w:val="004370D0"/>
    <w:rsid w:val="004370EB"/>
    <w:rsid w:val="00437104"/>
    <w:rsid w:val="004377A0"/>
    <w:rsid w:val="004377B2"/>
    <w:rsid w:val="00437C76"/>
    <w:rsid w:val="00440052"/>
    <w:rsid w:val="004406CA"/>
    <w:rsid w:val="004407E7"/>
    <w:rsid w:val="004408CF"/>
    <w:rsid w:val="004408FF"/>
    <w:rsid w:val="00440B7C"/>
    <w:rsid w:val="00440D22"/>
    <w:rsid w:val="0044100D"/>
    <w:rsid w:val="00441750"/>
    <w:rsid w:val="00441885"/>
    <w:rsid w:val="004426B7"/>
    <w:rsid w:val="0044296D"/>
    <w:rsid w:val="0044352B"/>
    <w:rsid w:val="00443CB4"/>
    <w:rsid w:val="00443FA0"/>
    <w:rsid w:val="004446D0"/>
    <w:rsid w:val="00444BBC"/>
    <w:rsid w:val="00444FD7"/>
    <w:rsid w:val="004450D6"/>
    <w:rsid w:val="00445109"/>
    <w:rsid w:val="004454ED"/>
    <w:rsid w:val="00445EF4"/>
    <w:rsid w:val="004465A2"/>
    <w:rsid w:val="004467AF"/>
    <w:rsid w:val="004471B2"/>
    <w:rsid w:val="00447809"/>
    <w:rsid w:val="00447D47"/>
    <w:rsid w:val="00447E25"/>
    <w:rsid w:val="004500A0"/>
    <w:rsid w:val="00450A3A"/>
    <w:rsid w:val="00450B1F"/>
    <w:rsid w:val="00451686"/>
    <w:rsid w:val="00451717"/>
    <w:rsid w:val="004517D3"/>
    <w:rsid w:val="004518BC"/>
    <w:rsid w:val="00451D70"/>
    <w:rsid w:val="00451E41"/>
    <w:rsid w:val="004521C9"/>
    <w:rsid w:val="00452911"/>
    <w:rsid w:val="00452A95"/>
    <w:rsid w:val="00452BC5"/>
    <w:rsid w:val="00452C1B"/>
    <w:rsid w:val="00452DE3"/>
    <w:rsid w:val="00453D8C"/>
    <w:rsid w:val="004547DE"/>
    <w:rsid w:val="0045567C"/>
    <w:rsid w:val="004556B2"/>
    <w:rsid w:val="004557AC"/>
    <w:rsid w:val="00455F67"/>
    <w:rsid w:val="004564EB"/>
    <w:rsid w:val="00456757"/>
    <w:rsid w:val="00457457"/>
    <w:rsid w:val="00457919"/>
    <w:rsid w:val="00457E9B"/>
    <w:rsid w:val="004602CB"/>
    <w:rsid w:val="00460393"/>
    <w:rsid w:val="0046040A"/>
    <w:rsid w:val="004609BC"/>
    <w:rsid w:val="00460A24"/>
    <w:rsid w:val="00460ADB"/>
    <w:rsid w:val="00460B7E"/>
    <w:rsid w:val="00460BAF"/>
    <w:rsid w:val="00460BD6"/>
    <w:rsid w:val="00461019"/>
    <w:rsid w:val="00461032"/>
    <w:rsid w:val="004610E1"/>
    <w:rsid w:val="004611A0"/>
    <w:rsid w:val="004611FC"/>
    <w:rsid w:val="0046132F"/>
    <w:rsid w:val="004613C5"/>
    <w:rsid w:val="00461AF0"/>
    <w:rsid w:val="00461C7F"/>
    <w:rsid w:val="00461D31"/>
    <w:rsid w:val="00461DF5"/>
    <w:rsid w:val="00462226"/>
    <w:rsid w:val="0046304E"/>
    <w:rsid w:val="0046319A"/>
    <w:rsid w:val="00463362"/>
    <w:rsid w:val="0046378F"/>
    <w:rsid w:val="004637E9"/>
    <w:rsid w:val="00464137"/>
    <w:rsid w:val="00464700"/>
    <w:rsid w:val="00464C3B"/>
    <w:rsid w:val="004655CE"/>
    <w:rsid w:val="00465EED"/>
    <w:rsid w:val="004663C6"/>
    <w:rsid w:val="004666FF"/>
    <w:rsid w:val="004668F9"/>
    <w:rsid w:val="00466994"/>
    <w:rsid w:val="00466C89"/>
    <w:rsid w:val="004671DE"/>
    <w:rsid w:val="004675AC"/>
    <w:rsid w:val="00467BFB"/>
    <w:rsid w:val="00467C8D"/>
    <w:rsid w:val="00470310"/>
    <w:rsid w:val="004703E6"/>
    <w:rsid w:val="004707D8"/>
    <w:rsid w:val="00471BCE"/>
    <w:rsid w:val="00471EA8"/>
    <w:rsid w:val="00472280"/>
    <w:rsid w:val="0047228D"/>
    <w:rsid w:val="004722F9"/>
    <w:rsid w:val="00472454"/>
    <w:rsid w:val="004727CE"/>
    <w:rsid w:val="0047292D"/>
    <w:rsid w:val="00472CFB"/>
    <w:rsid w:val="00472FB8"/>
    <w:rsid w:val="00473211"/>
    <w:rsid w:val="0047395C"/>
    <w:rsid w:val="00473A21"/>
    <w:rsid w:val="00473AE3"/>
    <w:rsid w:val="00473C11"/>
    <w:rsid w:val="00473F88"/>
    <w:rsid w:val="00474019"/>
    <w:rsid w:val="0047411F"/>
    <w:rsid w:val="004741BB"/>
    <w:rsid w:val="004742EF"/>
    <w:rsid w:val="004745B2"/>
    <w:rsid w:val="00474945"/>
    <w:rsid w:val="0047496E"/>
    <w:rsid w:val="00475121"/>
    <w:rsid w:val="004751C4"/>
    <w:rsid w:val="00475430"/>
    <w:rsid w:val="00475627"/>
    <w:rsid w:val="00475938"/>
    <w:rsid w:val="00475F5B"/>
    <w:rsid w:val="004765CE"/>
    <w:rsid w:val="00476890"/>
    <w:rsid w:val="00476C4A"/>
    <w:rsid w:val="004773B3"/>
    <w:rsid w:val="00477437"/>
    <w:rsid w:val="004774CB"/>
    <w:rsid w:val="004779FE"/>
    <w:rsid w:val="00477E5C"/>
    <w:rsid w:val="004806D5"/>
    <w:rsid w:val="00480A35"/>
    <w:rsid w:val="00480F0A"/>
    <w:rsid w:val="00480FF1"/>
    <w:rsid w:val="00481463"/>
    <w:rsid w:val="0048178F"/>
    <w:rsid w:val="00482101"/>
    <w:rsid w:val="00482188"/>
    <w:rsid w:val="00482967"/>
    <w:rsid w:val="00482A28"/>
    <w:rsid w:val="00482A82"/>
    <w:rsid w:val="00482B94"/>
    <w:rsid w:val="00482FE8"/>
    <w:rsid w:val="00483654"/>
    <w:rsid w:val="00483828"/>
    <w:rsid w:val="004838F7"/>
    <w:rsid w:val="004840A0"/>
    <w:rsid w:val="0048411F"/>
    <w:rsid w:val="0048438D"/>
    <w:rsid w:val="00484A5F"/>
    <w:rsid w:val="00484CB7"/>
    <w:rsid w:val="00484E36"/>
    <w:rsid w:val="00484F29"/>
    <w:rsid w:val="004852BD"/>
    <w:rsid w:val="004857AE"/>
    <w:rsid w:val="00485849"/>
    <w:rsid w:val="004860C5"/>
    <w:rsid w:val="004866E5"/>
    <w:rsid w:val="00486B53"/>
    <w:rsid w:val="00486D88"/>
    <w:rsid w:val="00487893"/>
    <w:rsid w:val="00487896"/>
    <w:rsid w:val="004878BB"/>
    <w:rsid w:val="00487E84"/>
    <w:rsid w:val="00490266"/>
    <w:rsid w:val="0049075B"/>
    <w:rsid w:val="00491592"/>
    <w:rsid w:val="0049179F"/>
    <w:rsid w:val="00491836"/>
    <w:rsid w:val="00491B7C"/>
    <w:rsid w:val="00491C78"/>
    <w:rsid w:val="00491F05"/>
    <w:rsid w:val="00492134"/>
    <w:rsid w:val="00492B00"/>
    <w:rsid w:val="00492DA0"/>
    <w:rsid w:val="0049360F"/>
    <w:rsid w:val="00494427"/>
    <w:rsid w:val="00494E0D"/>
    <w:rsid w:val="0049615B"/>
    <w:rsid w:val="004966ED"/>
    <w:rsid w:val="00496966"/>
    <w:rsid w:val="00496D86"/>
    <w:rsid w:val="00497062"/>
    <w:rsid w:val="004972BB"/>
    <w:rsid w:val="00497705"/>
    <w:rsid w:val="00497CE8"/>
    <w:rsid w:val="004A05BB"/>
    <w:rsid w:val="004A09FB"/>
    <w:rsid w:val="004A1161"/>
    <w:rsid w:val="004A1CFF"/>
    <w:rsid w:val="004A2385"/>
    <w:rsid w:val="004A2644"/>
    <w:rsid w:val="004A2BF4"/>
    <w:rsid w:val="004A309C"/>
    <w:rsid w:val="004A30FE"/>
    <w:rsid w:val="004A3392"/>
    <w:rsid w:val="004A3455"/>
    <w:rsid w:val="004A3880"/>
    <w:rsid w:val="004A47F7"/>
    <w:rsid w:val="004A48A1"/>
    <w:rsid w:val="004A5312"/>
    <w:rsid w:val="004A54C6"/>
    <w:rsid w:val="004A56F3"/>
    <w:rsid w:val="004A583E"/>
    <w:rsid w:val="004A625E"/>
    <w:rsid w:val="004A6934"/>
    <w:rsid w:val="004A6A32"/>
    <w:rsid w:val="004A76D9"/>
    <w:rsid w:val="004A7713"/>
    <w:rsid w:val="004A77BB"/>
    <w:rsid w:val="004A7830"/>
    <w:rsid w:val="004A7844"/>
    <w:rsid w:val="004A78BE"/>
    <w:rsid w:val="004B013B"/>
    <w:rsid w:val="004B0195"/>
    <w:rsid w:val="004B0681"/>
    <w:rsid w:val="004B0886"/>
    <w:rsid w:val="004B09E7"/>
    <w:rsid w:val="004B0B4B"/>
    <w:rsid w:val="004B0CDD"/>
    <w:rsid w:val="004B0EFC"/>
    <w:rsid w:val="004B0F43"/>
    <w:rsid w:val="004B125C"/>
    <w:rsid w:val="004B137D"/>
    <w:rsid w:val="004B19F5"/>
    <w:rsid w:val="004B1A25"/>
    <w:rsid w:val="004B1FF4"/>
    <w:rsid w:val="004B23F8"/>
    <w:rsid w:val="004B255D"/>
    <w:rsid w:val="004B342C"/>
    <w:rsid w:val="004B34C5"/>
    <w:rsid w:val="004B3724"/>
    <w:rsid w:val="004B384F"/>
    <w:rsid w:val="004B3D38"/>
    <w:rsid w:val="004B42C2"/>
    <w:rsid w:val="004B4551"/>
    <w:rsid w:val="004B4564"/>
    <w:rsid w:val="004B4637"/>
    <w:rsid w:val="004B47EE"/>
    <w:rsid w:val="004B4C96"/>
    <w:rsid w:val="004B5323"/>
    <w:rsid w:val="004B554F"/>
    <w:rsid w:val="004B58E7"/>
    <w:rsid w:val="004B658B"/>
    <w:rsid w:val="004B6754"/>
    <w:rsid w:val="004B6873"/>
    <w:rsid w:val="004B7134"/>
    <w:rsid w:val="004B779C"/>
    <w:rsid w:val="004B7B24"/>
    <w:rsid w:val="004B7B90"/>
    <w:rsid w:val="004C0329"/>
    <w:rsid w:val="004C0E3E"/>
    <w:rsid w:val="004C119C"/>
    <w:rsid w:val="004C1364"/>
    <w:rsid w:val="004C136F"/>
    <w:rsid w:val="004C196E"/>
    <w:rsid w:val="004C1E33"/>
    <w:rsid w:val="004C2E04"/>
    <w:rsid w:val="004C2FFC"/>
    <w:rsid w:val="004C3048"/>
    <w:rsid w:val="004C31C0"/>
    <w:rsid w:val="004C33ED"/>
    <w:rsid w:val="004C3B95"/>
    <w:rsid w:val="004C3EDF"/>
    <w:rsid w:val="004C4075"/>
    <w:rsid w:val="004C41E7"/>
    <w:rsid w:val="004C46BF"/>
    <w:rsid w:val="004C4E68"/>
    <w:rsid w:val="004C581F"/>
    <w:rsid w:val="004C5F02"/>
    <w:rsid w:val="004C605B"/>
    <w:rsid w:val="004C6142"/>
    <w:rsid w:val="004C68C6"/>
    <w:rsid w:val="004C6B09"/>
    <w:rsid w:val="004C739D"/>
    <w:rsid w:val="004C7B04"/>
    <w:rsid w:val="004C7E3F"/>
    <w:rsid w:val="004D0616"/>
    <w:rsid w:val="004D0643"/>
    <w:rsid w:val="004D0B81"/>
    <w:rsid w:val="004D1918"/>
    <w:rsid w:val="004D1D1E"/>
    <w:rsid w:val="004D1F29"/>
    <w:rsid w:val="004D2011"/>
    <w:rsid w:val="004D234F"/>
    <w:rsid w:val="004D25B1"/>
    <w:rsid w:val="004D31DA"/>
    <w:rsid w:val="004D3F4D"/>
    <w:rsid w:val="004D4434"/>
    <w:rsid w:val="004D4AD8"/>
    <w:rsid w:val="004D4CC0"/>
    <w:rsid w:val="004D560B"/>
    <w:rsid w:val="004D56E7"/>
    <w:rsid w:val="004D577C"/>
    <w:rsid w:val="004D594E"/>
    <w:rsid w:val="004D599E"/>
    <w:rsid w:val="004D63AB"/>
    <w:rsid w:val="004D6738"/>
    <w:rsid w:val="004D677D"/>
    <w:rsid w:val="004D692A"/>
    <w:rsid w:val="004D7020"/>
    <w:rsid w:val="004D7041"/>
    <w:rsid w:val="004D7942"/>
    <w:rsid w:val="004D7AD6"/>
    <w:rsid w:val="004E05A5"/>
    <w:rsid w:val="004E05AB"/>
    <w:rsid w:val="004E0E68"/>
    <w:rsid w:val="004E1B36"/>
    <w:rsid w:val="004E1C67"/>
    <w:rsid w:val="004E1FAF"/>
    <w:rsid w:val="004E23A8"/>
    <w:rsid w:val="004E2D2B"/>
    <w:rsid w:val="004E2D46"/>
    <w:rsid w:val="004E30C6"/>
    <w:rsid w:val="004E35F8"/>
    <w:rsid w:val="004E3886"/>
    <w:rsid w:val="004E3A1A"/>
    <w:rsid w:val="004E42B1"/>
    <w:rsid w:val="004E57E8"/>
    <w:rsid w:val="004E58DA"/>
    <w:rsid w:val="004E596D"/>
    <w:rsid w:val="004E5F41"/>
    <w:rsid w:val="004E5F59"/>
    <w:rsid w:val="004E6509"/>
    <w:rsid w:val="004E692F"/>
    <w:rsid w:val="004E6AE5"/>
    <w:rsid w:val="004E6E3B"/>
    <w:rsid w:val="004E6ED9"/>
    <w:rsid w:val="004E7841"/>
    <w:rsid w:val="004E7BF2"/>
    <w:rsid w:val="004F073B"/>
    <w:rsid w:val="004F0CF4"/>
    <w:rsid w:val="004F13EB"/>
    <w:rsid w:val="004F181A"/>
    <w:rsid w:val="004F1B69"/>
    <w:rsid w:val="004F1ED1"/>
    <w:rsid w:val="004F2560"/>
    <w:rsid w:val="004F296B"/>
    <w:rsid w:val="004F2977"/>
    <w:rsid w:val="004F2CAE"/>
    <w:rsid w:val="004F2E94"/>
    <w:rsid w:val="004F2EAE"/>
    <w:rsid w:val="004F41C6"/>
    <w:rsid w:val="004F4A09"/>
    <w:rsid w:val="004F4AEE"/>
    <w:rsid w:val="004F540F"/>
    <w:rsid w:val="004F5AA1"/>
    <w:rsid w:val="004F618F"/>
    <w:rsid w:val="004F6379"/>
    <w:rsid w:val="004F637C"/>
    <w:rsid w:val="004F69AA"/>
    <w:rsid w:val="004F6AE6"/>
    <w:rsid w:val="004F6CF1"/>
    <w:rsid w:val="004F7618"/>
    <w:rsid w:val="005000FF"/>
    <w:rsid w:val="0050024A"/>
    <w:rsid w:val="005004E0"/>
    <w:rsid w:val="00500530"/>
    <w:rsid w:val="005010BA"/>
    <w:rsid w:val="00501141"/>
    <w:rsid w:val="005011DA"/>
    <w:rsid w:val="00501530"/>
    <w:rsid w:val="00501BB3"/>
    <w:rsid w:val="00501FFA"/>
    <w:rsid w:val="005021E7"/>
    <w:rsid w:val="0050270F"/>
    <w:rsid w:val="00502EC3"/>
    <w:rsid w:val="00502F7E"/>
    <w:rsid w:val="00503120"/>
    <w:rsid w:val="00503447"/>
    <w:rsid w:val="00503BCF"/>
    <w:rsid w:val="00503F03"/>
    <w:rsid w:val="0050429D"/>
    <w:rsid w:val="005047ED"/>
    <w:rsid w:val="00504828"/>
    <w:rsid w:val="00504B2D"/>
    <w:rsid w:val="00504E6B"/>
    <w:rsid w:val="005053AE"/>
    <w:rsid w:val="00505726"/>
    <w:rsid w:val="00505769"/>
    <w:rsid w:val="005066A7"/>
    <w:rsid w:val="0050765E"/>
    <w:rsid w:val="00507AB7"/>
    <w:rsid w:val="00507D60"/>
    <w:rsid w:val="00507EDE"/>
    <w:rsid w:val="00510275"/>
    <w:rsid w:val="0051098A"/>
    <w:rsid w:val="00510B97"/>
    <w:rsid w:val="00510D5A"/>
    <w:rsid w:val="00510DAA"/>
    <w:rsid w:val="00510E1E"/>
    <w:rsid w:val="00511295"/>
    <w:rsid w:val="00511CE1"/>
    <w:rsid w:val="005124C8"/>
    <w:rsid w:val="00512BF3"/>
    <w:rsid w:val="00512C97"/>
    <w:rsid w:val="00512CE0"/>
    <w:rsid w:val="0051311D"/>
    <w:rsid w:val="005138FB"/>
    <w:rsid w:val="00514019"/>
    <w:rsid w:val="005140D7"/>
    <w:rsid w:val="00514150"/>
    <w:rsid w:val="00514B7D"/>
    <w:rsid w:val="00514DDD"/>
    <w:rsid w:val="00514F49"/>
    <w:rsid w:val="00515133"/>
    <w:rsid w:val="0051524F"/>
    <w:rsid w:val="00515CE4"/>
    <w:rsid w:val="005162F0"/>
    <w:rsid w:val="00516596"/>
    <w:rsid w:val="005169F0"/>
    <w:rsid w:val="00516C05"/>
    <w:rsid w:val="005175F0"/>
    <w:rsid w:val="005202DF"/>
    <w:rsid w:val="00520427"/>
    <w:rsid w:val="005206AA"/>
    <w:rsid w:val="0052099E"/>
    <w:rsid w:val="005210DB"/>
    <w:rsid w:val="00521480"/>
    <w:rsid w:val="0052150C"/>
    <w:rsid w:val="00521561"/>
    <w:rsid w:val="00521729"/>
    <w:rsid w:val="00521CA3"/>
    <w:rsid w:val="00521DCD"/>
    <w:rsid w:val="00521E29"/>
    <w:rsid w:val="0052365A"/>
    <w:rsid w:val="005236F4"/>
    <w:rsid w:val="00523967"/>
    <w:rsid w:val="0052483E"/>
    <w:rsid w:val="00524FB1"/>
    <w:rsid w:val="0052536E"/>
    <w:rsid w:val="00525437"/>
    <w:rsid w:val="00526C8C"/>
    <w:rsid w:val="005272EE"/>
    <w:rsid w:val="00527593"/>
    <w:rsid w:val="00527E32"/>
    <w:rsid w:val="00527F89"/>
    <w:rsid w:val="0053012B"/>
    <w:rsid w:val="005301A4"/>
    <w:rsid w:val="00531017"/>
    <w:rsid w:val="005310B3"/>
    <w:rsid w:val="0053175A"/>
    <w:rsid w:val="00531CC6"/>
    <w:rsid w:val="0053298E"/>
    <w:rsid w:val="00532A84"/>
    <w:rsid w:val="00532D49"/>
    <w:rsid w:val="005331BF"/>
    <w:rsid w:val="005333BD"/>
    <w:rsid w:val="005333EB"/>
    <w:rsid w:val="005335AF"/>
    <w:rsid w:val="005335BC"/>
    <w:rsid w:val="0053372D"/>
    <w:rsid w:val="00533BC2"/>
    <w:rsid w:val="00534045"/>
    <w:rsid w:val="005346D7"/>
    <w:rsid w:val="0053490A"/>
    <w:rsid w:val="0053490E"/>
    <w:rsid w:val="0053500E"/>
    <w:rsid w:val="005354E1"/>
    <w:rsid w:val="005358C6"/>
    <w:rsid w:val="00535AE8"/>
    <w:rsid w:val="00535EC6"/>
    <w:rsid w:val="00536114"/>
    <w:rsid w:val="005363E5"/>
    <w:rsid w:val="005369AF"/>
    <w:rsid w:val="00536A04"/>
    <w:rsid w:val="00536D73"/>
    <w:rsid w:val="00536F65"/>
    <w:rsid w:val="00537377"/>
    <w:rsid w:val="005376B4"/>
    <w:rsid w:val="00537C62"/>
    <w:rsid w:val="0053BF8B"/>
    <w:rsid w:val="00540299"/>
    <w:rsid w:val="0054083B"/>
    <w:rsid w:val="00541024"/>
    <w:rsid w:val="00541401"/>
    <w:rsid w:val="005418D6"/>
    <w:rsid w:val="0054206A"/>
    <w:rsid w:val="00542690"/>
    <w:rsid w:val="00542AB4"/>
    <w:rsid w:val="00542AD3"/>
    <w:rsid w:val="00542AE1"/>
    <w:rsid w:val="00542DD5"/>
    <w:rsid w:val="00543041"/>
    <w:rsid w:val="005431DF"/>
    <w:rsid w:val="00543436"/>
    <w:rsid w:val="0054350A"/>
    <w:rsid w:val="00544593"/>
    <w:rsid w:val="005445E1"/>
    <w:rsid w:val="005447A2"/>
    <w:rsid w:val="00544D13"/>
    <w:rsid w:val="005453C1"/>
    <w:rsid w:val="005459BA"/>
    <w:rsid w:val="00545A90"/>
    <w:rsid w:val="00545FD3"/>
    <w:rsid w:val="00546638"/>
    <w:rsid w:val="005468EF"/>
    <w:rsid w:val="00546DE6"/>
    <w:rsid w:val="00547024"/>
    <w:rsid w:val="0054703D"/>
    <w:rsid w:val="00547406"/>
    <w:rsid w:val="00547478"/>
    <w:rsid w:val="00547644"/>
    <w:rsid w:val="00547906"/>
    <w:rsid w:val="00547933"/>
    <w:rsid w:val="00547D39"/>
    <w:rsid w:val="00547F75"/>
    <w:rsid w:val="00550058"/>
    <w:rsid w:val="005502B1"/>
    <w:rsid w:val="00550630"/>
    <w:rsid w:val="00550A55"/>
    <w:rsid w:val="00550E88"/>
    <w:rsid w:val="00551ABF"/>
    <w:rsid w:val="00551ED6"/>
    <w:rsid w:val="0055205A"/>
    <w:rsid w:val="005522EB"/>
    <w:rsid w:val="00552685"/>
    <w:rsid w:val="005526CC"/>
    <w:rsid w:val="00552814"/>
    <w:rsid w:val="00552F35"/>
    <w:rsid w:val="00552FD6"/>
    <w:rsid w:val="005532C4"/>
    <w:rsid w:val="005534F0"/>
    <w:rsid w:val="00553A1E"/>
    <w:rsid w:val="00554C42"/>
    <w:rsid w:val="00554ECA"/>
    <w:rsid w:val="005551A4"/>
    <w:rsid w:val="005551B9"/>
    <w:rsid w:val="005560EA"/>
    <w:rsid w:val="00556679"/>
    <w:rsid w:val="00556809"/>
    <w:rsid w:val="00556A58"/>
    <w:rsid w:val="00556FDC"/>
    <w:rsid w:val="0055778F"/>
    <w:rsid w:val="00557CF3"/>
    <w:rsid w:val="0055C4A3"/>
    <w:rsid w:val="0056056F"/>
    <w:rsid w:val="0056098D"/>
    <w:rsid w:val="00561F0F"/>
    <w:rsid w:val="005620C5"/>
    <w:rsid w:val="005620FC"/>
    <w:rsid w:val="005625BC"/>
    <w:rsid w:val="00562C88"/>
    <w:rsid w:val="00562DE6"/>
    <w:rsid w:val="00563B37"/>
    <w:rsid w:val="00563E19"/>
    <w:rsid w:val="005644DE"/>
    <w:rsid w:val="00564A3E"/>
    <w:rsid w:val="00564BB7"/>
    <w:rsid w:val="00564F53"/>
    <w:rsid w:val="00565318"/>
    <w:rsid w:val="0056531B"/>
    <w:rsid w:val="005653D2"/>
    <w:rsid w:val="0056564E"/>
    <w:rsid w:val="0056594C"/>
    <w:rsid w:val="0056599A"/>
    <w:rsid w:val="00565C68"/>
    <w:rsid w:val="00565FCF"/>
    <w:rsid w:val="0056664D"/>
    <w:rsid w:val="005666AF"/>
    <w:rsid w:val="005667C9"/>
    <w:rsid w:val="005668DA"/>
    <w:rsid w:val="00566D18"/>
    <w:rsid w:val="00566E0F"/>
    <w:rsid w:val="00566FAE"/>
    <w:rsid w:val="005676F9"/>
    <w:rsid w:val="005677DB"/>
    <w:rsid w:val="00567961"/>
    <w:rsid w:val="00567CB2"/>
    <w:rsid w:val="00567F5D"/>
    <w:rsid w:val="00570023"/>
    <w:rsid w:val="00570BB1"/>
    <w:rsid w:val="00570FE5"/>
    <w:rsid w:val="00571392"/>
    <w:rsid w:val="005714E7"/>
    <w:rsid w:val="005718A3"/>
    <w:rsid w:val="00571CD1"/>
    <w:rsid w:val="00571ED7"/>
    <w:rsid w:val="0057236F"/>
    <w:rsid w:val="00572380"/>
    <w:rsid w:val="00572B29"/>
    <w:rsid w:val="00572F61"/>
    <w:rsid w:val="005735ED"/>
    <w:rsid w:val="0057405C"/>
    <w:rsid w:val="005741C2"/>
    <w:rsid w:val="0057450E"/>
    <w:rsid w:val="005747E3"/>
    <w:rsid w:val="00575BE1"/>
    <w:rsid w:val="00575F54"/>
    <w:rsid w:val="005763D4"/>
    <w:rsid w:val="005765DD"/>
    <w:rsid w:val="00576858"/>
    <w:rsid w:val="00577D9D"/>
    <w:rsid w:val="00577EAD"/>
    <w:rsid w:val="00580050"/>
    <w:rsid w:val="0058009C"/>
    <w:rsid w:val="005803D9"/>
    <w:rsid w:val="00580B0D"/>
    <w:rsid w:val="00580F3C"/>
    <w:rsid w:val="00581284"/>
    <w:rsid w:val="005812E8"/>
    <w:rsid w:val="005815D6"/>
    <w:rsid w:val="00581744"/>
    <w:rsid w:val="00582848"/>
    <w:rsid w:val="00582ADD"/>
    <w:rsid w:val="00582DCA"/>
    <w:rsid w:val="00582EC7"/>
    <w:rsid w:val="00582F41"/>
    <w:rsid w:val="005830C2"/>
    <w:rsid w:val="005834DF"/>
    <w:rsid w:val="0058356F"/>
    <w:rsid w:val="00583734"/>
    <w:rsid w:val="00583C5B"/>
    <w:rsid w:val="0058417B"/>
    <w:rsid w:val="0058423A"/>
    <w:rsid w:val="005843ED"/>
    <w:rsid w:val="00584A58"/>
    <w:rsid w:val="00584A7C"/>
    <w:rsid w:val="00585058"/>
    <w:rsid w:val="005852D5"/>
    <w:rsid w:val="0058568A"/>
    <w:rsid w:val="005864BE"/>
    <w:rsid w:val="005864F4"/>
    <w:rsid w:val="00586506"/>
    <w:rsid w:val="005872CE"/>
    <w:rsid w:val="00587541"/>
    <w:rsid w:val="00587729"/>
    <w:rsid w:val="00587AA2"/>
    <w:rsid w:val="00587E4A"/>
    <w:rsid w:val="00587EDC"/>
    <w:rsid w:val="00587FF6"/>
    <w:rsid w:val="00590468"/>
    <w:rsid w:val="00590C61"/>
    <w:rsid w:val="0059171A"/>
    <w:rsid w:val="005919BE"/>
    <w:rsid w:val="005923B6"/>
    <w:rsid w:val="0059246E"/>
    <w:rsid w:val="00592A1E"/>
    <w:rsid w:val="00592A1F"/>
    <w:rsid w:val="00592BC7"/>
    <w:rsid w:val="005938A8"/>
    <w:rsid w:val="0059457D"/>
    <w:rsid w:val="005949BA"/>
    <w:rsid w:val="00595A0E"/>
    <w:rsid w:val="00595B03"/>
    <w:rsid w:val="00595FBD"/>
    <w:rsid w:val="005963A9"/>
    <w:rsid w:val="00596BAB"/>
    <w:rsid w:val="005973B0"/>
    <w:rsid w:val="00597C61"/>
    <w:rsid w:val="00597CB1"/>
    <w:rsid w:val="00597EA2"/>
    <w:rsid w:val="005A032B"/>
    <w:rsid w:val="005A0646"/>
    <w:rsid w:val="005A0BAC"/>
    <w:rsid w:val="005A1601"/>
    <w:rsid w:val="005A1679"/>
    <w:rsid w:val="005A1AF0"/>
    <w:rsid w:val="005A1C1A"/>
    <w:rsid w:val="005A1E56"/>
    <w:rsid w:val="005A1ECF"/>
    <w:rsid w:val="005A21FE"/>
    <w:rsid w:val="005A23FD"/>
    <w:rsid w:val="005A277D"/>
    <w:rsid w:val="005A28BA"/>
    <w:rsid w:val="005A31A8"/>
    <w:rsid w:val="005A3A7D"/>
    <w:rsid w:val="005A4332"/>
    <w:rsid w:val="005A5A82"/>
    <w:rsid w:val="005A5B92"/>
    <w:rsid w:val="005A5F0B"/>
    <w:rsid w:val="005A6382"/>
    <w:rsid w:val="005A654B"/>
    <w:rsid w:val="005A6686"/>
    <w:rsid w:val="005A6DE9"/>
    <w:rsid w:val="005A6E1C"/>
    <w:rsid w:val="005A7113"/>
    <w:rsid w:val="005B008D"/>
    <w:rsid w:val="005B02B0"/>
    <w:rsid w:val="005B033F"/>
    <w:rsid w:val="005B0C0E"/>
    <w:rsid w:val="005B0D33"/>
    <w:rsid w:val="005B0FCF"/>
    <w:rsid w:val="005B12B9"/>
    <w:rsid w:val="005B13D8"/>
    <w:rsid w:val="005B16C7"/>
    <w:rsid w:val="005B16EF"/>
    <w:rsid w:val="005B1BA6"/>
    <w:rsid w:val="005B258D"/>
    <w:rsid w:val="005B2691"/>
    <w:rsid w:val="005B3182"/>
    <w:rsid w:val="005B39C6"/>
    <w:rsid w:val="005B3F6D"/>
    <w:rsid w:val="005B3F74"/>
    <w:rsid w:val="005B462A"/>
    <w:rsid w:val="005B47AB"/>
    <w:rsid w:val="005B50CC"/>
    <w:rsid w:val="005B57E0"/>
    <w:rsid w:val="005B5AB5"/>
    <w:rsid w:val="005B5CCA"/>
    <w:rsid w:val="005B64F3"/>
    <w:rsid w:val="005B65E5"/>
    <w:rsid w:val="005B6907"/>
    <w:rsid w:val="005B6D2B"/>
    <w:rsid w:val="005B71D9"/>
    <w:rsid w:val="005B79B2"/>
    <w:rsid w:val="005C071E"/>
    <w:rsid w:val="005C0F98"/>
    <w:rsid w:val="005C1097"/>
    <w:rsid w:val="005C17D8"/>
    <w:rsid w:val="005C1A59"/>
    <w:rsid w:val="005C1A66"/>
    <w:rsid w:val="005C1B35"/>
    <w:rsid w:val="005C2418"/>
    <w:rsid w:val="005C2D54"/>
    <w:rsid w:val="005C2EA6"/>
    <w:rsid w:val="005C331F"/>
    <w:rsid w:val="005C34FC"/>
    <w:rsid w:val="005C36A5"/>
    <w:rsid w:val="005C36AB"/>
    <w:rsid w:val="005C3EBC"/>
    <w:rsid w:val="005C468A"/>
    <w:rsid w:val="005C528A"/>
    <w:rsid w:val="005C54A2"/>
    <w:rsid w:val="005C593F"/>
    <w:rsid w:val="005C5EED"/>
    <w:rsid w:val="005C6E6B"/>
    <w:rsid w:val="005C7763"/>
    <w:rsid w:val="005C7CD9"/>
    <w:rsid w:val="005C7CF6"/>
    <w:rsid w:val="005D0A8F"/>
    <w:rsid w:val="005D0B70"/>
    <w:rsid w:val="005D131F"/>
    <w:rsid w:val="005D13C5"/>
    <w:rsid w:val="005D1C38"/>
    <w:rsid w:val="005D1E41"/>
    <w:rsid w:val="005D2297"/>
    <w:rsid w:val="005D276B"/>
    <w:rsid w:val="005D289B"/>
    <w:rsid w:val="005D28F2"/>
    <w:rsid w:val="005D2A32"/>
    <w:rsid w:val="005D2F55"/>
    <w:rsid w:val="005D3317"/>
    <w:rsid w:val="005D357E"/>
    <w:rsid w:val="005D37F0"/>
    <w:rsid w:val="005D3BB3"/>
    <w:rsid w:val="005D3D28"/>
    <w:rsid w:val="005D3DA4"/>
    <w:rsid w:val="005D4264"/>
    <w:rsid w:val="005D44DF"/>
    <w:rsid w:val="005D4A2D"/>
    <w:rsid w:val="005D53C2"/>
    <w:rsid w:val="005D545C"/>
    <w:rsid w:val="005D5A2A"/>
    <w:rsid w:val="005D5F97"/>
    <w:rsid w:val="005D67CC"/>
    <w:rsid w:val="005D692D"/>
    <w:rsid w:val="005D6CC2"/>
    <w:rsid w:val="005D6E19"/>
    <w:rsid w:val="005D6F46"/>
    <w:rsid w:val="005D72C6"/>
    <w:rsid w:val="005D7EA4"/>
    <w:rsid w:val="005E00A2"/>
    <w:rsid w:val="005E0504"/>
    <w:rsid w:val="005E07A6"/>
    <w:rsid w:val="005E0B05"/>
    <w:rsid w:val="005E0CA9"/>
    <w:rsid w:val="005E0DF6"/>
    <w:rsid w:val="005E0F2B"/>
    <w:rsid w:val="005E17FB"/>
    <w:rsid w:val="005E1B8B"/>
    <w:rsid w:val="005E1D2F"/>
    <w:rsid w:val="005E1D95"/>
    <w:rsid w:val="005E21AF"/>
    <w:rsid w:val="005E2341"/>
    <w:rsid w:val="005E2419"/>
    <w:rsid w:val="005E271C"/>
    <w:rsid w:val="005E281B"/>
    <w:rsid w:val="005E2E07"/>
    <w:rsid w:val="005E2FC8"/>
    <w:rsid w:val="005E30B1"/>
    <w:rsid w:val="005E31BD"/>
    <w:rsid w:val="005E3ED1"/>
    <w:rsid w:val="005E4146"/>
    <w:rsid w:val="005E42F3"/>
    <w:rsid w:val="005E4A42"/>
    <w:rsid w:val="005E4AE8"/>
    <w:rsid w:val="005E4DFA"/>
    <w:rsid w:val="005E4EF0"/>
    <w:rsid w:val="005E5765"/>
    <w:rsid w:val="005E57A3"/>
    <w:rsid w:val="005E5A3E"/>
    <w:rsid w:val="005E6384"/>
    <w:rsid w:val="005E6540"/>
    <w:rsid w:val="005E68E2"/>
    <w:rsid w:val="005E69E3"/>
    <w:rsid w:val="005E70E9"/>
    <w:rsid w:val="005E71D2"/>
    <w:rsid w:val="005E777E"/>
    <w:rsid w:val="005E7A40"/>
    <w:rsid w:val="005E7A5D"/>
    <w:rsid w:val="005E7F2D"/>
    <w:rsid w:val="005F085E"/>
    <w:rsid w:val="005F0D43"/>
    <w:rsid w:val="005F18C8"/>
    <w:rsid w:val="005F1C3C"/>
    <w:rsid w:val="005F2128"/>
    <w:rsid w:val="005F28BF"/>
    <w:rsid w:val="005F2990"/>
    <w:rsid w:val="005F2A09"/>
    <w:rsid w:val="005F3108"/>
    <w:rsid w:val="005F3146"/>
    <w:rsid w:val="005F39A7"/>
    <w:rsid w:val="005F3C09"/>
    <w:rsid w:val="005F3D3C"/>
    <w:rsid w:val="005F3F02"/>
    <w:rsid w:val="005F4417"/>
    <w:rsid w:val="005F484E"/>
    <w:rsid w:val="005F4B6C"/>
    <w:rsid w:val="005F536E"/>
    <w:rsid w:val="005F584C"/>
    <w:rsid w:val="005F6173"/>
    <w:rsid w:val="005F648F"/>
    <w:rsid w:val="005F653E"/>
    <w:rsid w:val="005F6799"/>
    <w:rsid w:val="005F6C48"/>
    <w:rsid w:val="005F6FDD"/>
    <w:rsid w:val="005F707D"/>
    <w:rsid w:val="005F7259"/>
    <w:rsid w:val="005F7585"/>
    <w:rsid w:val="005F79B0"/>
    <w:rsid w:val="005F7AB3"/>
    <w:rsid w:val="005F7BDE"/>
    <w:rsid w:val="005FB379"/>
    <w:rsid w:val="00600419"/>
    <w:rsid w:val="00600E2D"/>
    <w:rsid w:val="00601008"/>
    <w:rsid w:val="006011A8"/>
    <w:rsid w:val="00601481"/>
    <w:rsid w:val="00601CA7"/>
    <w:rsid w:val="00602368"/>
    <w:rsid w:val="006027C2"/>
    <w:rsid w:val="00602AEA"/>
    <w:rsid w:val="00602E59"/>
    <w:rsid w:val="00603564"/>
    <w:rsid w:val="006035EE"/>
    <w:rsid w:val="006037B1"/>
    <w:rsid w:val="00603B21"/>
    <w:rsid w:val="00603BDD"/>
    <w:rsid w:val="0060446E"/>
    <w:rsid w:val="0060479A"/>
    <w:rsid w:val="006056F1"/>
    <w:rsid w:val="00605AEB"/>
    <w:rsid w:val="006060EC"/>
    <w:rsid w:val="0060652B"/>
    <w:rsid w:val="006069A5"/>
    <w:rsid w:val="00606A85"/>
    <w:rsid w:val="006073A7"/>
    <w:rsid w:val="00607703"/>
    <w:rsid w:val="006077C7"/>
    <w:rsid w:val="006077CD"/>
    <w:rsid w:val="006079A9"/>
    <w:rsid w:val="00607A97"/>
    <w:rsid w:val="00607AE1"/>
    <w:rsid w:val="00607E56"/>
    <w:rsid w:val="006100F2"/>
    <w:rsid w:val="00610149"/>
    <w:rsid w:val="0061025A"/>
    <w:rsid w:val="006104D0"/>
    <w:rsid w:val="00610E18"/>
    <w:rsid w:val="006111FC"/>
    <w:rsid w:val="00611210"/>
    <w:rsid w:val="0061181B"/>
    <w:rsid w:val="00612C15"/>
    <w:rsid w:val="00612CFA"/>
    <w:rsid w:val="00613063"/>
    <w:rsid w:val="00613214"/>
    <w:rsid w:val="006137E5"/>
    <w:rsid w:val="006138EA"/>
    <w:rsid w:val="00613AA1"/>
    <w:rsid w:val="00613D9D"/>
    <w:rsid w:val="006141FA"/>
    <w:rsid w:val="006143A6"/>
    <w:rsid w:val="00614512"/>
    <w:rsid w:val="00614624"/>
    <w:rsid w:val="0061550B"/>
    <w:rsid w:val="006157D3"/>
    <w:rsid w:val="0061591C"/>
    <w:rsid w:val="006159DE"/>
    <w:rsid w:val="00615D18"/>
    <w:rsid w:val="00615DC1"/>
    <w:rsid w:val="00615DD2"/>
    <w:rsid w:val="00615E3F"/>
    <w:rsid w:val="00616284"/>
    <w:rsid w:val="006163C8"/>
    <w:rsid w:val="006166E3"/>
    <w:rsid w:val="00616A68"/>
    <w:rsid w:val="00616B2D"/>
    <w:rsid w:val="006171D3"/>
    <w:rsid w:val="00617217"/>
    <w:rsid w:val="0062059A"/>
    <w:rsid w:val="00620858"/>
    <w:rsid w:val="00620927"/>
    <w:rsid w:val="0062094F"/>
    <w:rsid w:val="00620BCC"/>
    <w:rsid w:val="006214E0"/>
    <w:rsid w:val="0062170A"/>
    <w:rsid w:val="00621769"/>
    <w:rsid w:val="00621A1C"/>
    <w:rsid w:val="00621BC3"/>
    <w:rsid w:val="0062209D"/>
    <w:rsid w:val="00622523"/>
    <w:rsid w:val="006225D9"/>
    <w:rsid w:val="006226DB"/>
    <w:rsid w:val="006226E4"/>
    <w:rsid w:val="00622995"/>
    <w:rsid w:val="006233C7"/>
    <w:rsid w:val="00623EC0"/>
    <w:rsid w:val="00624070"/>
    <w:rsid w:val="006242AB"/>
    <w:rsid w:val="0062470F"/>
    <w:rsid w:val="0062524B"/>
    <w:rsid w:val="00625283"/>
    <w:rsid w:val="00625310"/>
    <w:rsid w:val="00625781"/>
    <w:rsid w:val="00625DC4"/>
    <w:rsid w:val="00626271"/>
    <w:rsid w:val="00626583"/>
    <w:rsid w:val="00626A2D"/>
    <w:rsid w:val="0062700B"/>
    <w:rsid w:val="00627073"/>
    <w:rsid w:val="00627113"/>
    <w:rsid w:val="00627319"/>
    <w:rsid w:val="00627322"/>
    <w:rsid w:val="0062737B"/>
    <w:rsid w:val="0062756E"/>
    <w:rsid w:val="00627A87"/>
    <w:rsid w:val="00627BCA"/>
    <w:rsid w:val="00627BE0"/>
    <w:rsid w:val="00627E6A"/>
    <w:rsid w:val="00627F25"/>
    <w:rsid w:val="006301D6"/>
    <w:rsid w:val="00630600"/>
    <w:rsid w:val="00630C57"/>
    <w:rsid w:val="00630DA8"/>
    <w:rsid w:val="00631063"/>
    <w:rsid w:val="00631110"/>
    <w:rsid w:val="00632337"/>
    <w:rsid w:val="006329B5"/>
    <w:rsid w:val="00632EFF"/>
    <w:rsid w:val="006334DC"/>
    <w:rsid w:val="006335E4"/>
    <w:rsid w:val="00633647"/>
    <w:rsid w:val="00634150"/>
    <w:rsid w:val="006344DB"/>
    <w:rsid w:val="00634CF9"/>
    <w:rsid w:val="006354D6"/>
    <w:rsid w:val="00635622"/>
    <w:rsid w:val="00635CF8"/>
    <w:rsid w:val="0063615A"/>
    <w:rsid w:val="006366F0"/>
    <w:rsid w:val="00636B92"/>
    <w:rsid w:val="00637156"/>
    <w:rsid w:val="00637295"/>
    <w:rsid w:val="0063750C"/>
    <w:rsid w:val="00637820"/>
    <w:rsid w:val="0063785E"/>
    <w:rsid w:val="006379C8"/>
    <w:rsid w:val="00637DB7"/>
    <w:rsid w:val="00637E89"/>
    <w:rsid w:val="00637FD1"/>
    <w:rsid w:val="00640335"/>
    <w:rsid w:val="006403AB"/>
    <w:rsid w:val="0064050E"/>
    <w:rsid w:val="00640D41"/>
    <w:rsid w:val="0064136E"/>
    <w:rsid w:val="006415F8"/>
    <w:rsid w:val="0064163A"/>
    <w:rsid w:val="00641664"/>
    <w:rsid w:val="0064195E"/>
    <w:rsid w:val="00641A37"/>
    <w:rsid w:val="00641D65"/>
    <w:rsid w:val="006425BA"/>
    <w:rsid w:val="00642857"/>
    <w:rsid w:val="00642933"/>
    <w:rsid w:val="006429F8"/>
    <w:rsid w:val="00642AE6"/>
    <w:rsid w:val="00642CD5"/>
    <w:rsid w:val="00643338"/>
    <w:rsid w:val="006438D1"/>
    <w:rsid w:val="00643C23"/>
    <w:rsid w:val="00643F0E"/>
    <w:rsid w:val="00644516"/>
    <w:rsid w:val="006445AD"/>
    <w:rsid w:val="006449DF"/>
    <w:rsid w:val="00644F02"/>
    <w:rsid w:val="00645D2E"/>
    <w:rsid w:val="00645FC8"/>
    <w:rsid w:val="006466EB"/>
    <w:rsid w:val="00646827"/>
    <w:rsid w:val="006469AA"/>
    <w:rsid w:val="00646C52"/>
    <w:rsid w:val="0064743C"/>
    <w:rsid w:val="00650605"/>
    <w:rsid w:val="006507A5"/>
    <w:rsid w:val="006508B1"/>
    <w:rsid w:val="00651815"/>
    <w:rsid w:val="00651BAB"/>
    <w:rsid w:val="00651F2C"/>
    <w:rsid w:val="0065219B"/>
    <w:rsid w:val="00652C7F"/>
    <w:rsid w:val="00652E26"/>
    <w:rsid w:val="006530A7"/>
    <w:rsid w:val="0065313A"/>
    <w:rsid w:val="006532A4"/>
    <w:rsid w:val="00653A33"/>
    <w:rsid w:val="00653E45"/>
    <w:rsid w:val="006540DD"/>
    <w:rsid w:val="00654456"/>
    <w:rsid w:val="00654553"/>
    <w:rsid w:val="00654615"/>
    <w:rsid w:val="00654769"/>
    <w:rsid w:val="006547FB"/>
    <w:rsid w:val="006558B2"/>
    <w:rsid w:val="00655AA1"/>
    <w:rsid w:val="00656195"/>
    <w:rsid w:val="006570A9"/>
    <w:rsid w:val="0065737C"/>
    <w:rsid w:val="00657ABE"/>
    <w:rsid w:val="0065FB8E"/>
    <w:rsid w:val="00660033"/>
    <w:rsid w:val="00660123"/>
    <w:rsid w:val="00660264"/>
    <w:rsid w:val="00661475"/>
    <w:rsid w:val="006615C5"/>
    <w:rsid w:val="00661661"/>
    <w:rsid w:val="00661D29"/>
    <w:rsid w:val="00662172"/>
    <w:rsid w:val="00662A11"/>
    <w:rsid w:val="006635E7"/>
    <w:rsid w:val="00663928"/>
    <w:rsid w:val="00663C6C"/>
    <w:rsid w:val="00663CCB"/>
    <w:rsid w:val="006642E3"/>
    <w:rsid w:val="00664DBF"/>
    <w:rsid w:val="006655D1"/>
    <w:rsid w:val="00665D1F"/>
    <w:rsid w:val="0066660A"/>
    <w:rsid w:val="00666AB4"/>
    <w:rsid w:val="00666DBC"/>
    <w:rsid w:val="00666ECC"/>
    <w:rsid w:val="00666F04"/>
    <w:rsid w:val="006670F0"/>
    <w:rsid w:val="00667BF8"/>
    <w:rsid w:val="00670228"/>
    <w:rsid w:val="00670B69"/>
    <w:rsid w:val="006716F0"/>
    <w:rsid w:val="0067193C"/>
    <w:rsid w:val="006719D7"/>
    <w:rsid w:val="00671B4A"/>
    <w:rsid w:val="00672128"/>
    <w:rsid w:val="00672378"/>
    <w:rsid w:val="00672662"/>
    <w:rsid w:val="00672E96"/>
    <w:rsid w:val="00674782"/>
    <w:rsid w:val="00674F46"/>
    <w:rsid w:val="00675057"/>
    <w:rsid w:val="00675D5D"/>
    <w:rsid w:val="006764C5"/>
    <w:rsid w:val="0067672B"/>
    <w:rsid w:val="00676ACE"/>
    <w:rsid w:val="00676D23"/>
    <w:rsid w:val="00677962"/>
    <w:rsid w:val="00677B3F"/>
    <w:rsid w:val="00677E41"/>
    <w:rsid w:val="00677E92"/>
    <w:rsid w:val="00680B19"/>
    <w:rsid w:val="00680BF8"/>
    <w:rsid w:val="00681148"/>
    <w:rsid w:val="00681190"/>
    <w:rsid w:val="00682045"/>
    <w:rsid w:val="00682203"/>
    <w:rsid w:val="00682C6C"/>
    <w:rsid w:val="00682E4C"/>
    <w:rsid w:val="00683599"/>
    <w:rsid w:val="0068372C"/>
    <w:rsid w:val="00683BD2"/>
    <w:rsid w:val="006841AE"/>
    <w:rsid w:val="0068426B"/>
    <w:rsid w:val="0068477F"/>
    <w:rsid w:val="00684CAD"/>
    <w:rsid w:val="00684EB1"/>
    <w:rsid w:val="00684EBE"/>
    <w:rsid w:val="00684FB7"/>
    <w:rsid w:val="00686027"/>
    <w:rsid w:val="0068623F"/>
    <w:rsid w:val="0068638D"/>
    <w:rsid w:val="00686805"/>
    <w:rsid w:val="006872F4"/>
    <w:rsid w:val="0068757A"/>
    <w:rsid w:val="006908E9"/>
    <w:rsid w:val="006913A5"/>
    <w:rsid w:val="00691598"/>
    <w:rsid w:val="00691709"/>
    <w:rsid w:val="00691BC3"/>
    <w:rsid w:val="00692CAD"/>
    <w:rsid w:val="00692F44"/>
    <w:rsid w:val="00692F58"/>
    <w:rsid w:val="00693154"/>
    <w:rsid w:val="00694180"/>
    <w:rsid w:val="006943B7"/>
    <w:rsid w:val="00694CA6"/>
    <w:rsid w:val="00695200"/>
    <w:rsid w:val="00695649"/>
    <w:rsid w:val="00695B41"/>
    <w:rsid w:val="00696995"/>
    <w:rsid w:val="006969D8"/>
    <w:rsid w:val="00696BAB"/>
    <w:rsid w:val="00696D9D"/>
    <w:rsid w:val="0069712B"/>
    <w:rsid w:val="00697C30"/>
    <w:rsid w:val="00697DF8"/>
    <w:rsid w:val="00698DA0"/>
    <w:rsid w:val="006A06EC"/>
    <w:rsid w:val="006A0FA3"/>
    <w:rsid w:val="006A198A"/>
    <w:rsid w:val="006A1CBF"/>
    <w:rsid w:val="006A2792"/>
    <w:rsid w:val="006A346A"/>
    <w:rsid w:val="006A377F"/>
    <w:rsid w:val="006A398D"/>
    <w:rsid w:val="006A3ED4"/>
    <w:rsid w:val="006A41DD"/>
    <w:rsid w:val="006A45D5"/>
    <w:rsid w:val="006A4813"/>
    <w:rsid w:val="006A4E4A"/>
    <w:rsid w:val="006A51AE"/>
    <w:rsid w:val="006A53B5"/>
    <w:rsid w:val="006A55C1"/>
    <w:rsid w:val="006A58D8"/>
    <w:rsid w:val="006A64A8"/>
    <w:rsid w:val="006A668A"/>
    <w:rsid w:val="006A6891"/>
    <w:rsid w:val="006A6A63"/>
    <w:rsid w:val="006A6CBC"/>
    <w:rsid w:val="006A7CDF"/>
    <w:rsid w:val="006A7D3E"/>
    <w:rsid w:val="006B01A2"/>
    <w:rsid w:val="006B01AC"/>
    <w:rsid w:val="006B023A"/>
    <w:rsid w:val="006B02EE"/>
    <w:rsid w:val="006B0D4B"/>
    <w:rsid w:val="006B1617"/>
    <w:rsid w:val="006B20A4"/>
    <w:rsid w:val="006B256F"/>
    <w:rsid w:val="006B2665"/>
    <w:rsid w:val="006B284B"/>
    <w:rsid w:val="006B31C6"/>
    <w:rsid w:val="006B34ED"/>
    <w:rsid w:val="006B3BA7"/>
    <w:rsid w:val="006B3DD1"/>
    <w:rsid w:val="006B41D5"/>
    <w:rsid w:val="006B49E0"/>
    <w:rsid w:val="006B49EA"/>
    <w:rsid w:val="006B53BF"/>
    <w:rsid w:val="006B5FFE"/>
    <w:rsid w:val="006B6912"/>
    <w:rsid w:val="006B69B9"/>
    <w:rsid w:val="006B6DB8"/>
    <w:rsid w:val="006B6F02"/>
    <w:rsid w:val="006B7035"/>
    <w:rsid w:val="006B71EE"/>
    <w:rsid w:val="006B7452"/>
    <w:rsid w:val="006B74CC"/>
    <w:rsid w:val="006B7706"/>
    <w:rsid w:val="006B7737"/>
    <w:rsid w:val="006B7876"/>
    <w:rsid w:val="006B7C03"/>
    <w:rsid w:val="006C0861"/>
    <w:rsid w:val="006C0A50"/>
    <w:rsid w:val="006C1170"/>
    <w:rsid w:val="006C11EC"/>
    <w:rsid w:val="006C157F"/>
    <w:rsid w:val="006C1915"/>
    <w:rsid w:val="006C1D82"/>
    <w:rsid w:val="006C1FEA"/>
    <w:rsid w:val="006C23BF"/>
    <w:rsid w:val="006C283E"/>
    <w:rsid w:val="006C341F"/>
    <w:rsid w:val="006C3645"/>
    <w:rsid w:val="006C3DD7"/>
    <w:rsid w:val="006C468A"/>
    <w:rsid w:val="006C4943"/>
    <w:rsid w:val="006C4A59"/>
    <w:rsid w:val="006C50EE"/>
    <w:rsid w:val="006C53EB"/>
    <w:rsid w:val="006C61D6"/>
    <w:rsid w:val="006C642E"/>
    <w:rsid w:val="006C6DE7"/>
    <w:rsid w:val="006C6EA6"/>
    <w:rsid w:val="006C71F5"/>
    <w:rsid w:val="006C72E4"/>
    <w:rsid w:val="006C7826"/>
    <w:rsid w:val="006C7A11"/>
    <w:rsid w:val="006D09CE"/>
    <w:rsid w:val="006D0A25"/>
    <w:rsid w:val="006D0EAA"/>
    <w:rsid w:val="006D12B0"/>
    <w:rsid w:val="006D1ED7"/>
    <w:rsid w:val="006D2194"/>
    <w:rsid w:val="006D3E82"/>
    <w:rsid w:val="006D3F14"/>
    <w:rsid w:val="006D4371"/>
    <w:rsid w:val="006D4490"/>
    <w:rsid w:val="006D4B5B"/>
    <w:rsid w:val="006D4E33"/>
    <w:rsid w:val="006D574E"/>
    <w:rsid w:val="006D62FA"/>
    <w:rsid w:val="006D63A9"/>
    <w:rsid w:val="006D6AA5"/>
    <w:rsid w:val="006D6DE5"/>
    <w:rsid w:val="006D718A"/>
    <w:rsid w:val="006D7534"/>
    <w:rsid w:val="006D7976"/>
    <w:rsid w:val="006D7B7A"/>
    <w:rsid w:val="006D7C0A"/>
    <w:rsid w:val="006D7DC8"/>
    <w:rsid w:val="006D7DF8"/>
    <w:rsid w:val="006E00C0"/>
    <w:rsid w:val="006E0342"/>
    <w:rsid w:val="006E03EA"/>
    <w:rsid w:val="006E0433"/>
    <w:rsid w:val="006E0D9F"/>
    <w:rsid w:val="006E22F5"/>
    <w:rsid w:val="006E23E4"/>
    <w:rsid w:val="006E2743"/>
    <w:rsid w:val="006E2A23"/>
    <w:rsid w:val="006E2BA6"/>
    <w:rsid w:val="006E375F"/>
    <w:rsid w:val="006E3AE6"/>
    <w:rsid w:val="006E41F6"/>
    <w:rsid w:val="006E4BF1"/>
    <w:rsid w:val="006E4E19"/>
    <w:rsid w:val="006E50E0"/>
    <w:rsid w:val="006E5639"/>
    <w:rsid w:val="006E58B9"/>
    <w:rsid w:val="006E5F9E"/>
    <w:rsid w:val="006E6AC4"/>
    <w:rsid w:val="006E6F62"/>
    <w:rsid w:val="006E72E3"/>
    <w:rsid w:val="006E77A9"/>
    <w:rsid w:val="006E7EEC"/>
    <w:rsid w:val="006F01D5"/>
    <w:rsid w:val="006F0F83"/>
    <w:rsid w:val="006F1843"/>
    <w:rsid w:val="006F240A"/>
    <w:rsid w:val="006F2BAA"/>
    <w:rsid w:val="006F2DC5"/>
    <w:rsid w:val="006F2E71"/>
    <w:rsid w:val="006F2F4A"/>
    <w:rsid w:val="006F3006"/>
    <w:rsid w:val="006F3150"/>
    <w:rsid w:val="006F3190"/>
    <w:rsid w:val="006F32C4"/>
    <w:rsid w:val="006F34F9"/>
    <w:rsid w:val="006F36FA"/>
    <w:rsid w:val="006F3AF5"/>
    <w:rsid w:val="006F3CC0"/>
    <w:rsid w:val="006F4474"/>
    <w:rsid w:val="006F4887"/>
    <w:rsid w:val="006F526B"/>
    <w:rsid w:val="006F59E3"/>
    <w:rsid w:val="006F5A46"/>
    <w:rsid w:val="006F6348"/>
    <w:rsid w:val="006F6820"/>
    <w:rsid w:val="006F6A78"/>
    <w:rsid w:val="006F6B00"/>
    <w:rsid w:val="006F6B04"/>
    <w:rsid w:val="006F6C87"/>
    <w:rsid w:val="006F6E7F"/>
    <w:rsid w:val="006F6EA7"/>
    <w:rsid w:val="006F7413"/>
    <w:rsid w:val="006F7626"/>
    <w:rsid w:val="006F7A4F"/>
    <w:rsid w:val="006FF3F0"/>
    <w:rsid w:val="007008C7"/>
    <w:rsid w:val="00700C54"/>
    <w:rsid w:val="00700CE7"/>
    <w:rsid w:val="007013D2"/>
    <w:rsid w:val="00701795"/>
    <w:rsid w:val="007017C6"/>
    <w:rsid w:val="00701D02"/>
    <w:rsid w:val="00701DB9"/>
    <w:rsid w:val="00702781"/>
    <w:rsid w:val="00703978"/>
    <w:rsid w:val="00704688"/>
    <w:rsid w:val="007050C9"/>
    <w:rsid w:val="00705923"/>
    <w:rsid w:val="00705B70"/>
    <w:rsid w:val="00706A74"/>
    <w:rsid w:val="00706CF9"/>
    <w:rsid w:val="00706ECB"/>
    <w:rsid w:val="00707309"/>
    <w:rsid w:val="0070F736"/>
    <w:rsid w:val="007100D8"/>
    <w:rsid w:val="0071039E"/>
    <w:rsid w:val="00710853"/>
    <w:rsid w:val="00710983"/>
    <w:rsid w:val="007110AC"/>
    <w:rsid w:val="007112A3"/>
    <w:rsid w:val="007115C8"/>
    <w:rsid w:val="007117CF"/>
    <w:rsid w:val="00711B83"/>
    <w:rsid w:val="00711CD0"/>
    <w:rsid w:val="00711DB9"/>
    <w:rsid w:val="00711FDB"/>
    <w:rsid w:val="007127EF"/>
    <w:rsid w:val="00712FCC"/>
    <w:rsid w:val="00713C4D"/>
    <w:rsid w:val="00714AE9"/>
    <w:rsid w:val="00714B83"/>
    <w:rsid w:val="00714F94"/>
    <w:rsid w:val="0071533D"/>
    <w:rsid w:val="007154CF"/>
    <w:rsid w:val="0071558A"/>
    <w:rsid w:val="0071584C"/>
    <w:rsid w:val="007166C7"/>
    <w:rsid w:val="00716957"/>
    <w:rsid w:val="00716983"/>
    <w:rsid w:val="00716A21"/>
    <w:rsid w:val="00716CFC"/>
    <w:rsid w:val="00716F9E"/>
    <w:rsid w:val="00717011"/>
    <w:rsid w:val="007171E8"/>
    <w:rsid w:val="00717A9C"/>
    <w:rsid w:val="00717AF8"/>
    <w:rsid w:val="00717F40"/>
    <w:rsid w:val="007204AE"/>
    <w:rsid w:val="007209B0"/>
    <w:rsid w:val="007211AE"/>
    <w:rsid w:val="0072132C"/>
    <w:rsid w:val="00721580"/>
    <w:rsid w:val="007222BA"/>
    <w:rsid w:val="00722CB1"/>
    <w:rsid w:val="00723ECF"/>
    <w:rsid w:val="00723EF6"/>
    <w:rsid w:val="007242D4"/>
    <w:rsid w:val="00724E20"/>
    <w:rsid w:val="00725430"/>
    <w:rsid w:val="0072562A"/>
    <w:rsid w:val="00725C8C"/>
    <w:rsid w:val="00725D48"/>
    <w:rsid w:val="0072607E"/>
    <w:rsid w:val="00726AB8"/>
    <w:rsid w:val="00726C97"/>
    <w:rsid w:val="00726DAF"/>
    <w:rsid w:val="00726EBB"/>
    <w:rsid w:val="00727836"/>
    <w:rsid w:val="00727898"/>
    <w:rsid w:val="007300B4"/>
    <w:rsid w:val="0073012A"/>
    <w:rsid w:val="0073048E"/>
    <w:rsid w:val="0073074B"/>
    <w:rsid w:val="0073075D"/>
    <w:rsid w:val="00730FC8"/>
    <w:rsid w:val="007319CB"/>
    <w:rsid w:val="00731B25"/>
    <w:rsid w:val="00731B8D"/>
    <w:rsid w:val="00732327"/>
    <w:rsid w:val="00732B8B"/>
    <w:rsid w:val="00732B9F"/>
    <w:rsid w:val="00733356"/>
    <w:rsid w:val="007337FB"/>
    <w:rsid w:val="00733854"/>
    <w:rsid w:val="00733C43"/>
    <w:rsid w:val="00733DA9"/>
    <w:rsid w:val="00733DCF"/>
    <w:rsid w:val="00733F78"/>
    <w:rsid w:val="007344C2"/>
    <w:rsid w:val="0073494C"/>
    <w:rsid w:val="00734BCC"/>
    <w:rsid w:val="00734E69"/>
    <w:rsid w:val="007354BD"/>
    <w:rsid w:val="007354EE"/>
    <w:rsid w:val="0073561D"/>
    <w:rsid w:val="00735987"/>
    <w:rsid w:val="007359C5"/>
    <w:rsid w:val="00735AB4"/>
    <w:rsid w:val="00735CA9"/>
    <w:rsid w:val="007360F4"/>
    <w:rsid w:val="007362D5"/>
    <w:rsid w:val="007363BE"/>
    <w:rsid w:val="00736656"/>
    <w:rsid w:val="00736CD5"/>
    <w:rsid w:val="00736E7C"/>
    <w:rsid w:val="0073779E"/>
    <w:rsid w:val="00737C42"/>
    <w:rsid w:val="00740AA8"/>
    <w:rsid w:val="00740B5E"/>
    <w:rsid w:val="00741214"/>
    <w:rsid w:val="00741518"/>
    <w:rsid w:val="0074169F"/>
    <w:rsid w:val="007428E7"/>
    <w:rsid w:val="0074291D"/>
    <w:rsid w:val="00742B28"/>
    <w:rsid w:val="00742CE9"/>
    <w:rsid w:val="007430BE"/>
    <w:rsid w:val="00743106"/>
    <w:rsid w:val="00743291"/>
    <w:rsid w:val="007433C3"/>
    <w:rsid w:val="007434C3"/>
    <w:rsid w:val="007435A2"/>
    <w:rsid w:val="00743CEB"/>
    <w:rsid w:val="00743E84"/>
    <w:rsid w:val="007441AD"/>
    <w:rsid w:val="007442FA"/>
    <w:rsid w:val="00744670"/>
    <w:rsid w:val="00745465"/>
    <w:rsid w:val="007458EC"/>
    <w:rsid w:val="00746BD8"/>
    <w:rsid w:val="00746FCA"/>
    <w:rsid w:val="00747021"/>
    <w:rsid w:val="00747460"/>
    <w:rsid w:val="0074766F"/>
    <w:rsid w:val="007502A6"/>
    <w:rsid w:val="00750348"/>
    <w:rsid w:val="007507B3"/>
    <w:rsid w:val="007507BB"/>
    <w:rsid w:val="00750ED8"/>
    <w:rsid w:val="00751689"/>
    <w:rsid w:val="007516A1"/>
    <w:rsid w:val="00751F90"/>
    <w:rsid w:val="00752628"/>
    <w:rsid w:val="00752704"/>
    <w:rsid w:val="00752A7D"/>
    <w:rsid w:val="00752D21"/>
    <w:rsid w:val="00752E4C"/>
    <w:rsid w:val="007531AD"/>
    <w:rsid w:val="0075336A"/>
    <w:rsid w:val="0075339B"/>
    <w:rsid w:val="00753721"/>
    <w:rsid w:val="007539AE"/>
    <w:rsid w:val="00753E6C"/>
    <w:rsid w:val="00754406"/>
    <w:rsid w:val="00754D2A"/>
    <w:rsid w:val="00755476"/>
    <w:rsid w:val="007557B6"/>
    <w:rsid w:val="00755840"/>
    <w:rsid w:val="007558D1"/>
    <w:rsid w:val="0075591E"/>
    <w:rsid w:val="00755F76"/>
    <w:rsid w:val="00756213"/>
    <w:rsid w:val="00756215"/>
    <w:rsid w:val="00756551"/>
    <w:rsid w:val="007565BD"/>
    <w:rsid w:val="007566C1"/>
    <w:rsid w:val="007567D2"/>
    <w:rsid w:val="00756AC8"/>
    <w:rsid w:val="00756B5C"/>
    <w:rsid w:val="0075754C"/>
    <w:rsid w:val="00757862"/>
    <w:rsid w:val="007600C8"/>
    <w:rsid w:val="00760737"/>
    <w:rsid w:val="00760949"/>
    <w:rsid w:val="00760CEC"/>
    <w:rsid w:val="00761045"/>
    <w:rsid w:val="00761076"/>
    <w:rsid w:val="007613C5"/>
    <w:rsid w:val="0076186C"/>
    <w:rsid w:val="00761A44"/>
    <w:rsid w:val="00762CC2"/>
    <w:rsid w:val="00762CCC"/>
    <w:rsid w:val="00762CF7"/>
    <w:rsid w:val="00762F3D"/>
    <w:rsid w:val="00763685"/>
    <w:rsid w:val="00763EA9"/>
    <w:rsid w:val="0076416E"/>
    <w:rsid w:val="007645A2"/>
    <w:rsid w:val="00764BEF"/>
    <w:rsid w:val="007650B9"/>
    <w:rsid w:val="00765259"/>
    <w:rsid w:val="007655E4"/>
    <w:rsid w:val="00765ABB"/>
    <w:rsid w:val="00765BC5"/>
    <w:rsid w:val="00765CB2"/>
    <w:rsid w:val="00765FC4"/>
    <w:rsid w:val="00766005"/>
    <w:rsid w:val="007661BB"/>
    <w:rsid w:val="0076633E"/>
    <w:rsid w:val="0076671E"/>
    <w:rsid w:val="0076684D"/>
    <w:rsid w:val="00766D67"/>
    <w:rsid w:val="0076742A"/>
    <w:rsid w:val="00767436"/>
    <w:rsid w:val="007677C2"/>
    <w:rsid w:val="00767ADA"/>
    <w:rsid w:val="00767AFC"/>
    <w:rsid w:val="00770151"/>
    <w:rsid w:val="00770358"/>
    <w:rsid w:val="00770735"/>
    <w:rsid w:val="00770C7A"/>
    <w:rsid w:val="00770E1E"/>
    <w:rsid w:val="00771202"/>
    <w:rsid w:val="0077135E"/>
    <w:rsid w:val="00771A24"/>
    <w:rsid w:val="00771EE6"/>
    <w:rsid w:val="00771FD6"/>
    <w:rsid w:val="00772891"/>
    <w:rsid w:val="00772C60"/>
    <w:rsid w:val="00773257"/>
    <w:rsid w:val="00774045"/>
    <w:rsid w:val="007740E0"/>
    <w:rsid w:val="007740E3"/>
    <w:rsid w:val="00774787"/>
    <w:rsid w:val="00774861"/>
    <w:rsid w:val="00774894"/>
    <w:rsid w:val="00774D10"/>
    <w:rsid w:val="007758AF"/>
    <w:rsid w:val="00776369"/>
    <w:rsid w:val="0077685A"/>
    <w:rsid w:val="00776E19"/>
    <w:rsid w:val="0077709F"/>
    <w:rsid w:val="007775EB"/>
    <w:rsid w:val="00777E17"/>
    <w:rsid w:val="00780106"/>
    <w:rsid w:val="00780232"/>
    <w:rsid w:val="007805E5"/>
    <w:rsid w:val="00780766"/>
    <w:rsid w:val="00780BBD"/>
    <w:rsid w:val="00781A9F"/>
    <w:rsid w:val="00781D9C"/>
    <w:rsid w:val="00782D67"/>
    <w:rsid w:val="00782DCD"/>
    <w:rsid w:val="00782E05"/>
    <w:rsid w:val="007831D6"/>
    <w:rsid w:val="00783326"/>
    <w:rsid w:val="0078362C"/>
    <w:rsid w:val="0078372B"/>
    <w:rsid w:val="00783EAA"/>
    <w:rsid w:val="0078464A"/>
    <w:rsid w:val="007847A7"/>
    <w:rsid w:val="007852A6"/>
    <w:rsid w:val="007856A3"/>
    <w:rsid w:val="00785FC5"/>
    <w:rsid w:val="0078649B"/>
    <w:rsid w:val="0078681C"/>
    <w:rsid w:val="007869B9"/>
    <w:rsid w:val="00786A2F"/>
    <w:rsid w:val="00786DEF"/>
    <w:rsid w:val="00786F1C"/>
    <w:rsid w:val="00786F57"/>
    <w:rsid w:val="0078714D"/>
    <w:rsid w:val="00787C27"/>
    <w:rsid w:val="00790061"/>
    <w:rsid w:val="00790560"/>
    <w:rsid w:val="00790CC4"/>
    <w:rsid w:val="007912E2"/>
    <w:rsid w:val="007913BE"/>
    <w:rsid w:val="00792CE6"/>
    <w:rsid w:val="007934DE"/>
    <w:rsid w:val="007937A0"/>
    <w:rsid w:val="00793A60"/>
    <w:rsid w:val="00793ECA"/>
    <w:rsid w:val="00794096"/>
    <w:rsid w:val="007940CD"/>
    <w:rsid w:val="00794492"/>
    <w:rsid w:val="007948CE"/>
    <w:rsid w:val="00794B5C"/>
    <w:rsid w:val="007950D6"/>
    <w:rsid w:val="00795DD0"/>
    <w:rsid w:val="00795E22"/>
    <w:rsid w:val="00795E2C"/>
    <w:rsid w:val="00796217"/>
    <w:rsid w:val="007963B4"/>
    <w:rsid w:val="0079666E"/>
    <w:rsid w:val="00796FA2"/>
    <w:rsid w:val="007971DA"/>
    <w:rsid w:val="007972F9"/>
    <w:rsid w:val="0079776C"/>
    <w:rsid w:val="00797AA7"/>
    <w:rsid w:val="00797E63"/>
    <w:rsid w:val="00797F2F"/>
    <w:rsid w:val="007A00E2"/>
    <w:rsid w:val="007A06A2"/>
    <w:rsid w:val="007A0B26"/>
    <w:rsid w:val="007A1724"/>
    <w:rsid w:val="007A1E28"/>
    <w:rsid w:val="007A21F1"/>
    <w:rsid w:val="007A220A"/>
    <w:rsid w:val="007A26A1"/>
    <w:rsid w:val="007A2928"/>
    <w:rsid w:val="007A2BE4"/>
    <w:rsid w:val="007A342F"/>
    <w:rsid w:val="007A3478"/>
    <w:rsid w:val="007A4154"/>
    <w:rsid w:val="007A42F7"/>
    <w:rsid w:val="007A43C2"/>
    <w:rsid w:val="007A43D4"/>
    <w:rsid w:val="007A48C1"/>
    <w:rsid w:val="007A5428"/>
    <w:rsid w:val="007A56A7"/>
    <w:rsid w:val="007A56E4"/>
    <w:rsid w:val="007A588C"/>
    <w:rsid w:val="007A5C2C"/>
    <w:rsid w:val="007A5E97"/>
    <w:rsid w:val="007A665C"/>
    <w:rsid w:val="007A6AC2"/>
    <w:rsid w:val="007A6DC9"/>
    <w:rsid w:val="007A723E"/>
    <w:rsid w:val="007A72F3"/>
    <w:rsid w:val="007A7397"/>
    <w:rsid w:val="007A777B"/>
    <w:rsid w:val="007A7A0D"/>
    <w:rsid w:val="007A7E33"/>
    <w:rsid w:val="007A7FA6"/>
    <w:rsid w:val="007B0BB6"/>
    <w:rsid w:val="007B1649"/>
    <w:rsid w:val="007B17B8"/>
    <w:rsid w:val="007B24BB"/>
    <w:rsid w:val="007B262F"/>
    <w:rsid w:val="007B2AC0"/>
    <w:rsid w:val="007B2DFB"/>
    <w:rsid w:val="007B2DFE"/>
    <w:rsid w:val="007B2E10"/>
    <w:rsid w:val="007B34B3"/>
    <w:rsid w:val="007B3BD6"/>
    <w:rsid w:val="007B3D1C"/>
    <w:rsid w:val="007B3D5A"/>
    <w:rsid w:val="007B3DDD"/>
    <w:rsid w:val="007B4851"/>
    <w:rsid w:val="007B5350"/>
    <w:rsid w:val="007B62A7"/>
    <w:rsid w:val="007B63AB"/>
    <w:rsid w:val="007B674F"/>
    <w:rsid w:val="007B6855"/>
    <w:rsid w:val="007B68A1"/>
    <w:rsid w:val="007B68A7"/>
    <w:rsid w:val="007B6ACA"/>
    <w:rsid w:val="007B6C21"/>
    <w:rsid w:val="007B7A32"/>
    <w:rsid w:val="007B7E27"/>
    <w:rsid w:val="007B7E8C"/>
    <w:rsid w:val="007C058D"/>
    <w:rsid w:val="007C08AF"/>
    <w:rsid w:val="007C1086"/>
    <w:rsid w:val="007C1AE7"/>
    <w:rsid w:val="007C1C41"/>
    <w:rsid w:val="007C20EB"/>
    <w:rsid w:val="007C213C"/>
    <w:rsid w:val="007C2424"/>
    <w:rsid w:val="007C2612"/>
    <w:rsid w:val="007C2730"/>
    <w:rsid w:val="007C29FD"/>
    <w:rsid w:val="007C2FFC"/>
    <w:rsid w:val="007C3A42"/>
    <w:rsid w:val="007C3E2B"/>
    <w:rsid w:val="007C4333"/>
    <w:rsid w:val="007C45B8"/>
    <w:rsid w:val="007C51F2"/>
    <w:rsid w:val="007C560B"/>
    <w:rsid w:val="007C56E0"/>
    <w:rsid w:val="007C58B2"/>
    <w:rsid w:val="007C6109"/>
    <w:rsid w:val="007C6519"/>
    <w:rsid w:val="007C6CCD"/>
    <w:rsid w:val="007C72E9"/>
    <w:rsid w:val="007C786A"/>
    <w:rsid w:val="007D0009"/>
    <w:rsid w:val="007D0434"/>
    <w:rsid w:val="007D051B"/>
    <w:rsid w:val="007D08C6"/>
    <w:rsid w:val="007D0CA5"/>
    <w:rsid w:val="007D0E18"/>
    <w:rsid w:val="007D106B"/>
    <w:rsid w:val="007D1172"/>
    <w:rsid w:val="007D156D"/>
    <w:rsid w:val="007D176F"/>
    <w:rsid w:val="007D17BD"/>
    <w:rsid w:val="007D19ED"/>
    <w:rsid w:val="007D1C30"/>
    <w:rsid w:val="007D1CE5"/>
    <w:rsid w:val="007D1FB7"/>
    <w:rsid w:val="007D2319"/>
    <w:rsid w:val="007D2797"/>
    <w:rsid w:val="007D2A39"/>
    <w:rsid w:val="007D327B"/>
    <w:rsid w:val="007D32F2"/>
    <w:rsid w:val="007D364F"/>
    <w:rsid w:val="007D3CD0"/>
    <w:rsid w:val="007D3CD8"/>
    <w:rsid w:val="007D40EF"/>
    <w:rsid w:val="007D45AC"/>
    <w:rsid w:val="007D4DED"/>
    <w:rsid w:val="007D5254"/>
    <w:rsid w:val="007D5338"/>
    <w:rsid w:val="007D5A2A"/>
    <w:rsid w:val="007D5FA7"/>
    <w:rsid w:val="007D629E"/>
    <w:rsid w:val="007D6389"/>
    <w:rsid w:val="007D67C3"/>
    <w:rsid w:val="007D6B34"/>
    <w:rsid w:val="007D6E01"/>
    <w:rsid w:val="007D6F97"/>
    <w:rsid w:val="007D6FC8"/>
    <w:rsid w:val="007D6FF7"/>
    <w:rsid w:val="007D708C"/>
    <w:rsid w:val="007D7208"/>
    <w:rsid w:val="007D7325"/>
    <w:rsid w:val="007D77AD"/>
    <w:rsid w:val="007D7CA2"/>
    <w:rsid w:val="007D7EA1"/>
    <w:rsid w:val="007E0279"/>
    <w:rsid w:val="007E083C"/>
    <w:rsid w:val="007E0E5A"/>
    <w:rsid w:val="007E179C"/>
    <w:rsid w:val="007E1D28"/>
    <w:rsid w:val="007E1D8F"/>
    <w:rsid w:val="007E233E"/>
    <w:rsid w:val="007E27B9"/>
    <w:rsid w:val="007E349F"/>
    <w:rsid w:val="007E3AB9"/>
    <w:rsid w:val="007E3E74"/>
    <w:rsid w:val="007E47F1"/>
    <w:rsid w:val="007E520D"/>
    <w:rsid w:val="007E59E0"/>
    <w:rsid w:val="007E5AA5"/>
    <w:rsid w:val="007E5C81"/>
    <w:rsid w:val="007E5E46"/>
    <w:rsid w:val="007E6003"/>
    <w:rsid w:val="007E65D9"/>
    <w:rsid w:val="007E699B"/>
    <w:rsid w:val="007E6C7E"/>
    <w:rsid w:val="007E6F1A"/>
    <w:rsid w:val="007E7315"/>
    <w:rsid w:val="007E7592"/>
    <w:rsid w:val="007E7A5D"/>
    <w:rsid w:val="007E7A98"/>
    <w:rsid w:val="007E7B61"/>
    <w:rsid w:val="007F003C"/>
    <w:rsid w:val="007F02C2"/>
    <w:rsid w:val="007F033B"/>
    <w:rsid w:val="007F05A3"/>
    <w:rsid w:val="007F0955"/>
    <w:rsid w:val="007F0CD7"/>
    <w:rsid w:val="007F0FAE"/>
    <w:rsid w:val="007F1F34"/>
    <w:rsid w:val="007F207A"/>
    <w:rsid w:val="007F2457"/>
    <w:rsid w:val="007F2671"/>
    <w:rsid w:val="007F345A"/>
    <w:rsid w:val="007F4246"/>
    <w:rsid w:val="007F485E"/>
    <w:rsid w:val="007F4A98"/>
    <w:rsid w:val="007F4E98"/>
    <w:rsid w:val="007F5022"/>
    <w:rsid w:val="007F5B36"/>
    <w:rsid w:val="007F5BDA"/>
    <w:rsid w:val="007F69ED"/>
    <w:rsid w:val="007F6D36"/>
    <w:rsid w:val="007F6F29"/>
    <w:rsid w:val="007F71AB"/>
    <w:rsid w:val="007F79AA"/>
    <w:rsid w:val="007F7B4F"/>
    <w:rsid w:val="007F7C5C"/>
    <w:rsid w:val="00800366"/>
    <w:rsid w:val="008005E1"/>
    <w:rsid w:val="00800FDD"/>
    <w:rsid w:val="008014EA"/>
    <w:rsid w:val="008017D8"/>
    <w:rsid w:val="00802600"/>
    <w:rsid w:val="00802C97"/>
    <w:rsid w:val="008034F4"/>
    <w:rsid w:val="00803DBA"/>
    <w:rsid w:val="00804049"/>
    <w:rsid w:val="008040D0"/>
    <w:rsid w:val="00804220"/>
    <w:rsid w:val="008048A0"/>
    <w:rsid w:val="00804929"/>
    <w:rsid w:val="00804D70"/>
    <w:rsid w:val="00805B7A"/>
    <w:rsid w:val="008061E3"/>
    <w:rsid w:val="008064C5"/>
    <w:rsid w:val="00806A21"/>
    <w:rsid w:val="00806D86"/>
    <w:rsid w:val="00806E0A"/>
    <w:rsid w:val="0080744C"/>
    <w:rsid w:val="00807775"/>
    <w:rsid w:val="008078FB"/>
    <w:rsid w:val="00807B34"/>
    <w:rsid w:val="00807B57"/>
    <w:rsid w:val="00810124"/>
    <w:rsid w:val="008103DF"/>
    <w:rsid w:val="008106B6"/>
    <w:rsid w:val="0081085B"/>
    <w:rsid w:val="00810B0E"/>
    <w:rsid w:val="00810C44"/>
    <w:rsid w:val="00810CC8"/>
    <w:rsid w:val="0081102A"/>
    <w:rsid w:val="00811066"/>
    <w:rsid w:val="00811394"/>
    <w:rsid w:val="00811410"/>
    <w:rsid w:val="00811743"/>
    <w:rsid w:val="00811942"/>
    <w:rsid w:val="00812063"/>
    <w:rsid w:val="0081213F"/>
    <w:rsid w:val="00812709"/>
    <w:rsid w:val="008127A8"/>
    <w:rsid w:val="00812817"/>
    <w:rsid w:val="00812B37"/>
    <w:rsid w:val="008133F4"/>
    <w:rsid w:val="0081387A"/>
    <w:rsid w:val="00813E7C"/>
    <w:rsid w:val="00814195"/>
    <w:rsid w:val="00814AF4"/>
    <w:rsid w:val="00814FE3"/>
    <w:rsid w:val="0081514A"/>
    <w:rsid w:val="008155B4"/>
    <w:rsid w:val="00815747"/>
    <w:rsid w:val="00815940"/>
    <w:rsid w:val="00815DC0"/>
    <w:rsid w:val="008161D7"/>
    <w:rsid w:val="00816221"/>
    <w:rsid w:val="00816AA0"/>
    <w:rsid w:val="00816ADB"/>
    <w:rsid w:val="0081718E"/>
    <w:rsid w:val="00817444"/>
    <w:rsid w:val="008175E9"/>
    <w:rsid w:val="00817B0B"/>
    <w:rsid w:val="00817F01"/>
    <w:rsid w:val="00820170"/>
    <w:rsid w:val="00820207"/>
    <w:rsid w:val="0082089D"/>
    <w:rsid w:val="00821278"/>
    <w:rsid w:val="008218CD"/>
    <w:rsid w:val="00821CE0"/>
    <w:rsid w:val="00822558"/>
    <w:rsid w:val="0082260E"/>
    <w:rsid w:val="00822758"/>
    <w:rsid w:val="008227EF"/>
    <w:rsid w:val="00823047"/>
    <w:rsid w:val="00823385"/>
    <w:rsid w:val="008234D8"/>
    <w:rsid w:val="00823625"/>
    <w:rsid w:val="00823F4C"/>
    <w:rsid w:val="008249A6"/>
    <w:rsid w:val="00824CF3"/>
    <w:rsid w:val="00824FFE"/>
    <w:rsid w:val="008256A2"/>
    <w:rsid w:val="00825F39"/>
    <w:rsid w:val="008261C4"/>
    <w:rsid w:val="00826602"/>
    <w:rsid w:val="008266BE"/>
    <w:rsid w:val="00826870"/>
    <w:rsid w:val="00826ABC"/>
    <w:rsid w:val="00827228"/>
    <w:rsid w:val="00827603"/>
    <w:rsid w:val="00827B43"/>
    <w:rsid w:val="00827BA3"/>
    <w:rsid w:val="00830521"/>
    <w:rsid w:val="00830D06"/>
    <w:rsid w:val="00830E2D"/>
    <w:rsid w:val="00830EF8"/>
    <w:rsid w:val="00830F9A"/>
    <w:rsid w:val="008310DD"/>
    <w:rsid w:val="0083153E"/>
    <w:rsid w:val="0083171F"/>
    <w:rsid w:val="0083182F"/>
    <w:rsid w:val="008318F7"/>
    <w:rsid w:val="008324FB"/>
    <w:rsid w:val="00833120"/>
    <w:rsid w:val="00833175"/>
    <w:rsid w:val="00833B5F"/>
    <w:rsid w:val="00833DF9"/>
    <w:rsid w:val="00834445"/>
    <w:rsid w:val="008347D2"/>
    <w:rsid w:val="00834A6D"/>
    <w:rsid w:val="00834F40"/>
    <w:rsid w:val="008354D6"/>
    <w:rsid w:val="008364A5"/>
    <w:rsid w:val="008366F8"/>
    <w:rsid w:val="008369FA"/>
    <w:rsid w:val="00836BBF"/>
    <w:rsid w:val="00836BEE"/>
    <w:rsid w:val="00836D4F"/>
    <w:rsid w:val="0083728E"/>
    <w:rsid w:val="0083781A"/>
    <w:rsid w:val="00837F1C"/>
    <w:rsid w:val="008404D0"/>
    <w:rsid w:val="00841035"/>
    <w:rsid w:val="008412E1"/>
    <w:rsid w:val="0084177C"/>
    <w:rsid w:val="00841A79"/>
    <w:rsid w:val="00841F43"/>
    <w:rsid w:val="0084278C"/>
    <w:rsid w:val="00842F24"/>
    <w:rsid w:val="00843300"/>
    <w:rsid w:val="00843C67"/>
    <w:rsid w:val="00843FB4"/>
    <w:rsid w:val="00844459"/>
    <w:rsid w:val="008445CF"/>
    <w:rsid w:val="00844DC5"/>
    <w:rsid w:val="00844E0D"/>
    <w:rsid w:val="00844F42"/>
    <w:rsid w:val="0084592A"/>
    <w:rsid w:val="008461F0"/>
    <w:rsid w:val="00846200"/>
    <w:rsid w:val="0084623A"/>
    <w:rsid w:val="00846C8D"/>
    <w:rsid w:val="00847573"/>
    <w:rsid w:val="008477B6"/>
    <w:rsid w:val="00847D9D"/>
    <w:rsid w:val="008500AF"/>
    <w:rsid w:val="00850EC1"/>
    <w:rsid w:val="00851120"/>
    <w:rsid w:val="008516E5"/>
    <w:rsid w:val="00851A3B"/>
    <w:rsid w:val="00851BC7"/>
    <w:rsid w:val="0085225D"/>
    <w:rsid w:val="008528A2"/>
    <w:rsid w:val="00852FF0"/>
    <w:rsid w:val="00853057"/>
    <w:rsid w:val="00853418"/>
    <w:rsid w:val="0085347E"/>
    <w:rsid w:val="00853869"/>
    <w:rsid w:val="00853BD9"/>
    <w:rsid w:val="008540EA"/>
    <w:rsid w:val="00854119"/>
    <w:rsid w:val="00854B97"/>
    <w:rsid w:val="00854DDE"/>
    <w:rsid w:val="00854EA6"/>
    <w:rsid w:val="00854EBD"/>
    <w:rsid w:val="008551BE"/>
    <w:rsid w:val="008555AB"/>
    <w:rsid w:val="00855B94"/>
    <w:rsid w:val="00856A38"/>
    <w:rsid w:val="00856E61"/>
    <w:rsid w:val="00857018"/>
    <w:rsid w:val="0085729E"/>
    <w:rsid w:val="008572C7"/>
    <w:rsid w:val="008578D7"/>
    <w:rsid w:val="00857B0C"/>
    <w:rsid w:val="00857D58"/>
    <w:rsid w:val="008604F1"/>
    <w:rsid w:val="00860B1E"/>
    <w:rsid w:val="00860C71"/>
    <w:rsid w:val="00860F5F"/>
    <w:rsid w:val="008611C9"/>
    <w:rsid w:val="008611E9"/>
    <w:rsid w:val="00861452"/>
    <w:rsid w:val="0086165F"/>
    <w:rsid w:val="008618EF"/>
    <w:rsid w:val="00861B1F"/>
    <w:rsid w:val="008620BB"/>
    <w:rsid w:val="00862655"/>
    <w:rsid w:val="00862739"/>
    <w:rsid w:val="00862808"/>
    <w:rsid w:val="0086286C"/>
    <w:rsid w:val="008629BC"/>
    <w:rsid w:val="00862AC3"/>
    <w:rsid w:val="00862D9B"/>
    <w:rsid w:val="008638DB"/>
    <w:rsid w:val="00863969"/>
    <w:rsid w:val="00863970"/>
    <w:rsid w:val="0086490C"/>
    <w:rsid w:val="00864964"/>
    <w:rsid w:val="00864D07"/>
    <w:rsid w:val="00865473"/>
    <w:rsid w:val="00865BFE"/>
    <w:rsid w:val="00865D8D"/>
    <w:rsid w:val="00866578"/>
    <w:rsid w:val="00866C61"/>
    <w:rsid w:val="00867201"/>
    <w:rsid w:val="008679A6"/>
    <w:rsid w:val="00867F4C"/>
    <w:rsid w:val="0086EDEC"/>
    <w:rsid w:val="00870362"/>
    <w:rsid w:val="00870B3A"/>
    <w:rsid w:val="0087109A"/>
    <w:rsid w:val="008715CA"/>
    <w:rsid w:val="00871838"/>
    <w:rsid w:val="00871AFB"/>
    <w:rsid w:val="0087209B"/>
    <w:rsid w:val="008729EE"/>
    <w:rsid w:val="00872B40"/>
    <w:rsid w:val="00872CA6"/>
    <w:rsid w:val="0087350D"/>
    <w:rsid w:val="008736F7"/>
    <w:rsid w:val="00873A3C"/>
    <w:rsid w:val="00873E4B"/>
    <w:rsid w:val="00873F06"/>
    <w:rsid w:val="00874423"/>
    <w:rsid w:val="00874ADA"/>
    <w:rsid w:val="00874EDA"/>
    <w:rsid w:val="008750D5"/>
    <w:rsid w:val="00875430"/>
    <w:rsid w:val="008755AB"/>
    <w:rsid w:val="00875CD7"/>
    <w:rsid w:val="00875CE1"/>
    <w:rsid w:val="00875D7B"/>
    <w:rsid w:val="00875E75"/>
    <w:rsid w:val="00877921"/>
    <w:rsid w:val="00877C55"/>
    <w:rsid w:val="00877F40"/>
    <w:rsid w:val="008803A3"/>
    <w:rsid w:val="008803EB"/>
    <w:rsid w:val="00881004"/>
    <w:rsid w:val="0088198D"/>
    <w:rsid w:val="00881A02"/>
    <w:rsid w:val="00881CE0"/>
    <w:rsid w:val="00881F41"/>
    <w:rsid w:val="008820AE"/>
    <w:rsid w:val="00882898"/>
    <w:rsid w:val="00882F55"/>
    <w:rsid w:val="00882F60"/>
    <w:rsid w:val="00883582"/>
    <w:rsid w:val="00883913"/>
    <w:rsid w:val="00883FDC"/>
    <w:rsid w:val="00884324"/>
    <w:rsid w:val="00884CF9"/>
    <w:rsid w:val="00884F0A"/>
    <w:rsid w:val="0088544A"/>
    <w:rsid w:val="0088579F"/>
    <w:rsid w:val="00885932"/>
    <w:rsid w:val="008859B4"/>
    <w:rsid w:val="00885AA6"/>
    <w:rsid w:val="00886622"/>
    <w:rsid w:val="00886A3C"/>
    <w:rsid w:val="00886E5F"/>
    <w:rsid w:val="00887B73"/>
    <w:rsid w:val="00890098"/>
    <w:rsid w:val="0089032C"/>
    <w:rsid w:val="0089059A"/>
    <w:rsid w:val="00891072"/>
    <w:rsid w:val="00891540"/>
    <w:rsid w:val="00891BB8"/>
    <w:rsid w:val="0089256B"/>
    <w:rsid w:val="008927FD"/>
    <w:rsid w:val="008932A2"/>
    <w:rsid w:val="00893626"/>
    <w:rsid w:val="0089363F"/>
    <w:rsid w:val="00893855"/>
    <w:rsid w:val="008939DE"/>
    <w:rsid w:val="00894802"/>
    <w:rsid w:val="00894E41"/>
    <w:rsid w:val="00894E7F"/>
    <w:rsid w:val="008950BA"/>
    <w:rsid w:val="008951F1"/>
    <w:rsid w:val="008953F1"/>
    <w:rsid w:val="0089565A"/>
    <w:rsid w:val="00895E98"/>
    <w:rsid w:val="00895FB0"/>
    <w:rsid w:val="008963BE"/>
    <w:rsid w:val="008967CA"/>
    <w:rsid w:val="008968B7"/>
    <w:rsid w:val="00896EE9"/>
    <w:rsid w:val="008973BC"/>
    <w:rsid w:val="0089742F"/>
    <w:rsid w:val="00897762"/>
    <w:rsid w:val="008977F0"/>
    <w:rsid w:val="00897DC9"/>
    <w:rsid w:val="008A0241"/>
    <w:rsid w:val="008A0669"/>
    <w:rsid w:val="008A0B0F"/>
    <w:rsid w:val="008A0E87"/>
    <w:rsid w:val="008A119E"/>
    <w:rsid w:val="008A266B"/>
    <w:rsid w:val="008A27C9"/>
    <w:rsid w:val="008A3148"/>
    <w:rsid w:val="008A3412"/>
    <w:rsid w:val="008A34B5"/>
    <w:rsid w:val="008A3659"/>
    <w:rsid w:val="008A3841"/>
    <w:rsid w:val="008A3BD5"/>
    <w:rsid w:val="008A4154"/>
    <w:rsid w:val="008A435D"/>
    <w:rsid w:val="008A43C1"/>
    <w:rsid w:val="008A48D3"/>
    <w:rsid w:val="008A5067"/>
    <w:rsid w:val="008A526F"/>
    <w:rsid w:val="008A5724"/>
    <w:rsid w:val="008A5941"/>
    <w:rsid w:val="008A5B99"/>
    <w:rsid w:val="008A5F3F"/>
    <w:rsid w:val="008A6296"/>
    <w:rsid w:val="008A6BA6"/>
    <w:rsid w:val="008A7363"/>
    <w:rsid w:val="008A7A88"/>
    <w:rsid w:val="008A7AA3"/>
    <w:rsid w:val="008A7C57"/>
    <w:rsid w:val="008B004E"/>
    <w:rsid w:val="008B013B"/>
    <w:rsid w:val="008B0235"/>
    <w:rsid w:val="008B051E"/>
    <w:rsid w:val="008B1204"/>
    <w:rsid w:val="008B134C"/>
    <w:rsid w:val="008B1584"/>
    <w:rsid w:val="008B173E"/>
    <w:rsid w:val="008B1ACB"/>
    <w:rsid w:val="008B1C8C"/>
    <w:rsid w:val="008B2472"/>
    <w:rsid w:val="008B24C2"/>
    <w:rsid w:val="008B2748"/>
    <w:rsid w:val="008B28D0"/>
    <w:rsid w:val="008B2918"/>
    <w:rsid w:val="008B2BD0"/>
    <w:rsid w:val="008B3029"/>
    <w:rsid w:val="008B39DA"/>
    <w:rsid w:val="008B3A8E"/>
    <w:rsid w:val="008B3CEF"/>
    <w:rsid w:val="008B43BD"/>
    <w:rsid w:val="008B49DD"/>
    <w:rsid w:val="008B4BD2"/>
    <w:rsid w:val="008B4FEB"/>
    <w:rsid w:val="008B5174"/>
    <w:rsid w:val="008B5451"/>
    <w:rsid w:val="008B546D"/>
    <w:rsid w:val="008B57E5"/>
    <w:rsid w:val="008B581E"/>
    <w:rsid w:val="008B5C4D"/>
    <w:rsid w:val="008B60CB"/>
    <w:rsid w:val="008B6161"/>
    <w:rsid w:val="008B6285"/>
    <w:rsid w:val="008B6690"/>
    <w:rsid w:val="008B6D6D"/>
    <w:rsid w:val="008C00CF"/>
    <w:rsid w:val="008C0610"/>
    <w:rsid w:val="008C0E8D"/>
    <w:rsid w:val="008C1103"/>
    <w:rsid w:val="008C198C"/>
    <w:rsid w:val="008C1A37"/>
    <w:rsid w:val="008C200B"/>
    <w:rsid w:val="008C2028"/>
    <w:rsid w:val="008C21A3"/>
    <w:rsid w:val="008C2274"/>
    <w:rsid w:val="008C2779"/>
    <w:rsid w:val="008C2BBD"/>
    <w:rsid w:val="008C2DF8"/>
    <w:rsid w:val="008C380B"/>
    <w:rsid w:val="008C3B48"/>
    <w:rsid w:val="008C3D85"/>
    <w:rsid w:val="008C4AB4"/>
    <w:rsid w:val="008C4FF4"/>
    <w:rsid w:val="008C5741"/>
    <w:rsid w:val="008C58AA"/>
    <w:rsid w:val="008C5F4A"/>
    <w:rsid w:val="008C62C8"/>
    <w:rsid w:val="008C6D2E"/>
    <w:rsid w:val="008C6E30"/>
    <w:rsid w:val="008C6E79"/>
    <w:rsid w:val="008C7063"/>
    <w:rsid w:val="008C7844"/>
    <w:rsid w:val="008C7DD1"/>
    <w:rsid w:val="008D0612"/>
    <w:rsid w:val="008D0C43"/>
    <w:rsid w:val="008D0EE8"/>
    <w:rsid w:val="008D191F"/>
    <w:rsid w:val="008D1D08"/>
    <w:rsid w:val="008D2EE1"/>
    <w:rsid w:val="008D3472"/>
    <w:rsid w:val="008D3784"/>
    <w:rsid w:val="008D383A"/>
    <w:rsid w:val="008D4253"/>
    <w:rsid w:val="008D4286"/>
    <w:rsid w:val="008D4457"/>
    <w:rsid w:val="008D45A2"/>
    <w:rsid w:val="008D46AB"/>
    <w:rsid w:val="008D4A2A"/>
    <w:rsid w:val="008D5776"/>
    <w:rsid w:val="008D58AD"/>
    <w:rsid w:val="008D5D84"/>
    <w:rsid w:val="008D6065"/>
    <w:rsid w:val="008D6AE9"/>
    <w:rsid w:val="008D714F"/>
    <w:rsid w:val="008D718C"/>
    <w:rsid w:val="008D7365"/>
    <w:rsid w:val="008D79FA"/>
    <w:rsid w:val="008D7BF1"/>
    <w:rsid w:val="008D7E2E"/>
    <w:rsid w:val="008D7FD4"/>
    <w:rsid w:val="008E073F"/>
    <w:rsid w:val="008E080A"/>
    <w:rsid w:val="008E0C0E"/>
    <w:rsid w:val="008E0F8A"/>
    <w:rsid w:val="008E175E"/>
    <w:rsid w:val="008E17B4"/>
    <w:rsid w:val="008E1A3F"/>
    <w:rsid w:val="008E1B26"/>
    <w:rsid w:val="008E1C3A"/>
    <w:rsid w:val="008E1D65"/>
    <w:rsid w:val="008E2725"/>
    <w:rsid w:val="008E2AE9"/>
    <w:rsid w:val="008E2AEF"/>
    <w:rsid w:val="008E35B5"/>
    <w:rsid w:val="008E3759"/>
    <w:rsid w:val="008E3867"/>
    <w:rsid w:val="008E3ABC"/>
    <w:rsid w:val="008E3F93"/>
    <w:rsid w:val="008E43C6"/>
    <w:rsid w:val="008E4BF5"/>
    <w:rsid w:val="008E5080"/>
    <w:rsid w:val="008E55B7"/>
    <w:rsid w:val="008E5843"/>
    <w:rsid w:val="008E599D"/>
    <w:rsid w:val="008E5E06"/>
    <w:rsid w:val="008E5FAE"/>
    <w:rsid w:val="008E6456"/>
    <w:rsid w:val="008E65B9"/>
    <w:rsid w:val="008E6BFF"/>
    <w:rsid w:val="008E74F0"/>
    <w:rsid w:val="008E7503"/>
    <w:rsid w:val="008E7B10"/>
    <w:rsid w:val="008E7C9D"/>
    <w:rsid w:val="008F01AB"/>
    <w:rsid w:val="008F029A"/>
    <w:rsid w:val="008F0403"/>
    <w:rsid w:val="008F0482"/>
    <w:rsid w:val="008F06DC"/>
    <w:rsid w:val="008F0B48"/>
    <w:rsid w:val="008F0DA9"/>
    <w:rsid w:val="008F16C0"/>
    <w:rsid w:val="008F1B41"/>
    <w:rsid w:val="008F230B"/>
    <w:rsid w:val="008F26D7"/>
    <w:rsid w:val="008F3866"/>
    <w:rsid w:val="008F41C2"/>
    <w:rsid w:val="008F47D1"/>
    <w:rsid w:val="008F5101"/>
    <w:rsid w:val="008F5A88"/>
    <w:rsid w:val="008F5D24"/>
    <w:rsid w:val="008F6473"/>
    <w:rsid w:val="008F64A7"/>
    <w:rsid w:val="008F675B"/>
    <w:rsid w:val="008F6F60"/>
    <w:rsid w:val="008F702B"/>
    <w:rsid w:val="008F7311"/>
    <w:rsid w:val="008F7BDF"/>
    <w:rsid w:val="0090018D"/>
    <w:rsid w:val="0090058D"/>
    <w:rsid w:val="00900A04"/>
    <w:rsid w:val="00900A7C"/>
    <w:rsid w:val="00900F5B"/>
    <w:rsid w:val="009011D1"/>
    <w:rsid w:val="009013B9"/>
    <w:rsid w:val="00901413"/>
    <w:rsid w:val="00901573"/>
    <w:rsid w:val="00901DF7"/>
    <w:rsid w:val="00901E2B"/>
    <w:rsid w:val="00901F13"/>
    <w:rsid w:val="00901F5A"/>
    <w:rsid w:val="0090215B"/>
    <w:rsid w:val="0090233E"/>
    <w:rsid w:val="009028CD"/>
    <w:rsid w:val="00902AFD"/>
    <w:rsid w:val="00902FB8"/>
    <w:rsid w:val="00903343"/>
    <w:rsid w:val="009036E0"/>
    <w:rsid w:val="0090375D"/>
    <w:rsid w:val="00904A2B"/>
    <w:rsid w:val="00904BE2"/>
    <w:rsid w:val="00904ECD"/>
    <w:rsid w:val="009052E3"/>
    <w:rsid w:val="009056A3"/>
    <w:rsid w:val="00905768"/>
    <w:rsid w:val="0090632D"/>
    <w:rsid w:val="009066F6"/>
    <w:rsid w:val="0090726B"/>
    <w:rsid w:val="0090764D"/>
    <w:rsid w:val="009077BB"/>
    <w:rsid w:val="00907CE8"/>
    <w:rsid w:val="00907FCD"/>
    <w:rsid w:val="0091022E"/>
    <w:rsid w:val="00910377"/>
    <w:rsid w:val="009106E3"/>
    <w:rsid w:val="00910A20"/>
    <w:rsid w:val="0091104E"/>
    <w:rsid w:val="009112D2"/>
    <w:rsid w:val="00911860"/>
    <w:rsid w:val="00911D14"/>
    <w:rsid w:val="00911ED4"/>
    <w:rsid w:val="009128E7"/>
    <w:rsid w:val="00912E24"/>
    <w:rsid w:val="00913198"/>
    <w:rsid w:val="009132B9"/>
    <w:rsid w:val="00913554"/>
    <w:rsid w:val="0091360E"/>
    <w:rsid w:val="009137A4"/>
    <w:rsid w:val="00914239"/>
    <w:rsid w:val="00914709"/>
    <w:rsid w:val="0091517A"/>
    <w:rsid w:val="0091533C"/>
    <w:rsid w:val="009162D2"/>
    <w:rsid w:val="00916DCE"/>
    <w:rsid w:val="00917411"/>
    <w:rsid w:val="00917E07"/>
    <w:rsid w:val="0092005A"/>
    <w:rsid w:val="0092036F"/>
    <w:rsid w:val="0092059C"/>
    <w:rsid w:val="0092062C"/>
    <w:rsid w:val="00920D9D"/>
    <w:rsid w:val="009215DE"/>
    <w:rsid w:val="00921750"/>
    <w:rsid w:val="00921865"/>
    <w:rsid w:val="00921AE2"/>
    <w:rsid w:val="00922528"/>
    <w:rsid w:val="00922820"/>
    <w:rsid w:val="00922A0A"/>
    <w:rsid w:val="00922F2B"/>
    <w:rsid w:val="00923093"/>
    <w:rsid w:val="00923122"/>
    <w:rsid w:val="00923A1E"/>
    <w:rsid w:val="00923E88"/>
    <w:rsid w:val="0092472F"/>
    <w:rsid w:val="00924867"/>
    <w:rsid w:val="00924B84"/>
    <w:rsid w:val="00925D09"/>
    <w:rsid w:val="009263E5"/>
    <w:rsid w:val="00926665"/>
    <w:rsid w:val="00926676"/>
    <w:rsid w:val="00926963"/>
    <w:rsid w:val="009271E8"/>
    <w:rsid w:val="00927358"/>
    <w:rsid w:val="009276CA"/>
    <w:rsid w:val="009278C0"/>
    <w:rsid w:val="00927A8F"/>
    <w:rsid w:val="009301F1"/>
    <w:rsid w:val="0093075A"/>
    <w:rsid w:val="0093110D"/>
    <w:rsid w:val="009317E1"/>
    <w:rsid w:val="009318BC"/>
    <w:rsid w:val="00931BB2"/>
    <w:rsid w:val="009320B7"/>
    <w:rsid w:val="009332D3"/>
    <w:rsid w:val="0093383F"/>
    <w:rsid w:val="0093389E"/>
    <w:rsid w:val="00933E3D"/>
    <w:rsid w:val="009341E9"/>
    <w:rsid w:val="009343D5"/>
    <w:rsid w:val="00934480"/>
    <w:rsid w:val="00934976"/>
    <w:rsid w:val="00934BC6"/>
    <w:rsid w:val="0093579B"/>
    <w:rsid w:val="009357E7"/>
    <w:rsid w:val="0093597A"/>
    <w:rsid w:val="0093609D"/>
    <w:rsid w:val="009364BF"/>
    <w:rsid w:val="0093712C"/>
    <w:rsid w:val="0093785D"/>
    <w:rsid w:val="00937E83"/>
    <w:rsid w:val="009408E6"/>
    <w:rsid w:val="00940DE3"/>
    <w:rsid w:val="009411D9"/>
    <w:rsid w:val="009411FD"/>
    <w:rsid w:val="009414BC"/>
    <w:rsid w:val="009415C3"/>
    <w:rsid w:val="00941727"/>
    <w:rsid w:val="00941818"/>
    <w:rsid w:val="0094181F"/>
    <w:rsid w:val="00941944"/>
    <w:rsid w:val="00941B8C"/>
    <w:rsid w:val="00941C47"/>
    <w:rsid w:val="00941D1A"/>
    <w:rsid w:val="00941FD8"/>
    <w:rsid w:val="0094216F"/>
    <w:rsid w:val="009424BA"/>
    <w:rsid w:val="0094267E"/>
    <w:rsid w:val="00942713"/>
    <w:rsid w:val="00943635"/>
    <w:rsid w:val="00943757"/>
    <w:rsid w:val="00943A80"/>
    <w:rsid w:val="00943D93"/>
    <w:rsid w:val="009440DD"/>
    <w:rsid w:val="009441F0"/>
    <w:rsid w:val="0094436B"/>
    <w:rsid w:val="0094472F"/>
    <w:rsid w:val="0094486C"/>
    <w:rsid w:val="00944C87"/>
    <w:rsid w:val="009450E9"/>
    <w:rsid w:val="009455A1"/>
    <w:rsid w:val="009457D4"/>
    <w:rsid w:val="009459B0"/>
    <w:rsid w:val="00945B1A"/>
    <w:rsid w:val="00946060"/>
    <w:rsid w:val="00946445"/>
    <w:rsid w:val="00946740"/>
    <w:rsid w:val="0094694F"/>
    <w:rsid w:val="00946C1E"/>
    <w:rsid w:val="00946E11"/>
    <w:rsid w:val="00950186"/>
    <w:rsid w:val="009504E5"/>
    <w:rsid w:val="0095088A"/>
    <w:rsid w:val="00950A87"/>
    <w:rsid w:val="00950B89"/>
    <w:rsid w:val="00950F6A"/>
    <w:rsid w:val="00951584"/>
    <w:rsid w:val="0095193E"/>
    <w:rsid w:val="00951952"/>
    <w:rsid w:val="00951D6A"/>
    <w:rsid w:val="0095239A"/>
    <w:rsid w:val="00952577"/>
    <w:rsid w:val="00952BF5"/>
    <w:rsid w:val="00953F0B"/>
    <w:rsid w:val="0095402A"/>
    <w:rsid w:val="009544F6"/>
    <w:rsid w:val="00954A33"/>
    <w:rsid w:val="00954C45"/>
    <w:rsid w:val="00954FAA"/>
    <w:rsid w:val="009551A0"/>
    <w:rsid w:val="00955907"/>
    <w:rsid w:val="00955B43"/>
    <w:rsid w:val="00955B8E"/>
    <w:rsid w:val="00956136"/>
    <w:rsid w:val="009564CB"/>
    <w:rsid w:val="00956608"/>
    <w:rsid w:val="00957196"/>
    <w:rsid w:val="00957377"/>
    <w:rsid w:val="009577C9"/>
    <w:rsid w:val="00957E08"/>
    <w:rsid w:val="00957F9D"/>
    <w:rsid w:val="009603F4"/>
    <w:rsid w:val="009607D8"/>
    <w:rsid w:val="009608C2"/>
    <w:rsid w:val="00961194"/>
    <w:rsid w:val="00961671"/>
    <w:rsid w:val="00961703"/>
    <w:rsid w:val="009619EE"/>
    <w:rsid w:val="00961BA9"/>
    <w:rsid w:val="00961DFA"/>
    <w:rsid w:val="00962481"/>
    <w:rsid w:val="009626D5"/>
    <w:rsid w:val="00962F52"/>
    <w:rsid w:val="009631FE"/>
    <w:rsid w:val="00963D05"/>
    <w:rsid w:val="00963F65"/>
    <w:rsid w:val="009647CC"/>
    <w:rsid w:val="00964862"/>
    <w:rsid w:val="00965003"/>
    <w:rsid w:val="00965223"/>
    <w:rsid w:val="0096546B"/>
    <w:rsid w:val="009654D4"/>
    <w:rsid w:val="009655E5"/>
    <w:rsid w:val="009657ED"/>
    <w:rsid w:val="00966861"/>
    <w:rsid w:val="0096698B"/>
    <w:rsid w:val="009672F2"/>
    <w:rsid w:val="00967601"/>
    <w:rsid w:val="009676EE"/>
    <w:rsid w:val="0096785F"/>
    <w:rsid w:val="00967FCD"/>
    <w:rsid w:val="009692CC"/>
    <w:rsid w:val="0097063E"/>
    <w:rsid w:val="00970A78"/>
    <w:rsid w:val="009713EF"/>
    <w:rsid w:val="0097143D"/>
    <w:rsid w:val="009715AE"/>
    <w:rsid w:val="009716BB"/>
    <w:rsid w:val="00971A45"/>
    <w:rsid w:val="00971AFB"/>
    <w:rsid w:val="00971F4E"/>
    <w:rsid w:val="0097221C"/>
    <w:rsid w:val="0097284B"/>
    <w:rsid w:val="00972907"/>
    <w:rsid w:val="00972A72"/>
    <w:rsid w:val="00972AC0"/>
    <w:rsid w:val="00972D06"/>
    <w:rsid w:val="009733CE"/>
    <w:rsid w:val="009739AD"/>
    <w:rsid w:val="00973B02"/>
    <w:rsid w:val="00973DEA"/>
    <w:rsid w:val="009741A9"/>
    <w:rsid w:val="00974CAC"/>
    <w:rsid w:val="00974F70"/>
    <w:rsid w:val="00975943"/>
    <w:rsid w:val="00975989"/>
    <w:rsid w:val="00975A0B"/>
    <w:rsid w:val="00975C62"/>
    <w:rsid w:val="00975EBB"/>
    <w:rsid w:val="00976225"/>
    <w:rsid w:val="009764CC"/>
    <w:rsid w:val="009768AE"/>
    <w:rsid w:val="00976F4E"/>
    <w:rsid w:val="00976FF5"/>
    <w:rsid w:val="00977D50"/>
    <w:rsid w:val="00977D73"/>
    <w:rsid w:val="0098007C"/>
    <w:rsid w:val="00980C3B"/>
    <w:rsid w:val="00980CA7"/>
    <w:rsid w:val="00980F22"/>
    <w:rsid w:val="00981129"/>
    <w:rsid w:val="009817DB"/>
    <w:rsid w:val="0098194D"/>
    <w:rsid w:val="00981AE1"/>
    <w:rsid w:val="00982AD4"/>
    <w:rsid w:val="00982CF5"/>
    <w:rsid w:val="00982F44"/>
    <w:rsid w:val="00982F89"/>
    <w:rsid w:val="0098317E"/>
    <w:rsid w:val="00983289"/>
    <w:rsid w:val="009839DE"/>
    <w:rsid w:val="00984538"/>
    <w:rsid w:val="00984576"/>
    <w:rsid w:val="00984945"/>
    <w:rsid w:val="00985A10"/>
    <w:rsid w:val="00985E94"/>
    <w:rsid w:val="009871DA"/>
    <w:rsid w:val="00987696"/>
    <w:rsid w:val="00987697"/>
    <w:rsid w:val="00987778"/>
    <w:rsid w:val="00987B21"/>
    <w:rsid w:val="00987DF1"/>
    <w:rsid w:val="00990150"/>
    <w:rsid w:val="0099027E"/>
    <w:rsid w:val="009902E3"/>
    <w:rsid w:val="0099085F"/>
    <w:rsid w:val="0099098E"/>
    <w:rsid w:val="00990B5D"/>
    <w:rsid w:val="00990DA7"/>
    <w:rsid w:val="00990DAB"/>
    <w:rsid w:val="00990EE2"/>
    <w:rsid w:val="00991539"/>
    <w:rsid w:val="009915E9"/>
    <w:rsid w:val="009916BE"/>
    <w:rsid w:val="00991ECF"/>
    <w:rsid w:val="009920BE"/>
    <w:rsid w:val="0099246B"/>
    <w:rsid w:val="009924AA"/>
    <w:rsid w:val="009928A6"/>
    <w:rsid w:val="009929B6"/>
    <w:rsid w:val="00992A44"/>
    <w:rsid w:val="00993218"/>
    <w:rsid w:val="00993750"/>
    <w:rsid w:val="00993981"/>
    <w:rsid w:val="00993B42"/>
    <w:rsid w:val="00994D58"/>
    <w:rsid w:val="00994E69"/>
    <w:rsid w:val="00994E8F"/>
    <w:rsid w:val="0099502D"/>
    <w:rsid w:val="00996009"/>
    <w:rsid w:val="0099624B"/>
    <w:rsid w:val="00996E3A"/>
    <w:rsid w:val="00996F05"/>
    <w:rsid w:val="00997B5C"/>
    <w:rsid w:val="009A01C4"/>
    <w:rsid w:val="009A06DD"/>
    <w:rsid w:val="009A076B"/>
    <w:rsid w:val="009A08A9"/>
    <w:rsid w:val="009A0AC7"/>
    <w:rsid w:val="009A0D8E"/>
    <w:rsid w:val="009A1339"/>
    <w:rsid w:val="009A1603"/>
    <w:rsid w:val="009A1E07"/>
    <w:rsid w:val="009A26ED"/>
    <w:rsid w:val="009A2E60"/>
    <w:rsid w:val="009A35B1"/>
    <w:rsid w:val="009A42A6"/>
    <w:rsid w:val="009A44AA"/>
    <w:rsid w:val="009A4749"/>
    <w:rsid w:val="009A491A"/>
    <w:rsid w:val="009A4FA8"/>
    <w:rsid w:val="009A51A9"/>
    <w:rsid w:val="009A51CF"/>
    <w:rsid w:val="009A51E2"/>
    <w:rsid w:val="009A533E"/>
    <w:rsid w:val="009A5563"/>
    <w:rsid w:val="009A55F7"/>
    <w:rsid w:val="009A5A37"/>
    <w:rsid w:val="009A5B5D"/>
    <w:rsid w:val="009A5C0D"/>
    <w:rsid w:val="009A67AA"/>
    <w:rsid w:val="009A6A4E"/>
    <w:rsid w:val="009A6BA9"/>
    <w:rsid w:val="009A6D12"/>
    <w:rsid w:val="009A767A"/>
    <w:rsid w:val="009A7AC1"/>
    <w:rsid w:val="009A7ADF"/>
    <w:rsid w:val="009B000E"/>
    <w:rsid w:val="009B052C"/>
    <w:rsid w:val="009B06EB"/>
    <w:rsid w:val="009B0B1D"/>
    <w:rsid w:val="009B0FD0"/>
    <w:rsid w:val="009B1456"/>
    <w:rsid w:val="009B1ECF"/>
    <w:rsid w:val="009B20FF"/>
    <w:rsid w:val="009B2212"/>
    <w:rsid w:val="009B221E"/>
    <w:rsid w:val="009B263D"/>
    <w:rsid w:val="009B294D"/>
    <w:rsid w:val="009B30AA"/>
    <w:rsid w:val="009B36FD"/>
    <w:rsid w:val="009B3768"/>
    <w:rsid w:val="009B473A"/>
    <w:rsid w:val="009B5A3A"/>
    <w:rsid w:val="009B5C64"/>
    <w:rsid w:val="009B5C66"/>
    <w:rsid w:val="009B6091"/>
    <w:rsid w:val="009B6302"/>
    <w:rsid w:val="009B7821"/>
    <w:rsid w:val="009B7A64"/>
    <w:rsid w:val="009B7AE4"/>
    <w:rsid w:val="009C03C5"/>
    <w:rsid w:val="009C0DB6"/>
    <w:rsid w:val="009C21AD"/>
    <w:rsid w:val="009C21C1"/>
    <w:rsid w:val="009C2271"/>
    <w:rsid w:val="009C2D7F"/>
    <w:rsid w:val="009C31D7"/>
    <w:rsid w:val="009C3242"/>
    <w:rsid w:val="009C32C0"/>
    <w:rsid w:val="009C32E3"/>
    <w:rsid w:val="009C3658"/>
    <w:rsid w:val="009C36EE"/>
    <w:rsid w:val="009C3B80"/>
    <w:rsid w:val="009C3BF3"/>
    <w:rsid w:val="009C43C3"/>
    <w:rsid w:val="009C44C8"/>
    <w:rsid w:val="009C48E5"/>
    <w:rsid w:val="009C48EF"/>
    <w:rsid w:val="009C4BD9"/>
    <w:rsid w:val="009C50B5"/>
    <w:rsid w:val="009C5824"/>
    <w:rsid w:val="009C58CE"/>
    <w:rsid w:val="009C5FBB"/>
    <w:rsid w:val="009C6668"/>
    <w:rsid w:val="009C6EAA"/>
    <w:rsid w:val="009C7321"/>
    <w:rsid w:val="009C7373"/>
    <w:rsid w:val="009C7633"/>
    <w:rsid w:val="009C7C43"/>
    <w:rsid w:val="009D026D"/>
    <w:rsid w:val="009D056E"/>
    <w:rsid w:val="009D0578"/>
    <w:rsid w:val="009D0596"/>
    <w:rsid w:val="009D0786"/>
    <w:rsid w:val="009D0BFB"/>
    <w:rsid w:val="009D0E2F"/>
    <w:rsid w:val="009D1339"/>
    <w:rsid w:val="009D1734"/>
    <w:rsid w:val="009D1857"/>
    <w:rsid w:val="009D18B7"/>
    <w:rsid w:val="009D1B8A"/>
    <w:rsid w:val="009D23F9"/>
    <w:rsid w:val="009D2829"/>
    <w:rsid w:val="009D2A06"/>
    <w:rsid w:val="009D2A28"/>
    <w:rsid w:val="009D2DAB"/>
    <w:rsid w:val="009D30CB"/>
    <w:rsid w:val="009D3155"/>
    <w:rsid w:val="009D3395"/>
    <w:rsid w:val="009D354F"/>
    <w:rsid w:val="009D367E"/>
    <w:rsid w:val="009D3A80"/>
    <w:rsid w:val="009D3AA3"/>
    <w:rsid w:val="009D4A45"/>
    <w:rsid w:val="009D4ECE"/>
    <w:rsid w:val="009D5885"/>
    <w:rsid w:val="009D60AC"/>
    <w:rsid w:val="009D6827"/>
    <w:rsid w:val="009D72ED"/>
    <w:rsid w:val="009D7358"/>
    <w:rsid w:val="009D73A9"/>
    <w:rsid w:val="009D7500"/>
    <w:rsid w:val="009D7761"/>
    <w:rsid w:val="009D790C"/>
    <w:rsid w:val="009D7A60"/>
    <w:rsid w:val="009D7EE6"/>
    <w:rsid w:val="009E0E8F"/>
    <w:rsid w:val="009E0F73"/>
    <w:rsid w:val="009E1535"/>
    <w:rsid w:val="009E17BF"/>
    <w:rsid w:val="009E2146"/>
    <w:rsid w:val="009E2856"/>
    <w:rsid w:val="009E2C4B"/>
    <w:rsid w:val="009E2D65"/>
    <w:rsid w:val="009E334F"/>
    <w:rsid w:val="009E33A0"/>
    <w:rsid w:val="009E3623"/>
    <w:rsid w:val="009E36E2"/>
    <w:rsid w:val="009E3B73"/>
    <w:rsid w:val="009E3D25"/>
    <w:rsid w:val="009E437E"/>
    <w:rsid w:val="009E4456"/>
    <w:rsid w:val="009E470F"/>
    <w:rsid w:val="009E4959"/>
    <w:rsid w:val="009E52B3"/>
    <w:rsid w:val="009E5433"/>
    <w:rsid w:val="009E6AF4"/>
    <w:rsid w:val="009E6C0B"/>
    <w:rsid w:val="009E6CE2"/>
    <w:rsid w:val="009E71C9"/>
    <w:rsid w:val="009E74C0"/>
    <w:rsid w:val="009E76E2"/>
    <w:rsid w:val="009F01A2"/>
    <w:rsid w:val="009F03B1"/>
    <w:rsid w:val="009F03E5"/>
    <w:rsid w:val="009F05CC"/>
    <w:rsid w:val="009F08E5"/>
    <w:rsid w:val="009F1224"/>
    <w:rsid w:val="009F1356"/>
    <w:rsid w:val="009F13D4"/>
    <w:rsid w:val="009F13FE"/>
    <w:rsid w:val="009F19A1"/>
    <w:rsid w:val="009F2117"/>
    <w:rsid w:val="009F24B4"/>
    <w:rsid w:val="009F250D"/>
    <w:rsid w:val="009F2746"/>
    <w:rsid w:val="009F2A07"/>
    <w:rsid w:val="009F2D88"/>
    <w:rsid w:val="009F30C2"/>
    <w:rsid w:val="009F3190"/>
    <w:rsid w:val="009F3EDF"/>
    <w:rsid w:val="009F3FA4"/>
    <w:rsid w:val="009F3FFF"/>
    <w:rsid w:val="009F45CC"/>
    <w:rsid w:val="009F4646"/>
    <w:rsid w:val="009F46E0"/>
    <w:rsid w:val="009F4A50"/>
    <w:rsid w:val="009F4CE6"/>
    <w:rsid w:val="009F4D1C"/>
    <w:rsid w:val="009F4D66"/>
    <w:rsid w:val="009F5D8A"/>
    <w:rsid w:val="009F5DE4"/>
    <w:rsid w:val="009F6251"/>
    <w:rsid w:val="009F636C"/>
    <w:rsid w:val="009F653E"/>
    <w:rsid w:val="009F6646"/>
    <w:rsid w:val="009F669E"/>
    <w:rsid w:val="009F66F0"/>
    <w:rsid w:val="009F6733"/>
    <w:rsid w:val="009F6F46"/>
    <w:rsid w:val="009F77F9"/>
    <w:rsid w:val="00A00073"/>
    <w:rsid w:val="00A00236"/>
    <w:rsid w:val="00A005B7"/>
    <w:rsid w:val="00A0065A"/>
    <w:rsid w:val="00A008F4"/>
    <w:rsid w:val="00A009A7"/>
    <w:rsid w:val="00A00E21"/>
    <w:rsid w:val="00A00E47"/>
    <w:rsid w:val="00A017E0"/>
    <w:rsid w:val="00A0186A"/>
    <w:rsid w:val="00A01F83"/>
    <w:rsid w:val="00A02A7C"/>
    <w:rsid w:val="00A02DB9"/>
    <w:rsid w:val="00A02E25"/>
    <w:rsid w:val="00A02FD7"/>
    <w:rsid w:val="00A030C5"/>
    <w:rsid w:val="00A036A1"/>
    <w:rsid w:val="00A03746"/>
    <w:rsid w:val="00A041ED"/>
    <w:rsid w:val="00A04509"/>
    <w:rsid w:val="00A046FE"/>
    <w:rsid w:val="00A048FC"/>
    <w:rsid w:val="00A049ED"/>
    <w:rsid w:val="00A05418"/>
    <w:rsid w:val="00A0584F"/>
    <w:rsid w:val="00A0629D"/>
    <w:rsid w:val="00A06C73"/>
    <w:rsid w:val="00A07558"/>
    <w:rsid w:val="00A111C9"/>
    <w:rsid w:val="00A11310"/>
    <w:rsid w:val="00A1177C"/>
    <w:rsid w:val="00A11F93"/>
    <w:rsid w:val="00A12E0B"/>
    <w:rsid w:val="00A13BBC"/>
    <w:rsid w:val="00A13F61"/>
    <w:rsid w:val="00A14C67"/>
    <w:rsid w:val="00A14E1A"/>
    <w:rsid w:val="00A160B9"/>
    <w:rsid w:val="00A162D8"/>
    <w:rsid w:val="00A16B89"/>
    <w:rsid w:val="00A16C6E"/>
    <w:rsid w:val="00A1738A"/>
    <w:rsid w:val="00A17971"/>
    <w:rsid w:val="00A17A18"/>
    <w:rsid w:val="00A202BF"/>
    <w:rsid w:val="00A206F6"/>
    <w:rsid w:val="00A2091F"/>
    <w:rsid w:val="00A21056"/>
    <w:rsid w:val="00A213BE"/>
    <w:rsid w:val="00A219CB"/>
    <w:rsid w:val="00A21A28"/>
    <w:rsid w:val="00A21EDB"/>
    <w:rsid w:val="00A21F69"/>
    <w:rsid w:val="00A22047"/>
    <w:rsid w:val="00A2206B"/>
    <w:rsid w:val="00A225AE"/>
    <w:rsid w:val="00A225F3"/>
    <w:rsid w:val="00A226F6"/>
    <w:rsid w:val="00A23469"/>
    <w:rsid w:val="00A23BCF"/>
    <w:rsid w:val="00A24198"/>
    <w:rsid w:val="00A24A58"/>
    <w:rsid w:val="00A24D10"/>
    <w:rsid w:val="00A25E38"/>
    <w:rsid w:val="00A26755"/>
    <w:rsid w:val="00A269D4"/>
    <w:rsid w:val="00A269F3"/>
    <w:rsid w:val="00A26E06"/>
    <w:rsid w:val="00A26E71"/>
    <w:rsid w:val="00A2701C"/>
    <w:rsid w:val="00A273A8"/>
    <w:rsid w:val="00A278EA"/>
    <w:rsid w:val="00A27D14"/>
    <w:rsid w:val="00A3018D"/>
    <w:rsid w:val="00A30C03"/>
    <w:rsid w:val="00A3195E"/>
    <w:rsid w:val="00A321CD"/>
    <w:rsid w:val="00A323F8"/>
    <w:rsid w:val="00A32E0A"/>
    <w:rsid w:val="00A331E6"/>
    <w:rsid w:val="00A3347F"/>
    <w:rsid w:val="00A33545"/>
    <w:rsid w:val="00A33577"/>
    <w:rsid w:val="00A3406B"/>
    <w:rsid w:val="00A346FA"/>
    <w:rsid w:val="00A35410"/>
    <w:rsid w:val="00A35B6B"/>
    <w:rsid w:val="00A35BC0"/>
    <w:rsid w:val="00A36073"/>
    <w:rsid w:val="00A363A0"/>
    <w:rsid w:val="00A363DE"/>
    <w:rsid w:val="00A36936"/>
    <w:rsid w:val="00A36C06"/>
    <w:rsid w:val="00A36F1A"/>
    <w:rsid w:val="00A3742A"/>
    <w:rsid w:val="00A376CD"/>
    <w:rsid w:val="00A37778"/>
    <w:rsid w:val="00A37B14"/>
    <w:rsid w:val="00A37ECD"/>
    <w:rsid w:val="00A4012D"/>
    <w:rsid w:val="00A40457"/>
    <w:rsid w:val="00A4066E"/>
    <w:rsid w:val="00A4120D"/>
    <w:rsid w:val="00A41A1F"/>
    <w:rsid w:val="00A41D42"/>
    <w:rsid w:val="00A4224E"/>
    <w:rsid w:val="00A423F1"/>
    <w:rsid w:val="00A425C6"/>
    <w:rsid w:val="00A427C8"/>
    <w:rsid w:val="00A42A5A"/>
    <w:rsid w:val="00A42B0D"/>
    <w:rsid w:val="00A42CD7"/>
    <w:rsid w:val="00A42E21"/>
    <w:rsid w:val="00A43214"/>
    <w:rsid w:val="00A433E8"/>
    <w:rsid w:val="00A43848"/>
    <w:rsid w:val="00A43CA3"/>
    <w:rsid w:val="00A448A9"/>
    <w:rsid w:val="00A44C92"/>
    <w:rsid w:val="00A44D5F"/>
    <w:rsid w:val="00A44E72"/>
    <w:rsid w:val="00A44F97"/>
    <w:rsid w:val="00A45440"/>
    <w:rsid w:val="00A454DF"/>
    <w:rsid w:val="00A45758"/>
    <w:rsid w:val="00A457A8"/>
    <w:rsid w:val="00A45EDD"/>
    <w:rsid w:val="00A46142"/>
    <w:rsid w:val="00A468BB"/>
    <w:rsid w:val="00A46D27"/>
    <w:rsid w:val="00A46E46"/>
    <w:rsid w:val="00A46E4A"/>
    <w:rsid w:val="00A47712"/>
    <w:rsid w:val="00A47A4C"/>
    <w:rsid w:val="00A47E43"/>
    <w:rsid w:val="00A5010D"/>
    <w:rsid w:val="00A505A6"/>
    <w:rsid w:val="00A508F6"/>
    <w:rsid w:val="00A50F9F"/>
    <w:rsid w:val="00A511C8"/>
    <w:rsid w:val="00A51EAA"/>
    <w:rsid w:val="00A52474"/>
    <w:rsid w:val="00A52791"/>
    <w:rsid w:val="00A52B3F"/>
    <w:rsid w:val="00A5397B"/>
    <w:rsid w:val="00A53C35"/>
    <w:rsid w:val="00A53F54"/>
    <w:rsid w:val="00A54116"/>
    <w:rsid w:val="00A54372"/>
    <w:rsid w:val="00A543FA"/>
    <w:rsid w:val="00A544C3"/>
    <w:rsid w:val="00A54A42"/>
    <w:rsid w:val="00A54B5D"/>
    <w:rsid w:val="00A550A5"/>
    <w:rsid w:val="00A5510F"/>
    <w:rsid w:val="00A55115"/>
    <w:rsid w:val="00A55481"/>
    <w:rsid w:val="00A554EC"/>
    <w:rsid w:val="00A558CD"/>
    <w:rsid w:val="00A55A71"/>
    <w:rsid w:val="00A55B81"/>
    <w:rsid w:val="00A55CCB"/>
    <w:rsid w:val="00A55FAD"/>
    <w:rsid w:val="00A569BC"/>
    <w:rsid w:val="00A56EA2"/>
    <w:rsid w:val="00A56F06"/>
    <w:rsid w:val="00A575D6"/>
    <w:rsid w:val="00A578EF"/>
    <w:rsid w:val="00A57B57"/>
    <w:rsid w:val="00A603D2"/>
    <w:rsid w:val="00A6046C"/>
    <w:rsid w:val="00A608C4"/>
    <w:rsid w:val="00A608E4"/>
    <w:rsid w:val="00A6103A"/>
    <w:rsid w:val="00A6126A"/>
    <w:rsid w:val="00A61ECC"/>
    <w:rsid w:val="00A62520"/>
    <w:rsid w:val="00A6257D"/>
    <w:rsid w:val="00A62726"/>
    <w:rsid w:val="00A62DDB"/>
    <w:rsid w:val="00A63087"/>
    <w:rsid w:val="00A63495"/>
    <w:rsid w:val="00A63719"/>
    <w:rsid w:val="00A63AC3"/>
    <w:rsid w:val="00A64327"/>
    <w:rsid w:val="00A64557"/>
    <w:rsid w:val="00A648D3"/>
    <w:rsid w:val="00A64979"/>
    <w:rsid w:val="00A64D6F"/>
    <w:rsid w:val="00A64F6C"/>
    <w:rsid w:val="00A65496"/>
    <w:rsid w:val="00A65872"/>
    <w:rsid w:val="00A65B34"/>
    <w:rsid w:val="00A66112"/>
    <w:rsid w:val="00A665C4"/>
    <w:rsid w:val="00A66CA3"/>
    <w:rsid w:val="00A66FC6"/>
    <w:rsid w:val="00A672C9"/>
    <w:rsid w:val="00A6751C"/>
    <w:rsid w:val="00A67A12"/>
    <w:rsid w:val="00A67EAD"/>
    <w:rsid w:val="00A70930"/>
    <w:rsid w:val="00A70AD6"/>
    <w:rsid w:val="00A70BEF"/>
    <w:rsid w:val="00A70EE8"/>
    <w:rsid w:val="00A715A0"/>
    <w:rsid w:val="00A719DD"/>
    <w:rsid w:val="00A71BA2"/>
    <w:rsid w:val="00A71DF9"/>
    <w:rsid w:val="00A71F8B"/>
    <w:rsid w:val="00A721E1"/>
    <w:rsid w:val="00A724B4"/>
    <w:rsid w:val="00A728F6"/>
    <w:rsid w:val="00A72C45"/>
    <w:rsid w:val="00A73301"/>
    <w:rsid w:val="00A73392"/>
    <w:rsid w:val="00A736B5"/>
    <w:rsid w:val="00A736F7"/>
    <w:rsid w:val="00A74187"/>
    <w:rsid w:val="00A741D7"/>
    <w:rsid w:val="00A742CD"/>
    <w:rsid w:val="00A745FD"/>
    <w:rsid w:val="00A74832"/>
    <w:rsid w:val="00A74A72"/>
    <w:rsid w:val="00A75882"/>
    <w:rsid w:val="00A75BFF"/>
    <w:rsid w:val="00A75DF8"/>
    <w:rsid w:val="00A75FD7"/>
    <w:rsid w:val="00A77C4C"/>
    <w:rsid w:val="00A77DF0"/>
    <w:rsid w:val="00A80376"/>
    <w:rsid w:val="00A80690"/>
    <w:rsid w:val="00A8098E"/>
    <w:rsid w:val="00A80CDE"/>
    <w:rsid w:val="00A8117B"/>
    <w:rsid w:val="00A8125F"/>
    <w:rsid w:val="00A81333"/>
    <w:rsid w:val="00A8156A"/>
    <w:rsid w:val="00A815B5"/>
    <w:rsid w:val="00A81C15"/>
    <w:rsid w:val="00A82336"/>
    <w:rsid w:val="00A8252E"/>
    <w:rsid w:val="00A82854"/>
    <w:rsid w:val="00A82B48"/>
    <w:rsid w:val="00A82C3E"/>
    <w:rsid w:val="00A82F7B"/>
    <w:rsid w:val="00A834CB"/>
    <w:rsid w:val="00A8352E"/>
    <w:rsid w:val="00A837D8"/>
    <w:rsid w:val="00A83816"/>
    <w:rsid w:val="00A838AE"/>
    <w:rsid w:val="00A83C32"/>
    <w:rsid w:val="00A840DB"/>
    <w:rsid w:val="00A84BFB"/>
    <w:rsid w:val="00A84C1E"/>
    <w:rsid w:val="00A84CE1"/>
    <w:rsid w:val="00A8505A"/>
    <w:rsid w:val="00A85415"/>
    <w:rsid w:val="00A86559"/>
    <w:rsid w:val="00A86C41"/>
    <w:rsid w:val="00A872BA"/>
    <w:rsid w:val="00A879EB"/>
    <w:rsid w:val="00A87D5D"/>
    <w:rsid w:val="00A90111"/>
    <w:rsid w:val="00A901E2"/>
    <w:rsid w:val="00A908FC"/>
    <w:rsid w:val="00A90E24"/>
    <w:rsid w:val="00A90F31"/>
    <w:rsid w:val="00A913BC"/>
    <w:rsid w:val="00A91852"/>
    <w:rsid w:val="00A91DFD"/>
    <w:rsid w:val="00A9229B"/>
    <w:rsid w:val="00A92AE8"/>
    <w:rsid w:val="00A930D4"/>
    <w:rsid w:val="00A93545"/>
    <w:rsid w:val="00A935F7"/>
    <w:rsid w:val="00A938C8"/>
    <w:rsid w:val="00A93A87"/>
    <w:rsid w:val="00A93A9C"/>
    <w:rsid w:val="00A93ABA"/>
    <w:rsid w:val="00A93BE9"/>
    <w:rsid w:val="00A93DF9"/>
    <w:rsid w:val="00A93E04"/>
    <w:rsid w:val="00A948E7"/>
    <w:rsid w:val="00A94CB0"/>
    <w:rsid w:val="00A94DA6"/>
    <w:rsid w:val="00A94F2C"/>
    <w:rsid w:val="00A9508A"/>
    <w:rsid w:val="00A951E9"/>
    <w:rsid w:val="00A953CC"/>
    <w:rsid w:val="00A95427"/>
    <w:rsid w:val="00A9629D"/>
    <w:rsid w:val="00A967BC"/>
    <w:rsid w:val="00A96991"/>
    <w:rsid w:val="00A96C8F"/>
    <w:rsid w:val="00A96CDC"/>
    <w:rsid w:val="00A97186"/>
    <w:rsid w:val="00A97628"/>
    <w:rsid w:val="00A97969"/>
    <w:rsid w:val="00A97C07"/>
    <w:rsid w:val="00A97F81"/>
    <w:rsid w:val="00AA023A"/>
    <w:rsid w:val="00AA031B"/>
    <w:rsid w:val="00AA06CA"/>
    <w:rsid w:val="00AA07D5"/>
    <w:rsid w:val="00AA09E0"/>
    <w:rsid w:val="00AA0CC2"/>
    <w:rsid w:val="00AA0EB8"/>
    <w:rsid w:val="00AA105B"/>
    <w:rsid w:val="00AA137C"/>
    <w:rsid w:val="00AA13F2"/>
    <w:rsid w:val="00AA1734"/>
    <w:rsid w:val="00AA1DBB"/>
    <w:rsid w:val="00AA1E8C"/>
    <w:rsid w:val="00AA1FD8"/>
    <w:rsid w:val="00AA240B"/>
    <w:rsid w:val="00AA2BB8"/>
    <w:rsid w:val="00AA2EB2"/>
    <w:rsid w:val="00AA2F8C"/>
    <w:rsid w:val="00AA3110"/>
    <w:rsid w:val="00AA3E98"/>
    <w:rsid w:val="00AA45DA"/>
    <w:rsid w:val="00AA495D"/>
    <w:rsid w:val="00AA4CEF"/>
    <w:rsid w:val="00AA4D58"/>
    <w:rsid w:val="00AA535C"/>
    <w:rsid w:val="00AA566D"/>
    <w:rsid w:val="00AA5BA0"/>
    <w:rsid w:val="00AA5D32"/>
    <w:rsid w:val="00AA5F5C"/>
    <w:rsid w:val="00AA5F6E"/>
    <w:rsid w:val="00AA63A8"/>
    <w:rsid w:val="00AA63EC"/>
    <w:rsid w:val="00AA67CB"/>
    <w:rsid w:val="00AA6935"/>
    <w:rsid w:val="00AA7CD0"/>
    <w:rsid w:val="00AA7F7A"/>
    <w:rsid w:val="00AB07CC"/>
    <w:rsid w:val="00AB129C"/>
    <w:rsid w:val="00AB1447"/>
    <w:rsid w:val="00AB1EE6"/>
    <w:rsid w:val="00AB239B"/>
    <w:rsid w:val="00AB269C"/>
    <w:rsid w:val="00AB2BD0"/>
    <w:rsid w:val="00AB2DB4"/>
    <w:rsid w:val="00AB3CCC"/>
    <w:rsid w:val="00AB3D0D"/>
    <w:rsid w:val="00AB3D19"/>
    <w:rsid w:val="00AB40B9"/>
    <w:rsid w:val="00AB433A"/>
    <w:rsid w:val="00AB4C9B"/>
    <w:rsid w:val="00AB4D38"/>
    <w:rsid w:val="00AB50CA"/>
    <w:rsid w:val="00AB5391"/>
    <w:rsid w:val="00AB53BF"/>
    <w:rsid w:val="00AB5C28"/>
    <w:rsid w:val="00AB5D58"/>
    <w:rsid w:val="00AB5E9D"/>
    <w:rsid w:val="00AB667E"/>
    <w:rsid w:val="00AB724C"/>
    <w:rsid w:val="00AB788A"/>
    <w:rsid w:val="00AB78BD"/>
    <w:rsid w:val="00AB7D88"/>
    <w:rsid w:val="00AC0198"/>
    <w:rsid w:val="00AC0A6B"/>
    <w:rsid w:val="00AC1035"/>
    <w:rsid w:val="00AC168B"/>
    <w:rsid w:val="00AC179B"/>
    <w:rsid w:val="00AC18CE"/>
    <w:rsid w:val="00AC19C3"/>
    <w:rsid w:val="00AC1A3F"/>
    <w:rsid w:val="00AC1A74"/>
    <w:rsid w:val="00AC1F41"/>
    <w:rsid w:val="00AC264B"/>
    <w:rsid w:val="00AC2E40"/>
    <w:rsid w:val="00AC3088"/>
    <w:rsid w:val="00AC33D1"/>
    <w:rsid w:val="00AC39BD"/>
    <w:rsid w:val="00AC4716"/>
    <w:rsid w:val="00AC4808"/>
    <w:rsid w:val="00AC5408"/>
    <w:rsid w:val="00AC54EE"/>
    <w:rsid w:val="00AC5628"/>
    <w:rsid w:val="00AC5B8F"/>
    <w:rsid w:val="00AC6016"/>
    <w:rsid w:val="00AC63F8"/>
    <w:rsid w:val="00AC6A8E"/>
    <w:rsid w:val="00AC6C4A"/>
    <w:rsid w:val="00AC75CF"/>
    <w:rsid w:val="00AC793F"/>
    <w:rsid w:val="00AD04AF"/>
    <w:rsid w:val="00AD0664"/>
    <w:rsid w:val="00AD081D"/>
    <w:rsid w:val="00AD0BAE"/>
    <w:rsid w:val="00AD0BB2"/>
    <w:rsid w:val="00AD0C9F"/>
    <w:rsid w:val="00AD1010"/>
    <w:rsid w:val="00AD182E"/>
    <w:rsid w:val="00AD18FE"/>
    <w:rsid w:val="00AD208F"/>
    <w:rsid w:val="00AD2540"/>
    <w:rsid w:val="00AD25A9"/>
    <w:rsid w:val="00AD26FE"/>
    <w:rsid w:val="00AD297D"/>
    <w:rsid w:val="00AD34BE"/>
    <w:rsid w:val="00AD37FB"/>
    <w:rsid w:val="00AD40FB"/>
    <w:rsid w:val="00AD4530"/>
    <w:rsid w:val="00AD5476"/>
    <w:rsid w:val="00AD571D"/>
    <w:rsid w:val="00AD722F"/>
    <w:rsid w:val="00AD779A"/>
    <w:rsid w:val="00AD7D4A"/>
    <w:rsid w:val="00AE0812"/>
    <w:rsid w:val="00AE0A34"/>
    <w:rsid w:val="00AE0D69"/>
    <w:rsid w:val="00AE1DEA"/>
    <w:rsid w:val="00AE1F69"/>
    <w:rsid w:val="00AE27D1"/>
    <w:rsid w:val="00AE2ECC"/>
    <w:rsid w:val="00AE2FE6"/>
    <w:rsid w:val="00AE315A"/>
    <w:rsid w:val="00AE42EB"/>
    <w:rsid w:val="00AE4BAF"/>
    <w:rsid w:val="00AE4E8F"/>
    <w:rsid w:val="00AE565F"/>
    <w:rsid w:val="00AE59A9"/>
    <w:rsid w:val="00AE5B11"/>
    <w:rsid w:val="00AE6175"/>
    <w:rsid w:val="00AE6666"/>
    <w:rsid w:val="00AE7584"/>
    <w:rsid w:val="00AE78F8"/>
    <w:rsid w:val="00AF000E"/>
    <w:rsid w:val="00AF094C"/>
    <w:rsid w:val="00AF125A"/>
    <w:rsid w:val="00AF1CCF"/>
    <w:rsid w:val="00AF262D"/>
    <w:rsid w:val="00AF26C7"/>
    <w:rsid w:val="00AF27C3"/>
    <w:rsid w:val="00AF27ED"/>
    <w:rsid w:val="00AF2BF2"/>
    <w:rsid w:val="00AF2F05"/>
    <w:rsid w:val="00AF30A6"/>
    <w:rsid w:val="00AF3956"/>
    <w:rsid w:val="00AF3F21"/>
    <w:rsid w:val="00AF4AC9"/>
    <w:rsid w:val="00AF4FB6"/>
    <w:rsid w:val="00AF5706"/>
    <w:rsid w:val="00AF5A69"/>
    <w:rsid w:val="00AF5DA8"/>
    <w:rsid w:val="00AF7433"/>
    <w:rsid w:val="00AF7568"/>
    <w:rsid w:val="00AF79DA"/>
    <w:rsid w:val="00AF7BC8"/>
    <w:rsid w:val="00AF7BE6"/>
    <w:rsid w:val="00B0040C"/>
    <w:rsid w:val="00B0087D"/>
    <w:rsid w:val="00B00949"/>
    <w:rsid w:val="00B00EA4"/>
    <w:rsid w:val="00B010B9"/>
    <w:rsid w:val="00B0117F"/>
    <w:rsid w:val="00B019DA"/>
    <w:rsid w:val="00B01ABB"/>
    <w:rsid w:val="00B01AD5"/>
    <w:rsid w:val="00B02B0C"/>
    <w:rsid w:val="00B02E76"/>
    <w:rsid w:val="00B02EDB"/>
    <w:rsid w:val="00B03260"/>
    <w:rsid w:val="00B04E64"/>
    <w:rsid w:val="00B04F3D"/>
    <w:rsid w:val="00B04F75"/>
    <w:rsid w:val="00B05151"/>
    <w:rsid w:val="00B0549B"/>
    <w:rsid w:val="00B05BB4"/>
    <w:rsid w:val="00B062B2"/>
    <w:rsid w:val="00B068E6"/>
    <w:rsid w:val="00B06D2B"/>
    <w:rsid w:val="00B06F4B"/>
    <w:rsid w:val="00B076F7"/>
    <w:rsid w:val="00B0794D"/>
    <w:rsid w:val="00B079F1"/>
    <w:rsid w:val="00B07C54"/>
    <w:rsid w:val="00B07F2D"/>
    <w:rsid w:val="00B1007E"/>
    <w:rsid w:val="00B1013D"/>
    <w:rsid w:val="00B10796"/>
    <w:rsid w:val="00B10AD5"/>
    <w:rsid w:val="00B11040"/>
    <w:rsid w:val="00B11894"/>
    <w:rsid w:val="00B11E2F"/>
    <w:rsid w:val="00B1219B"/>
    <w:rsid w:val="00B12411"/>
    <w:rsid w:val="00B12AEB"/>
    <w:rsid w:val="00B13096"/>
    <w:rsid w:val="00B133BF"/>
    <w:rsid w:val="00B1340B"/>
    <w:rsid w:val="00B135B3"/>
    <w:rsid w:val="00B1367F"/>
    <w:rsid w:val="00B13905"/>
    <w:rsid w:val="00B139D0"/>
    <w:rsid w:val="00B14003"/>
    <w:rsid w:val="00B14190"/>
    <w:rsid w:val="00B143A7"/>
    <w:rsid w:val="00B14DB3"/>
    <w:rsid w:val="00B15515"/>
    <w:rsid w:val="00B1588D"/>
    <w:rsid w:val="00B159A6"/>
    <w:rsid w:val="00B15E98"/>
    <w:rsid w:val="00B16574"/>
    <w:rsid w:val="00B16B60"/>
    <w:rsid w:val="00B16D8C"/>
    <w:rsid w:val="00B16F3D"/>
    <w:rsid w:val="00B16F94"/>
    <w:rsid w:val="00B17403"/>
    <w:rsid w:val="00B1747A"/>
    <w:rsid w:val="00B1778F"/>
    <w:rsid w:val="00B17B74"/>
    <w:rsid w:val="00B17BBE"/>
    <w:rsid w:val="00B17C89"/>
    <w:rsid w:val="00B17CF0"/>
    <w:rsid w:val="00B17EB7"/>
    <w:rsid w:val="00B17F21"/>
    <w:rsid w:val="00B1CE7F"/>
    <w:rsid w:val="00B20583"/>
    <w:rsid w:val="00B20812"/>
    <w:rsid w:val="00B20B9F"/>
    <w:rsid w:val="00B20DB6"/>
    <w:rsid w:val="00B216F5"/>
    <w:rsid w:val="00B217D9"/>
    <w:rsid w:val="00B2269C"/>
    <w:rsid w:val="00B22BC1"/>
    <w:rsid w:val="00B23BD9"/>
    <w:rsid w:val="00B23C0E"/>
    <w:rsid w:val="00B24610"/>
    <w:rsid w:val="00B24CDE"/>
    <w:rsid w:val="00B24EB8"/>
    <w:rsid w:val="00B25281"/>
    <w:rsid w:val="00B252F1"/>
    <w:rsid w:val="00B25DB5"/>
    <w:rsid w:val="00B25EF0"/>
    <w:rsid w:val="00B260FC"/>
    <w:rsid w:val="00B267A5"/>
    <w:rsid w:val="00B26D1D"/>
    <w:rsid w:val="00B26EB6"/>
    <w:rsid w:val="00B2728E"/>
    <w:rsid w:val="00B274A6"/>
    <w:rsid w:val="00B27974"/>
    <w:rsid w:val="00B27992"/>
    <w:rsid w:val="00B27B27"/>
    <w:rsid w:val="00B27BCF"/>
    <w:rsid w:val="00B30068"/>
    <w:rsid w:val="00B301F8"/>
    <w:rsid w:val="00B302AD"/>
    <w:rsid w:val="00B30845"/>
    <w:rsid w:val="00B30BA8"/>
    <w:rsid w:val="00B30C79"/>
    <w:rsid w:val="00B30F7D"/>
    <w:rsid w:val="00B31453"/>
    <w:rsid w:val="00B315A7"/>
    <w:rsid w:val="00B31835"/>
    <w:rsid w:val="00B31D4E"/>
    <w:rsid w:val="00B31ECF"/>
    <w:rsid w:val="00B32909"/>
    <w:rsid w:val="00B33589"/>
    <w:rsid w:val="00B338D5"/>
    <w:rsid w:val="00B33EE6"/>
    <w:rsid w:val="00B34041"/>
    <w:rsid w:val="00B3435B"/>
    <w:rsid w:val="00B34453"/>
    <w:rsid w:val="00B345CF"/>
    <w:rsid w:val="00B34885"/>
    <w:rsid w:val="00B35116"/>
    <w:rsid w:val="00B35491"/>
    <w:rsid w:val="00B354A1"/>
    <w:rsid w:val="00B35A9B"/>
    <w:rsid w:val="00B35E82"/>
    <w:rsid w:val="00B35F72"/>
    <w:rsid w:val="00B36173"/>
    <w:rsid w:val="00B36308"/>
    <w:rsid w:val="00B36636"/>
    <w:rsid w:val="00B3671B"/>
    <w:rsid w:val="00B36AB6"/>
    <w:rsid w:val="00B37272"/>
    <w:rsid w:val="00B372F5"/>
    <w:rsid w:val="00B375CB"/>
    <w:rsid w:val="00B3763E"/>
    <w:rsid w:val="00B377BC"/>
    <w:rsid w:val="00B37ABC"/>
    <w:rsid w:val="00B37ADD"/>
    <w:rsid w:val="00B37B3D"/>
    <w:rsid w:val="00B37D72"/>
    <w:rsid w:val="00B40C7E"/>
    <w:rsid w:val="00B40FDA"/>
    <w:rsid w:val="00B41AE7"/>
    <w:rsid w:val="00B41D34"/>
    <w:rsid w:val="00B41DC3"/>
    <w:rsid w:val="00B420FD"/>
    <w:rsid w:val="00B42926"/>
    <w:rsid w:val="00B42B58"/>
    <w:rsid w:val="00B43529"/>
    <w:rsid w:val="00B438F5"/>
    <w:rsid w:val="00B43E26"/>
    <w:rsid w:val="00B44461"/>
    <w:rsid w:val="00B4468B"/>
    <w:rsid w:val="00B4484D"/>
    <w:rsid w:val="00B448AE"/>
    <w:rsid w:val="00B44AE4"/>
    <w:rsid w:val="00B44F1D"/>
    <w:rsid w:val="00B451C6"/>
    <w:rsid w:val="00B45347"/>
    <w:rsid w:val="00B454F5"/>
    <w:rsid w:val="00B45A52"/>
    <w:rsid w:val="00B45E82"/>
    <w:rsid w:val="00B460FC"/>
    <w:rsid w:val="00B46373"/>
    <w:rsid w:val="00B465F5"/>
    <w:rsid w:val="00B4697B"/>
    <w:rsid w:val="00B46B37"/>
    <w:rsid w:val="00B4751E"/>
    <w:rsid w:val="00B47788"/>
    <w:rsid w:val="00B47C67"/>
    <w:rsid w:val="00B47F62"/>
    <w:rsid w:val="00B47FB7"/>
    <w:rsid w:val="00B501E3"/>
    <w:rsid w:val="00B509E7"/>
    <w:rsid w:val="00B5183D"/>
    <w:rsid w:val="00B51CDC"/>
    <w:rsid w:val="00B52224"/>
    <w:rsid w:val="00B5234B"/>
    <w:rsid w:val="00B525F3"/>
    <w:rsid w:val="00B528A0"/>
    <w:rsid w:val="00B5298E"/>
    <w:rsid w:val="00B52A70"/>
    <w:rsid w:val="00B52BB9"/>
    <w:rsid w:val="00B52D99"/>
    <w:rsid w:val="00B52E59"/>
    <w:rsid w:val="00B5335A"/>
    <w:rsid w:val="00B5362E"/>
    <w:rsid w:val="00B536C8"/>
    <w:rsid w:val="00B53B4F"/>
    <w:rsid w:val="00B53D0B"/>
    <w:rsid w:val="00B53D16"/>
    <w:rsid w:val="00B53FFE"/>
    <w:rsid w:val="00B5430A"/>
    <w:rsid w:val="00B54567"/>
    <w:rsid w:val="00B54BD5"/>
    <w:rsid w:val="00B54C21"/>
    <w:rsid w:val="00B54FA9"/>
    <w:rsid w:val="00B5510F"/>
    <w:rsid w:val="00B5548E"/>
    <w:rsid w:val="00B5563A"/>
    <w:rsid w:val="00B5563D"/>
    <w:rsid w:val="00B557B7"/>
    <w:rsid w:val="00B557C2"/>
    <w:rsid w:val="00B55DE8"/>
    <w:rsid w:val="00B564AA"/>
    <w:rsid w:val="00B564AB"/>
    <w:rsid w:val="00B5678E"/>
    <w:rsid w:val="00B567B4"/>
    <w:rsid w:val="00B57154"/>
    <w:rsid w:val="00B578B0"/>
    <w:rsid w:val="00B578EF"/>
    <w:rsid w:val="00B5797F"/>
    <w:rsid w:val="00B57D8A"/>
    <w:rsid w:val="00B6065A"/>
    <w:rsid w:val="00B60AD4"/>
    <w:rsid w:val="00B60B76"/>
    <w:rsid w:val="00B60E97"/>
    <w:rsid w:val="00B61075"/>
    <w:rsid w:val="00B615B3"/>
    <w:rsid w:val="00B61AF0"/>
    <w:rsid w:val="00B61C8A"/>
    <w:rsid w:val="00B61E0E"/>
    <w:rsid w:val="00B6210A"/>
    <w:rsid w:val="00B6216F"/>
    <w:rsid w:val="00B62341"/>
    <w:rsid w:val="00B62587"/>
    <w:rsid w:val="00B62A70"/>
    <w:rsid w:val="00B62CDF"/>
    <w:rsid w:val="00B631D2"/>
    <w:rsid w:val="00B63620"/>
    <w:rsid w:val="00B637B7"/>
    <w:rsid w:val="00B63D21"/>
    <w:rsid w:val="00B64038"/>
    <w:rsid w:val="00B64746"/>
    <w:rsid w:val="00B65F79"/>
    <w:rsid w:val="00B6690C"/>
    <w:rsid w:val="00B66945"/>
    <w:rsid w:val="00B669A2"/>
    <w:rsid w:val="00B670C2"/>
    <w:rsid w:val="00B6748D"/>
    <w:rsid w:val="00B6798B"/>
    <w:rsid w:val="00B67D82"/>
    <w:rsid w:val="00B70149"/>
    <w:rsid w:val="00B70925"/>
    <w:rsid w:val="00B711F3"/>
    <w:rsid w:val="00B71326"/>
    <w:rsid w:val="00B71B6C"/>
    <w:rsid w:val="00B71B86"/>
    <w:rsid w:val="00B71C1C"/>
    <w:rsid w:val="00B71CC3"/>
    <w:rsid w:val="00B72063"/>
    <w:rsid w:val="00B72079"/>
    <w:rsid w:val="00B72373"/>
    <w:rsid w:val="00B728BB"/>
    <w:rsid w:val="00B72A66"/>
    <w:rsid w:val="00B7338E"/>
    <w:rsid w:val="00B73D04"/>
    <w:rsid w:val="00B73F0F"/>
    <w:rsid w:val="00B7403E"/>
    <w:rsid w:val="00B7432A"/>
    <w:rsid w:val="00B7458D"/>
    <w:rsid w:val="00B74EB0"/>
    <w:rsid w:val="00B751AA"/>
    <w:rsid w:val="00B75841"/>
    <w:rsid w:val="00B76DA2"/>
    <w:rsid w:val="00B77CBA"/>
    <w:rsid w:val="00B80161"/>
    <w:rsid w:val="00B80375"/>
    <w:rsid w:val="00B80508"/>
    <w:rsid w:val="00B8076C"/>
    <w:rsid w:val="00B80A33"/>
    <w:rsid w:val="00B810C9"/>
    <w:rsid w:val="00B81851"/>
    <w:rsid w:val="00B81985"/>
    <w:rsid w:val="00B828FC"/>
    <w:rsid w:val="00B831AA"/>
    <w:rsid w:val="00B835BD"/>
    <w:rsid w:val="00B835DF"/>
    <w:rsid w:val="00B83643"/>
    <w:rsid w:val="00B8380E"/>
    <w:rsid w:val="00B83856"/>
    <w:rsid w:val="00B83A9F"/>
    <w:rsid w:val="00B84246"/>
    <w:rsid w:val="00B8443C"/>
    <w:rsid w:val="00B84A49"/>
    <w:rsid w:val="00B84CA8"/>
    <w:rsid w:val="00B85732"/>
    <w:rsid w:val="00B85929"/>
    <w:rsid w:val="00B85942"/>
    <w:rsid w:val="00B85C9F"/>
    <w:rsid w:val="00B85E33"/>
    <w:rsid w:val="00B86251"/>
    <w:rsid w:val="00B86515"/>
    <w:rsid w:val="00B86ACA"/>
    <w:rsid w:val="00B86AE9"/>
    <w:rsid w:val="00B87473"/>
    <w:rsid w:val="00B876EB"/>
    <w:rsid w:val="00B87F7F"/>
    <w:rsid w:val="00B906CB"/>
    <w:rsid w:val="00B90864"/>
    <w:rsid w:val="00B913DA"/>
    <w:rsid w:val="00B91FDE"/>
    <w:rsid w:val="00B92270"/>
    <w:rsid w:val="00B927F6"/>
    <w:rsid w:val="00B928FC"/>
    <w:rsid w:val="00B92EB4"/>
    <w:rsid w:val="00B931A9"/>
    <w:rsid w:val="00B9326C"/>
    <w:rsid w:val="00B93413"/>
    <w:rsid w:val="00B93CA9"/>
    <w:rsid w:val="00B93E5A"/>
    <w:rsid w:val="00B93FAC"/>
    <w:rsid w:val="00B9413F"/>
    <w:rsid w:val="00B943F6"/>
    <w:rsid w:val="00B94540"/>
    <w:rsid w:val="00B947E3"/>
    <w:rsid w:val="00B94B17"/>
    <w:rsid w:val="00B9513B"/>
    <w:rsid w:val="00B957C1"/>
    <w:rsid w:val="00B962B3"/>
    <w:rsid w:val="00B96383"/>
    <w:rsid w:val="00B9655E"/>
    <w:rsid w:val="00B9713C"/>
    <w:rsid w:val="00B975AB"/>
    <w:rsid w:val="00B97C74"/>
    <w:rsid w:val="00BA0370"/>
    <w:rsid w:val="00BA0457"/>
    <w:rsid w:val="00BA086C"/>
    <w:rsid w:val="00BA0A88"/>
    <w:rsid w:val="00BA0AF2"/>
    <w:rsid w:val="00BA1224"/>
    <w:rsid w:val="00BA139E"/>
    <w:rsid w:val="00BA13C7"/>
    <w:rsid w:val="00BA13CA"/>
    <w:rsid w:val="00BA1A8C"/>
    <w:rsid w:val="00BA1D0E"/>
    <w:rsid w:val="00BA1FC8"/>
    <w:rsid w:val="00BA2852"/>
    <w:rsid w:val="00BA2AE7"/>
    <w:rsid w:val="00BA2D28"/>
    <w:rsid w:val="00BA3DB3"/>
    <w:rsid w:val="00BA3DDA"/>
    <w:rsid w:val="00BA48AA"/>
    <w:rsid w:val="00BA4A47"/>
    <w:rsid w:val="00BA5338"/>
    <w:rsid w:val="00BA5A54"/>
    <w:rsid w:val="00BA5B94"/>
    <w:rsid w:val="00BA654E"/>
    <w:rsid w:val="00BA67DD"/>
    <w:rsid w:val="00BA6B41"/>
    <w:rsid w:val="00BA6B43"/>
    <w:rsid w:val="00BA6F4C"/>
    <w:rsid w:val="00BA75E9"/>
    <w:rsid w:val="00BA79CD"/>
    <w:rsid w:val="00BA7B75"/>
    <w:rsid w:val="00BB012A"/>
    <w:rsid w:val="00BB0315"/>
    <w:rsid w:val="00BB0BE5"/>
    <w:rsid w:val="00BB10D9"/>
    <w:rsid w:val="00BB1E4E"/>
    <w:rsid w:val="00BB2313"/>
    <w:rsid w:val="00BB31AA"/>
    <w:rsid w:val="00BB335C"/>
    <w:rsid w:val="00BB3424"/>
    <w:rsid w:val="00BB349F"/>
    <w:rsid w:val="00BB3604"/>
    <w:rsid w:val="00BB3747"/>
    <w:rsid w:val="00BB390C"/>
    <w:rsid w:val="00BB4CCB"/>
    <w:rsid w:val="00BB4FB9"/>
    <w:rsid w:val="00BB4FCF"/>
    <w:rsid w:val="00BB5653"/>
    <w:rsid w:val="00BB6B0A"/>
    <w:rsid w:val="00BB6C35"/>
    <w:rsid w:val="00BB6D66"/>
    <w:rsid w:val="00BB6E48"/>
    <w:rsid w:val="00BB765B"/>
    <w:rsid w:val="00BB797E"/>
    <w:rsid w:val="00BB7C66"/>
    <w:rsid w:val="00BB7E2D"/>
    <w:rsid w:val="00BC02A3"/>
    <w:rsid w:val="00BC0467"/>
    <w:rsid w:val="00BC04E4"/>
    <w:rsid w:val="00BC0C93"/>
    <w:rsid w:val="00BC107F"/>
    <w:rsid w:val="00BC1131"/>
    <w:rsid w:val="00BC11F9"/>
    <w:rsid w:val="00BC1ADC"/>
    <w:rsid w:val="00BC1D91"/>
    <w:rsid w:val="00BC27D2"/>
    <w:rsid w:val="00BC2A94"/>
    <w:rsid w:val="00BC2A96"/>
    <w:rsid w:val="00BC2AE6"/>
    <w:rsid w:val="00BC2D8F"/>
    <w:rsid w:val="00BC2EB7"/>
    <w:rsid w:val="00BC305C"/>
    <w:rsid w:val="00BC3242"/>
    <w:rsid w:val="00BC3404"/>
    <w:rsid w:val="00BC3BBC"/>
    <w:rsid w:val="00BC4139"/>
    <w:rsid w:val="00BC4D66"/>
    <w:rsid w:val="00BC53CF"/>
    <w:rsid w:val="00BC53E5"/>
    <w:rsid w:val="00BC5572"/>
    <w:rsid w:val="00BC5A98"/>
    <w:rsid w:val="00BC61A0"/>
    <w:rsid w:val="00BC61F2"/>
    <w:rsid w:val="00BC6861"/>
    <w:rsid w:val="00BC69AB"/>
    <w:rsid w:val="00BC6EAA"/>
    <w:rsid w:val="00BC70FB"/>
    <w:rsid w:val="00BC771D"/>
    <w:rsid w:val="00BD013B"/>
    <w:rsid w:val="00BD02DE"/>
    <w:rsid w:val="00BD04BC"/>
    <w:rsid w:val="00BD0A83"/>
    <w:rsid w:val="00BD0D13"/>
    <w:rsid w:val="00BD0FFE"/>
    <w:rsid w:val="00BD134B"/>
    <w:rsid w:val="00BD1406"/>
    <w:rsid w:val="00BD1A4E"/>
    <w:rsid w:val="00BD1C49"/>
    <w:rsid w:val="00BD1E88"/>
    <w:rsid w:val="00BD2354"/>
    <w:rsid w:val="00BD2793"/>
    <w:rsid w:val="00BD2A74"/>
    <w:rsid w:val="00BD2DF0"/>
    <w:rsid w:val="00BD2E6B"/>
    <w:rsid w:val="00BD3413"/>
    <w:rsid w:val="00BD37B5"/>
    <w:rsid w:val="00BD415B"/>
    <w:rsid w:val="00BD4555"/>
    <w:rsid w:val="00BD462B"/>
    <w:rsid w:val="00BD4A4A"/>
    <w:rsid w:val="00BD4A97"/>
    <w:rsid w:val="00BD4DCC"/>
    <w:rsid w:val="00BD5279"/>
    <w:rsid w:val="00BD56DD"/>
    <w:rsid w:val="00BD5EC2"/>
    <w:rsid w:val="00BD63EA"/>
    <w:rsid w:val="00BD6458"/>
    <w:rsid w:val="00BD652E"/>
    <w:rsid w:val="00BD7283"/>
    <w:rsid w:val="00BD73E3"/>
    <w:rsid w:val="00BD75BD"/>
    <w:rsid w:val="00BD792D"/>
    <w:rsid w:val="00BD7B0B"/>
    <w:rsid w:val="00BE0177"/>
    <w:rsid w:val="00BE030D"/>
    <w:rsid w:val="00BE030F"/>
    <w:rsid w:val="00BE0E4D"/>
    <w:rsid w:val="00BE1269"/>
    <w:rsid w:val="00BE1548"/>
    <w:rsid w:val="00BE1567"/>
    <w:rsid w:val="00BE1C0A"/>
    <w:rsid w:val="00BE24ED"/>
    <w:rsid w:val="00BE25EA"/>
    <w:rsid w:val="00BE27E3"/>
    <w:rsid w:val="00BE3357"/>
    <w:rsid w:val="00BE3365"/>
    <w:rsid w:val="00BE34B4"/>
    <w:rsid w:val="00BE3790"/>
    <w:rsid w:val="00BE3804"/>
    <w:rsid w:val="00BE3938"/>
    <w:rsid w:val="00BE439B"/>
    <w:rsid w:val="00BE43F2"/>
    <w:rsid w:val="00BE4B61"/>
    <w:rsid w:val="00BE505E"/>
    <w:rsid w:val="00BE544D"/>
    <w:rsid w:val="00BE5977"/>
    <w:rsid w:val="00BE5A3C"/>
    <w:rsid w:val="00BE6002"/>
    <w:rsid w:val="00BE6753"/>
    <w:rsid w:val="00BE6C78"/>
    <w:rsid w:val="00BE6E05"/>
    <w:rsid w:val="00BE7521"/>
    <w:rsid w:val="00BE75C7"/>
    <w:rsid w:val="00BF0335"/>
    <w:rsid w:val="00BF0936"/>
    <w:rsid w:val="00BF0C34"/>
    <w:rsid w:val="00BF1BFC"/>
    <w:rsid w:val="00BF254E"/>
    <w:rsid w:val="00BF31FC"/>
    <w:rsid w:val="00BF4ED1"/>
    <w:rsid w:val="00BF527F"/>
    <w:rsid w:val="00BF54FD"/>
    <w:rsid w:val="00BF5C8F"/>
    <w:rsid w:val="00BF5E02"/>
    <w:rsid w:val="00BF5F5D"/>
    <w:rsid w:val="00BF6992"/>
    <w:rsid w:val="00BF6F16"/>
    <w:rsid w:val="00BF70EC"/>
    <w:rsid w:val="00BF75A8"/>
    <w:rsid w:val="00BF7768"/>
    <w:rsid w:val="00BF7DC6"/>
    <w:rsid w:val="00C007DA"/>
    <w:rsid w:val="00C01602"/>
    <w:rsid w:val="00C01937"/>
    <w:rsid w:val="00C01C99"/>
    <w:rsid w:val="00C027A2"/>
    <w:rsid w:val="00C02EEA"/>
    <w:rsid w:val="00C032BC"/>
    <w:rsid w:val="00C036BE"/>
    <w:rsid w:val="00C037C9"/>
    <w:rsid w:val="00C04052"/>
    <w:rsid w:val="00C04434"/>
    <w:rsid w:val="00C04AC0"/>
    <w:rsid w:val="00C04C10"/>
    <w:rsid w:val="00C06617"/>
    <w:rsid w:val="00C06DF2"/>
    <w:rsid w:val="00C06F4F"/>
    <w:rsid w:val="00C07269"/>
    <w:rsid w:val="00C07B65"/>
    <w:rsid w:val="00C1096B"/>
    <w:rsid w:val="00C1098B"/>
    <w:rsid w:val="00C10A15"/>
    <w:rsid w:val="00C116E9"/>
    <w:rsid w:val="00C11749"/>
    <w:rsid w:val="00C11A34"/>
    <w:rsid w:val="00C11AAA"/>
    <w:rsid w:val="00C1282B"/>
    <w:rsid w:val="00C135FA"/>
    <w:rsid w:val="00C1378B"/>
    <w:rsid w:val="00C13C3F"/>
    <w:rsid w:val="00C13F37"/>
    <w:rsid w:val="00C14068"/>
    <w:rsid w:val="00C1413E"/>
    <w:rsid w:val="00C14F03"/>
    <w:rsid w:val="00C15EAE"/>
    <w:rsid w:val="00C1606C"/>
    <w:rsid w:val="00C1625F"/>
    <w:rsid w:val="00C1679F"/>
    <w:rsid w:val="00C16A88"/>
    <w:rsid w:val="00C17544"/>
    <w:rsid w:val="00C202E1"/>
    <w:rsid w:val="00C20423"/>
    <w:rsid w:val="00C21094"/>
    <w:rsid w:val="00C21984"/>
    <w:rsid w:val="00C2230C"/>
    <w:rsid w:val="00C229C9"/>
    <w:rsid w:val="00C22A1F"/>
    <w:rsid w:val="00C22D4D"/>
    <w:rsid w:val="00C22EDC"/>
    <w:rsid w:val="00C22FD0"/>
    <w:rsid w:val="00C2337C"/>
    <w:rsid w:val="00C23FED"/>
    <w:rsid w:val="00C24795"/>
    <w:rsid w:val="00C24841"/>
    <w:rsid w:val="00C24E14"/>
    <w:rsid w:val="00C2589A"/>
    <w:rsid w:val="00C2592D"/>
    <w:rsid w:val="00C25A17"/>
    <w:rsid w:val="00C25E24"/>
    <w:rsid w:val="00C26224"/>
    <w:rsid w:val="00C266A5"/>
    <w:rsid w:val="00C26EC3"/>
    <w:rsid w:val="00C26FF3"/>
    <w:rsid w:val="00C276F2"/>
    <w:rsid w:val="00C27DBD"/>
    <w:rsid w:val="00C27E40"/>
    <w:rsid w:val="00C2AEA4"/>
    <w:rsid w:val="00C306FE"/>
    <w:rsid w:val="00C30D65"/>
    <w:rsid w:val="00C3113A"/>
    <w:rsid w:val="00C313BE"/>
    <w:rsid w:val="00C3150A"/>
    <w:rsid w:val="00C3152E"/>
    <w:rsid w:val="00C318AA"/>
    <w:rsid w:val="00C31F03"/>
    <w:rsid w:val="00C32E54"/>
    <w:rsid w:val="00C32FFD"/>
    <w:rsid w:val="00C33319"/>
    <w:rsid w:val="00C333E7"/>
    <w:rsid w:val="00C336FA"/>
    <w:rsid w:val="00C33DDF"/>
    <w:rsid w:val="00C341FD"/>
    <w:rsid w:val="00C3435B"/>
    <w:rsid w:val="00C34E26"/>
    <w:rsid w:val="00C3519B"/>
    <w:rsid w:val="00C351B7"/>
    <w:rsid w:val="00C35E22"/>
    <w:rsid w:val="00C3627B"/>
    <w:rsid w:val="00C362D7"/>
    <w:rsid w:val="00C36A77"/>
    <w:rsid w:val="00C372A4"/>
    <w:rsid w:val="00C372DA"/>
    <w:rsid w:val="00C374DA"/>
    <w:rsid w:val="00C375FD"/>
    <w:rsid w:val="00C40A8B"/>
    <w:rsid w:val="00C40C32"/>
    <w:rsid w:val="00C41254"/>
    <w:rsid w:val="00C4150B"/>
    <w:rsid w:val="00C4159B"/>
    <w:rsid w:val="00C416E0"/>
    <w:rsid w:val="00C41D9E"/>
    <w:rsid w:val="00C41F74"/>
    <w:rsid w:val="00C42358"/>
    <w:rsid w:val="00C425D3"/>
    <w:rsid w:val="00C42D95"/>
    <w:rsid w:val="00C42E1D"/>
    <w:rsid w:val="00C43F6D"/>
    <w:rsid w:val="00C44109"/>
    <w:rsid w:val="00C44135"/>
    <w:rsid w:val="00C445F9"/>
    <w:rsid w:val="00C446BE"/>
    <w:rsid w:val="00C44773"/>
    <w:rsid w:val="00C4481B"/>
    <w:rsid w:val="00C44BE0"/>
    <w:rsid w:val="00C44DCA"/>
    <w:rsid w:val="00C45296"/>
    <w:rsid w:val="00C4582D"/>
    <w:rsid w:val="00C4587C"/>
    <w:rsid w:val="00C45942"/>
    <w:rsid w:val="00C45A9A"/>
    <w:rsid w:val="00C4647D"/>
    <w:rsid w:val="00C464A1"/>
    <w:rsid w:val="00C46799"/>
    <w:rsid w:val="00C46E8F"/>
    <w:rsid w:val="00C470C0"/>
    <w:rsid w:val="00C4745A"/>
    <w:rsid w:val="00C4750B"/>
    <w:rsid w:val="00C47C1B"/>
    <w:rsid w:val="00C47C9C"/>
    <w:rsid w:val="00C5017C"/>
    <w:rsid w:val="00C506AA"/>
    <w:rsid w:val="00C507FB"/>
    <w:rsid w:val="00C51088"/>
    <w:rsid w:val="00C511DB"/>
    <w:rsid w:val="00C513A8"/>
    <w:rsid w:val="00C519A4"/>
    <w:rsid w:val="00C52081"/>
    <w:rsid w:val="00C522F0"/>
    <w:rsid w:val="00C528A2"/>
    <w:rsid w:val="00C528B9"/>
    <w:rsid w:val="00C52A44"/>
    <w:rsid w:val="00C52E1D"/>
    <w:rsid w:val="00C52EC5"/>
    <w:rsid w:val="00C531CB"/>
    <w:rsid w:val="00C53D86"/>
    <w:rsid w:val="00C53E83"/>
    <w:rsid w:val="00C548AA"/>
    <w:rsid w:val="00C54CA6"/>
    <w:rsid w:val="00C54EAC"/>
    <w:rsid w:val="00C54FEE"/>
    <w:rsid w:val="00C556A9"/>
    <w:rsid w:val="00C55789"/>
    <w:rsid w:val="00C55BEA"/>
    <w:rsid w:val="00C561AF"/>
    <w:rsid w:val="00C56580"/>
    <w:rsid w:val="00C56ADC"/>
    <w:rsid w:val="00C56D81"/>
    <w:rsid w:val="00C574CC"/>
    <w:rsid w:val="00C57671"/>
    <w:rsid w:val="00C5772E"/>
    <w:rsid w:val="00C57747"/>
    <w:rsid w:val="00C57999"/>
    <w:rsid w:val="00C57D1E"/>
    <w:rsid w:val="00C57FC9"/>
    <w:rsid w:val="00C606C8"/>
    <w:rsid w:val="00C607C4"/>
    <w:rsid w:val="00C60E32"/>
    <w:rsid w:val="00C60EE0"/>
    <w:rsid w:val="00C61938"/>
    <w:rsid w:val="00C61AB9"/>
    <w:rsid w:val="00C624D0"/>
    <w:rsid w:val="00C62814"/>
    <w:rsid w:val="00C629F8"/>
    <w:rsid w:val="00C62BB2"/>
    <w:rsid w:val="00C62E41"/>
    <w:rsid w:val="00C63922"/>
    <w:rsid w:val="00C63A08"/>
    <w:rsid w:val="00C63B39"/>
    <w:rsid w:val="00C64163"/>
    <w:rsid w:val="00C642E5"/>
    <w:rsid w:val="00C647BA"/>
    <w:rsid w:val="00C6495A"/>
    <w:rsid w:val="00C64980"/>
    <w:rsid w:val="00C64A7E"/>
    <w:rsid w:val="00C64EDC"/>
    <w:rsid w:val="00C65038"/>
    <w:rsid w:val="00C65198"/>
    <w:rsid w:val="00C65465"/>
    <w:rsid w:val="00C65632"/>
    <w:rsid w:val="00C66494"/>
    <w:rsid w:val="00C664C9"/>
    <w:rsid w:val="00C6679E"/>
    <w:rsid w:val="00C66970"/>
    <w:rsid w:val="00C66ADF"/>
    <w:rsid w:val="00C66B1A"/>
    <w:rsid w:val="00C66FE1"/>
    <w:rsid w:val="00C6782A"/>
    <w:rsid w:val="00C678E3"/>
    <w:rsid w:val="00C67A2E"/>
    <w:rsid w:val="00C67CF4"/>
    <w:rsid w:val="00C67D8E"/>
    <w:rsid w:val="00C67EAA"/>
    <w:rsid w:val="00C701E0"/>
    <w:rsid w:val="00C70825"/>
    <w:rsid w:val="00C70CC4"/>
    <w:rsid w:val="00C7128D"/>
    <w:rsid w:val="00C71596"/>
    <w:rsid w:val="00C71E2A"/>
    <w:rsid w:val="00C72719"/>
    <w:rsid w:val="00C7317F"/>
    <w:rsid w:val="00C73554"/>
    <w:rsid w:val="00C73FC0"/>
    <w:rsid w:val="00C74DFD"/>
    <w:rsid w:val="00C74E78"/>
    <w:rsid w:val="00C753DA"/>
    <w:rsid w:val="00C754CC"/>
    <w:rsid w:val="00C75591"/>
    <w:rsid w:val="00C75A17"/>
    <w:rsid w:val="00C75B9C"/>
    <w:rsid w:val="00C75D9B"/>
    <w:rsid w:val="00C75F78"/>
    <w:rsid w:val="00C76DB1"/>
    <w:rsid w:val="00C7717D"/>
    <w:rsid w:val="00C77181"/>
    <w:rsid w:val="00C7749B"/>
    <w:rsid w:val="00C778C7"/>
    <w:rsid w:val="00C77982"/>
    <w:rsid w:val="00C77E4E"/>
    <w:rsid w:val="00C8094C"/>
    <w:rsid w:val="00C80A86"/>
    <w:rsid w:val="00C80CD8"/>
    <w:rsid w:val="00C80F07"/>
    <w:rsid w:val="00C80F1D"/>
    <w:rsid w:val="00C81183"/>
    <w:rsid w:val="00C81390"/>
    <w:rsid w:val="00C81A6D"/>
    <w:rsid w:val="00C83830"/>
    <w:rsid w:val="00C838E6"/>
    <w:rsid w:val="00C845E3"/>
    <w:rsid w:val="00C84641"/>
    <w:rsid w:val="00C84C39"/>
    <w:rsid w:val="00C84D6A"/>
    <w:rsid w:val="00C84E33"/>
    <w:rsid w:val="00C84FA9"/>
    <w:rsid w:val="00C853C5"/>
    <w:rsid w:val="00C859A4"/>
    <w:rsid w:val="00C85CBF"/>
    <w:rsid w:val="00C8640B"/>
    <w:rsid w:val="00C8661B"/>
    <w:rsid w:val="00C868E5"/>
    <w:rsid w:val="00C87429"/>
    <w:rsid w:val="00C90559"/>
    <w:rsid w:val="00C91099"/>
    <w:rsid w:val="00C919FC"/>
    <w:rsid w:val="00C923B8"/>
    <w:rsid w:val="00C923CC"/>
    <w:rsid w:val="00C92422"/>
    <w:rsid w:val="00C92477"/>
    <w:rsid w:val="00C92530"/>
    <w:rsid w:val="00C925BD"/>
    <w:rsid w:val="00C92D38"/>
    <w:rsid w:val="00C9309A"/>
    <w:rsid w:val="00C933FC"/>
    <w:rsid w:val="00C93A30"/>
    <w:rsid w:val="00C93D62"/>
    <w:rsid w:val="00C945D6"/>
    <w:rsid w:val="00C94884"/>
    <w:rsid w:val="00C94C82"/>
    <w:rsid w:val="00C95E25"/>
    <w:rsid w:val="00C96025"/>
    <w:rsid w:val="00C96718"/>
    <w:rsid w:val="00C96CF4"/>
    <w:rsid w:val="00C97142"/>
    <w:rsid w:val="00C9795B"/>
    <w:rsid w:val="00C97A2A"/>
    <w:rsid w:val="00C97B07"/>
    <w:rsid w:val="00C97B81"/>
    <w:rsid w:val="00C97D98"/>
    <w:rsid w:val="00C9D91F"/>
    <w:rsid w:val="00CA0190"/>
    <w:rsid w:val="00CA019D"/>
    <w:rsid w:val="00CA0933"/>
    <w:rsid w:val="00CA0D4E"/>
    <w:rsid w:val="00CA0DAF"/>
    <w:rsid w:val="00CA0F19"/>
    <w:rsid w:val="00CA1CAC"/>
    <w:rsid w:val="00CA1F18"/>
    <w:rsid w:val="00CA1FAD"/>
    <w:rsid w:val="00CA29EA"/>
    <w:rsid w:val="00CA2A6B"/>
    <w:rsid w:val="00CA365D"/>
    <w:rsid w:val="00CA37A2"/>
    <w:rsid w:val="00CA43F7"/>
    <w:rsid w:val="00CA45C1"/>
    <w:rsid w:val="00CA4643"/>
    <w:rsid w:val="00CA46C4"/>
    <w:rsid w:val="00CA497A"/>
    <w:rsid w:val="00CA4C41"/>
    <w:rsid w:val="00CA4F10"/>
    <w:rsid w:val="00CA5082"/>
    <w:rsid w:val="00CA5186"/>
    <w:rsid w:val="00CA54EA"/>
    <w:rsid w:val="00CA6E5D"/>
    <w:rsid w:val="00CA75AA"/>
    <w:rsid w:val="00CA7701"/>
    <w:rsid w:val="00CA77F8"/>
    <w:rsid w:val="00CA7829"/>
    <w:rsid w:val="00CA791C"/>
    <w:rsid w:val="00CA798C"/>
    <w:rsid w:val="00CA7FFE"/>
    <w:rsid w:val="00CA85AA"/>
    <w:rsid w:val="00CB00FD"/>
    <w:rsid w:val="00CB073E"/>
    <w:rsid w:val="00CB0769"/>
    <w:rsid w:val="00CB0A8E"/>
    <w:rsid w:val="00CB0E84"/>
    <w:rsid w:val="00CB1035"/>
    <w:rsid w:val="00CB1FDB"/>
    <w:rsid w:val="00CB1FE8"/>
    <w:rsid w:val="00CB202D"/>
    <w:rsid w:val="00CB22AA"/>
    <w:rsid w:val="00CB255B"/>
    <w:rsid w:val="00CB25B3"/>
    <w:rsid w:val="00CB389E"/>
    <w:rsid w:val="00CB3ABC"/>
    <w:rsid w:val="00CB3B9B"/>
    <w:rsid w:val="00CB3CA3"/>
    <w:rsid w:val="00CB536E"/>
    <w:rsid w:val="00CB58B8"/>
    <w:rsid w:val="00CB5F9F"/>
    <w:rsid w:val="00CB6095"/>
    <w:rsid w:val="00CB60C0"/>
    <w:rsid w:val="00CB6109"/>
    <w:rsid w:val="00CB7449"/>
    <w:rsid w:val="00CB77A3"/>
    <w:rsid w:val="00CB781A"/>
    <w:rsid w:val="00CB7DDB"/>
    <w:rsid w:val="00CC0BFE"/>
    <w:rsid w:val="00CC0D1A"/>
    <w:rsid w:val="00CC0D4D"/>
    <w:rsid w:val="00CC1133"/>
    <w:rsid w:val="00CC1228"/>
    <w:rsid w:val="00CC1B18"/>
    <w:rsid w:val="00CC1DC0"/>
    <w:rsid w:val="00CC1E38"/>
    <w:rsid w:val="00CC2472"/>
    <w:rsid w:val="00CC2706"/>
    <w:rsid w:val="00CC2C90"/>
    <w:rsid w:val="00CC2E8B"/>
    <w:rsid w:val="00CC37C3"/>
    <w:rsid w:val="00CC37EE"/>
    <w:rsid w:val="00CC3B7A"/>
    <w:rsid w:val="00CC45DD"/>
    <w:rsid w:val="00CC48E6"/>
    <w:rsid w:val="00CC4B27"/>
    <w:rsid w:val="00CC4C5B"/>
    <w:rsid w:val="00CC4E8D"/>
    <w:rsid w:val="00CC5276"/>
    <w:rsid w:val="00CC5468"/>
    <w:rsid w:val="00CC5C9A"/>
    <w:rsid w:val="00CC5CF3"/>
    <w:rsid w:val="00CC5D72"/>
    <w:rsid w:val="00CC61EF"/>
    <w:rsid w:val="00CC65CC"/>
    <w:rsid w:val="00CC6AD9"/>
    <w:rsid w:val="00CC6D7D"/>
    <w:rsid w:val="00CC73D4"/>
    <w:rsid w:val="00CC76E4"/>
    <w:rsid w:val="00CC782A"/>
    <w:rsid w:val="00CC791D"/>
    <w:rsid w:val="00CC7ABF"/>
    <w:rsid w:val="00CC7D98"/>
    <w:rsid w:val="00CC7F89"/>
    <w:rsid w:val="00CD087F"/>
    <w:rsid w:val="00CD0D4D"/>
    <w:rsid w:val="00CD1646"/>
    <w:rsid w:val="00CD1762"/>
    <w:rsid w:val="00CD1972"/>
    <w:rsid w:val="00CD1976"/>
    <w:rsid w:val="00CD2072"/>
    <w:rsid w:val="00CD2484"/>
    <w:rsid w:val="00CD2851"/>
    <w:rsid w:val="00CD2D54"/>
    <w:rsid w:val="00CD2EA8"/>
    <w:rsid w:val="00CD3446"/>
    <w:rsid w:val="00CD3490"/>
    <w:rsid w:val="00CD3828"/>
    <w:rsid w:val="00CD41A0"/>
    <w:rsid w:val="00CD480D"/>
    <w:rsid w:val="00CD49F0"/>
    <w:rsid w:val="00CD49F3"/>
    <w:rsid w:val="00CD50FF"/>
    <w:rsid w:val="00CD51C2"/>
    <w:rsid w:val="00CD7101"/>
    <w:rsid w:val="00CD7261"/>
    <w:rsid w:val="00CD7A2E"/>
    <w:rsid w:val="00CD7C15"/>
    <w:rsid w:val="00CD7CCD"/>
    <w:rsid w:val="00CE0D8A"/>
    <w:rsid w:val="00CE0EC9"/>
    <w:rsid w:val="00CE168C"/>
    <w:rsid w:val="00CE195A"/>
    <w:rsid w:val="00CE1992"/>
    <w:rsid w:val="00CE1C58"/>
    <w:rsid w:val="00CE1C64"/>
    <w:rsid w:val="00CE2620"/>
    <w:rsid w:val="00CE3911"/>
    <w:rsid w:val="00CE3C8F"/>
    <w:rsid w:val="00CE3D92"/>
    <w:rsid w:val="00CE3E51"/>
    <w:rsid w:val="00CE44CB"/>
    <w:rsid w:val="00CE4B9B"/>
    <w:rsid w:val="00CE4DFC"/>
    <w:rsid w:val="00CE4F3B"/>
    <w:rsid w:val="00CE5051"/>
    <w:rsid w:val="00CE5119"/>
    <w:rsid w:val="00CE63C1"/>
    <w:rsid w:val="00CE724D"/>
    <w:rsid w:val="00CE73FA"/>
    <w:rsid w:val="00CE7969"/>
    <w:rsid w:val="00CE79B5"/>
    <w:rsid w:val="00CE7C2C"/>
    <w:rsid w:val="00CE7DC7"/>
    <w:rsid w:val="00CEB230"/>
    <w:rsid w:val="00CF047E"/>
    <w:rsid w:val="00CF09B5"/>
    <w:rsid w:val="00CF1598"/>
    <w:rsid w:val="00CF1A28"/>
    <w:rsid w:val="00CF1A50"/>
    <w:rsid w:val="00CF2227"/>
    <w:rsid w:val="00CF2714"/>
    <w:rsid w:val="00CF2A6D"/>
    <w:rsid w:val="00CF31E1"/>
    <w:rsid w:val="00CF327F"/>
    <w:rsid w:val="00CF3B7A"/>
    <w:rsid w:val="00CF3CC1"/>
    <w:rsid w:val="00CF4222"/>
    <w:rsid w:val="00CF450B"/>
    <w:rsid w:val="00CF4FD3"/>
    <w:rsid w:val="00CF60E3"/>
    <w:rsid w:val="00CF6160"/>
    <w:rsid w:val="00CF61BD"/>
    <w:rsid w:val="00CF6573"/>
    <w:rsid w:val="00CF689F"/>
    <w:rsid w:val="00CF747A"/>
    <w:rsid w:val="00CF7840"/>
    <w:rsid w:val="00CF7E95"/>
    <w:rsid w:val="00D00042"/>
    <w:rsid w:val="00D003F0"/>
    <w:rsid w:val="00D0108D"/>
    <w:rsid w:val="00D018A9"/>
    <w:rsid w:val="00D01C0A"/>
    <w:rsid w:val="00D01C31"/>
    <w:rsid w:val="00D02734"/>
    <w:rsid w:val="00D0276E"/>
    <w:rsid w:val="00D02884"/>
    <w:rsid w:val="00D02945"/>
    <w:rsid w:val="00D02A17"/>
    <w:rsid w:val="00D02A76"/>
    <w:rsid w:val="00D02CE3"/>
    <w:rsid w:val="00D02DCA"/>
    <w:rsid w:val="00D03214"/>
    <w:rsid w:val="00D0326C"/>
    <w:rsid w:val="00D036E3"/>
    <w:rsid w:val="00D03A1B"/>
    <w:rsid w:val="00D03C26"/>
    <w:rsid w:val="00D03C97"/>
    <w:rsid w:val="00D03F02"/>
    <w:rsid w:val="00D04336"/>
    <w:rsid w:val="00D0457E"/>
    <w:rsid w:val="00D0549A"/>
    <w:rsid w:val="00D0582E"/>
    <w:rsid w:val="00D0587B"/>
    <w:rsid w:val="00D05C23"/>
    <w:rsid w:val="00D0644E"/>
    <w:rsid w:val="00D067FA"/>
    <w:rsid w:val="00D06B5A"/>
    <w:rsid w:val="00D0725A"/>
    <w:rsid w:val="00D0728A"/>
    <w:rsid w:val="00D0729B"/>
    <w:rsid w:val="00D07500"/>
    <w:rsid w:val="00D07627"/>
    <w:rsid w:val="00D07FD2"/>
    <w:rsid w:val="00D102B4"/>
    <w:rsid w:val="00D10345"/>
    <w:rsid w:val="00D10502"/>
    <w:rsid w:val="00D10ACB"/>
    <w:rsid w:val="00D10CEC"/>
    <w:rsid w:val="00D10D2E"/>
    <w:rsid w:val="00D11147"/>
    <w:rsid w:val="00D11494"/>
    <w:rsid w:val="00D12233"/>
    <w:rsid w:val="00D124E9"/>
    <w:rsid w:val="00D12ADE"/>
    <w:rsid w:val="00D12CDF"/>
    <w:rsid w:val="00D1301C"/>
    <w:rsid w:val="00D134BE"/>
    <w:rsid w:val="00D1361F"/>
    <w:rsid w:val="00D138C6"/>
    <w:rsid w:val="00D13EE2"/>
    <w:rsid w:val="00D14424"/>
    <w:rsid w:val="00D144B7"/>
    <w:rsid w:val="00D1462E"/>
    <w:rsid w:val="00D1504F"/>
    <w:rsid w:val="00D15484"/>
    <w:rsid w:val="00D15950"/>
    <w:rsid w:val="00D159BA"/>
    <w:rsid w:val="00D15B4B"/>
    <w:rsid w:val="00D15F0A"/>
    <w:rsid w:val="00D160F4"/>
    <w:rsid w:val="00D170D7"/>
    <w:rsid w:val="00D17537"/>
    <w:rsid w:val="00D17C8C"/>
    <w:rsid w:val="00D1A064"/>
    <w:rsid w:val="00D200AC"/>
    <w:rsid w:val="00D201E7"/>
    <w:rsid w:val="00D2027E"/>
    <w:rsid w:val="00D20284"/>
    <w:rsid w:val="00D207BD"/>
    <w:rsid w:val="00D209D1"/>
    <w:rsid w:val="00D20F90"/>
    <w:rsid w:val="00D21828"/>
    <w:rsid w:val="00D21837"/>
    <w:rsid w:val="00D22405"/>
    <w:rsid w:val="00D22589"/>
    <w:rsid w:val="00D22652"/>
    <w:rsid w:val="00D226DA"/>
    <w:rsid w:val="00D22A38"/>
    <w:rsid w:val="00D22B19"/>
    <w:rsid w:val="00D2339E"/>
    <w:rsid w:val="00D2340B"/>
    <w:rsid w:val="00D23525"/>
    <w:rsid w:val="00D236D1"/>
    <w:rsid w:val="00D23E12"/>
    <w:rsid w:val="00D24376"/>
    <w:rsid w:val="00D247D4"/>
    <w:rsid w:val="00D24A00"/>
    <w:rsid w:val="00D24AA4"/>
    <w:rsid w:val="00D24E30"/>
    <w:rsid w:val="00D25198"/>
    <w:rsid w:val="00D26151"/>
    <w:rsid w:val="00D26223"/>
    <w:rsid w:val="00D26306"/>
    <w:rsid w:val="00D265F8"/>
    <w:rsid w:val="00D26B71"/>
    <w:rsid w:val="00D26F3D"/>
    <w:rsid w:val="00D26F40"/>
    <w:rsid w:val="00D274F4"/>
    <w:rsid w:val="00D276C2"/>
    <w:rsid w:val="00D3070D"/>
    <w:rsid w:val="00D3101B"/>
    <w:rsid w:val="00D31154"/>
    <w:rsid w:val="00D31247"/>
    <w:rsid w:val="00D31950"/>
    <w:rsid w:val="00D31B6B"/>
    <w:rsid w:val="00D31C46"/>
    <w:rsid w:val="00D31EDE"/>
    <w:rsid w:val="00D31F94"/>
    <w:rsid w:val="00D32528"/>
    <w:rsid w:val="00D32766"/>
    <w:rsid w:val="00D32C51"/>
    <w:rsid w:val="00D338AE"/>
    <w:rsid w:val="00D34148"/>
    <w:rsid w:val="00D34221"/>
    <w:rsid w:val="00D347A0"/>
    <w:rsid w:val="00D34AC6"/>
    <w:rsid w:val="00D34B73"/>
    <w:rsid w:val="00D3541E"/>
    <w:rsid w:val="00D35483"/>
    <w:rsid w:val="00D35878"/>
    <w:rsid w:val="00D35C43"/>
    <w:rsid w:val="00D3653B"/>
    <w:rsid w:val="00D369E0"/>
    <w:rsid w:val="00D36FF1"/>
    <w:rsid w:val="00D3702B"/>
    <w:rsid w:val="00D37197"/>
    <w:rsid w:val="00D372EE"/>
    <w:rsid w:val="00D3733A"/>
    <w:rsid w:val="00D37A55"/>
    <w:rsid w:val="00D37C41"/>
    <w:rsid w:val="00D40E1F"/>
    <w:rsid w:val="00D410A2"/>
    <w:rsid w:val="00D41580"/>
    <w:rsid w:val="00D4170D"/>
    <w:rsid w:val="00D41A47"/>
    <w:rsid w:val="00D41AAA"/>
    <w:rsid w:val="00D41B45"/>
    <w:rsid w:val="00D41C02"/>
    <w:rsid w:val="00D421AB"/>
    <w:rsid w:val="00D42468"/>
    <w:rsid w:val="00D42581"/>
    <w:rsid w:val="00D42590"/>
    <w:rsid w:val="00D427CC"/>
    <w:rsid w:val="00D42901"/>
    <w:rsid w:val="00D42937"/>
    <w:rsid w:val="00D43136"/>
    <w:rsid w:val="00D431A8"/>
    <w:rsid w:val="00D43542"/>
    <w:rsid w:val="00D4412B"/>
    <w:rsid w:val="00D442CD"/>
    <w:rsid w:val="00D4448F"/>
    <w:rsid w:val="00D4468F"/>
    <w:rsid w:val="00D4477E"/>
    <w:rsid w:val="00D44BCF"/>
    <w:rsid w:val="00D452F0"/>
    <w:rsid w:val="00D45CD9"/>
    <w:rsid w:val="00D45D57"/>
    <w:rsid w:val="00D45F3F"/>
    <w:rsid w:val="00D46AE2"/>
    <w:rsid w:val="00D46CC2"/>
    <w:rsid w:val="00D475D9"/>
    <w:rsid w:val="00D4779B"/>
    <w:rsid w:val="00D5028E"/>
    <w:rsid w:val="00D502CB"/>
    <w:rsid w:val="00D51CDD"/>
    <w:rsid w:val="00D521B1"/>
    <w:rsid w:val="00D52819"/>
    <w:rsid w:val="00D52D46"/>
    <w:rsid w:val="00D52E18"/>
    <w:rsid w:val="00D52EC9"/>
    <w:rsid w:val="00D531AF"/>
    <w:rsid w:val="00D53C33"/>
    <w:rsid w:val="00D53F47"/>
    <w:rsid w:val="00D53F6E"/>
    <w:rsid w:val="00D542CF"/>
    <w:rsid w:val="00D54476"/>
    <w:rsid w:val="00D5492E"/>
    <w:rsid w:val="00D557D0"/>
    <w:rsid w:val="00D55C11"/>
    <w:rsid w:val="00D560F3"/>
    <w:rsid w:val="00D56899"/>
    <w:rsid w:val="00D568B1"/>
    <w:rsid w:val="00D5695B"/>
    <w:rsid w:val="00D56D08"/>
    <w:rsid w:val="00D56DDA"/>
    <w:rsid w:val="00D570F3"/>
    <w:rsid w:val="00D572DC"/>
    <w:rsid w:val="00D57C94"/>
    <w:rsid w:val="00D57D5D"/>
    <w:rsid w:val="00D605F9"/>
    <w:rsid w:val="00D6078E"/>
    <w:rsid w:val="00D6087A"/>
    <w:rsid w:val="00D60CBF"/>
    <w:rsid w:val="00D60F67"/>
    <w:rsid w:val="00D62845"/>
    <w:rsid w:val="00D6292D"/>
    <w:rsid w:val="00D632BB"/>
    <w:rsid w:val="00D63E4C"/>
    <w:rsid w:val="00D6419C"/>
    <w:rsid w:val="00D642CB"/>
    <w:rsid w:val="00D64830"/>
    <w:rsid w:val="00D64934"/>
    <w:rsid w:val="00D64A9B"/>
    <w:rsid w:val="00D64AAE"/>
    <w:rsid w:val="00D653C9"/>
    <w:rsid w:val="00D6541F"/>
    <w:rsid w:val="00D6557F"/>
    <w:rsid w:val="00D65971"/>
    <w:rsid w:val="00D6603E"/>
    <w:rsid w:val="00D6645F"/>
    <w:rsid w:val="00D66708"/>
    <w:rsid w:val="00D667DA"/>
    <w:rsid w:val="00D66939"/>
    <w:rsid w:val="00D6773B"/>
    <w:rsid w:val="00D67829"/>
    <w:rsid w:val="00D67A8E"/>
    <w:rsid w:val="00D67C76"/>
    <w:rsid w:val="00D67E95"/>
    <w:rsid w:val="00D70240"/>
    <w:rsid w:val="00D705D5"/>
    <w:rsid w:val="00D708A3"/>
    <w:rsid w:val="00D70E70"/>
    <w:rsid w:val="00D7224C"/>
    <w:rsid w:val="00D7225C"/>
    <w:rsid w:val="00D72296"/>
    <w:rsid w:val="00D72649"/>
    <w:rsid w:val="00D72AF4"/>
    <w:rsid w:val="00D72D6D"/>
    <w:rsid w:val="00D72D85"/>
    <w:rsid w:val="00D73303"/>
    <w:rsid w:val="00D73462"/>
    <w:rsid w:val="00D7382D"/>
    <w:rsid w:val="00D74871"/>
    <w:rsid w:val="00D75089"/>
    <w:rsid w:val="00D75569"/>
    <w:rsid w:val="00D75B24"/>
    <w:rsid w:val="00D75CE0"/>
    <w:rsid w:val="00D75D2D"/>
    <w:rsid w:val="00D761BC"/>
    <w:rsid w:val="00D76D92"/>
    <w:rsid w:val="00D7759F"/>
    <w:rsid w:val="00D77944"/>
    <w:rsid w:val="00D804CA"/>
    <w:rsid w:val="00D806CB"/>
    <w:rsid w:val="00D80B1C"/>
    <w:rsid w:val="00D80D58"/>
    <w:rsid w:val="00D81CB3"/>
    <w:rsid w:val="00D820E9"/>
    <w:rsid w:val="00D82323"/>
    <w:rsid w:val="00D8314D"/>
    <w:rsid w:val="00D83431"/>
    <w:rsid w:val="00D83914"/>
    <w:rsid w:val="00D83D3E"/>
    <w:rsid w:val="00D84C02"/>
    <w:rsid w:val="00D84EE7"/>
    <w:rsid w:val="00D84EEC"/>
    <w:rsid w:val="00D85232"/>
    <w:rsid w:val="00D85317"/>
    <w:rsid w:val="00D8536A"/>
    <w:rsid w:val="00D85512"/>
    <w:rsid w:val="00D8609E"/>
    <w:rsid w:val="00D864BD"/>
    <w:rsid w:val="00D86A8D"/>
    <w:rsid w:val="00D875F8"/>
    <w:rsid w:val="00D875FF"/>
    <w:rsid w:val="00D9040F"/>
    <w:rsid w:val="00D90616"/>
    <w:rsid w:val="00D90CFB"/>
    <w:rsid w:val="00D90F5B"/>
    <w:rsid w:val="00D91C47"/>
    <w:rsid w:val="00D923EC"/>
    <w:rsid w:val="00D9252F"/>
    <w:rsid w:val="00D92545"/>
    <w:rsid w:val="00D9268A"/>
    <w:rsid w:val="00D93552"/>
    <w:rsid w:val="00D93AEA"/>
    <w:rsid w:val="00D93DA6"/>
    <w:rsid w:val="00D94CC7"/>
    <w:rsid w:val="00D94CEA"/>
    <w:rsid w:val="00D94DA5"/>
    <w:rsid w:val="00D95154"/>
    <w:rsid w:val="00D95BF6"/>
    <w:rsid w:val="00D961C1"/>
    <w:rsid w:val="00D9657E"/>
    <w:rsid w:val="00D96864"/>
    <w:rsid w:val="00D96BBC"/>
    <w:rsid w:val="00D96F70"/>
    <w:rsid w:val="00D972FD"/>
    <w:rsid w:val="00D97716"/>
    <w:rsid w:val="00D97EFE"/>
    <w:rsid w:val="00DA0B92"/>
    <w:rsid w:val="00DA0E36"/>
    <w:rsid w:val="00DA0EA9"/>
    <w:rsid w:val="00DA161B"/>
    <w:rsid w:val="00DA1B4A"/>
    <w:rsid w:val="00DA1BCB"/>
    <w:rsid w:val="00DA2123"/>
    <w:rsid w:val="00DA24A7"/>
    <w:rsid w:val="00DA2749"/>
    <w:rsid w:val="00DA2B0A"/>
    <w:rsid w:val="00DA333E"/>
    <w:rsid w:val="00DA3C4C"/>
    <w:rsid w:val="00DA3FB1"/>
    <w:rsid w:val="00DA414D"/>
    <w:rsid w:val="00DA43BF"/>
    <w:rsid w:val="00DA4851"/>
    <w:rsid w:val="00DA4A79"/>
    <w:rsid w:val="00DA4EF3"/>
    <w:rsid w:val="00DA5043"/>
    <w:rsid w:val="00DA51C1"/>
    <w:rsid w:val="00DA53F7"/>
    <w:rsid w:val="00DA54B3"/>
    <w:rsid w:val="00DA56C8"/>
    <w:rsid w:val="00DA5C4C"/>
    <w:rsid w:val="00DA5DF7"/>
    <w:rsid w:val="00DA5E67"/>
    <w:rsid w:val="00DA5E7B"/>
    <w:rsid w:val="00DA644A"/>
    <w:rsid w:val="00DA6573"/>
    <w:rsid w:val="00DA661B"/>
    <w:rsid w:val="00DA6693"/>
    <w:rsid w:val="00DA6F8D"/>
    <w:rsid w:val="00DA6FFB"/>
    <w:rsid w:val="00DA7965"/>
    <w:rsid w:val="00DA7CFD"/>
    <w:rsid w:val="00DA7E8A"/>
    <w:rsid w:val="00DB015C"/>
    <w:rsid w:val="00DB02BD"/>
    <w:rsid w:val="00DB0471"/>
    <w:rsid w:val="00DB0B36"/>
    <w:rsid w:val="00DB0B5D"/>
    <w:rsid w:val="00DB1061"/>
    <w:rsid w:val="00DB127C"/>
    <w:rsid w:val="00DB1E47"/>
    <w:rsid w:val="00DB21D1"/>
    <w:rsid w:val="00DB289A"/>
    <w:rsid w:val="00DB2B56"/>
    <w:rsid w:val="00DB2D7D"/>
    <w:rsid w:val="00DB340F"/>
    <w:rsid w:val="00DB3450"/>
    <w:rsid w:val="00DB373D"/>
    <w:rsid w:val="00DB3D91"/>
    <w:rsid w:val="00DB4F0A"/>
    <w:rsid w:val="00DB5384"/>
    <w:rsid w:val="00DB57EE"/>
    <w:rsid w:val="00DB58C6"/>
    <w:rsid w:val="00DB5EDC"/>
    <w:rsid w:val="00DB6F82"/>
    <w:rsid w:val="00DB717C"/>
    <w:rsid w:val="00DB726C"/>
    <w:rsid w:val="00DB7F46"/>
    <w:rsid w:val="00DC007E"/>
    <w:rsid w:val="00DC02A9"/>
    <w:rsid w:val="00DC04AA"/>
    <w:rsid w:val="00DC0924"/>
    <w:rsid w:val="00DC0A8A"/>
    <w:rsid w:val="00DC0B12"/>
    <w:rsid w:val="00DC0FD8"/>
    <w:rsid w:val="00DC0FF3"/>
    <w:rsid w:val="00DC11E9"/>
    <w:rsid w:val="00DC1AB2"/>
    <w:rsid w:val="00DC1C47"/>
    <w:rsid w:val="00DC1D9C"/>
    <w:rsid w:val="00DC2218"/>
    <w:rsid w:val="00DC25C2"/>
    <w:rsid w:val="00DC2706"/>
    <w:rsid w:val="00DC2C8C"/>
    <w:rsid w:val="00DC3005"/>
    <w:rsid w:val="00DC35D9"/>
    <w:rsid w:val="00DC374A"/>
    <w:rsid w:val="00DC3B6E"/>
    <w:rsid w:val="00DC3F4F"/>
    <w:rsid w:val="00DC440E"/>
    <w:rsid w:val="00DC45C8"/>
    <w:rsid w:val="00DC46C1"/>
    <w:rsid w:val="00DC48BC"/>
    <w:rsid w:val="00DC4948"/>
    <w:rsid w:val="00DC4B2F"/>
    <w:rsid w:val="00DC50D6"/>
    <w:rsid w:val="00DC56D2"/>
    <w:rsid w:val="00DC5BE8"/>
    <w:rsid w:val="00DC5D41"/>
    <w:rsid w:val="00DC60D7"/>
    <w:rsid w:val="00DC66C3"/>
    <w:rsid w:val="00DC7467"/>
    <w:rsid w:val="00DC7B19"/>
    <w:rsid w:val="00DC7C7C"/>
    <w:rsid w:val="00DC7CE4"/>
    <w:rsid w:val="00DC7E15"/>
    <w:rsid w:val="00DC7E7D"/>
    <w:rsid w:val="00DD029B"/>
    <w:rsid w:val="00DD0640"/>
    <w:rsid w:val="00DD0E48"/>
    <w:rsid w:val="00DD2384"/>
    <w:rsid w:val="00DD2707"/>
    <w:rsid w:val="00DD2AF4"/>
    <w:rsid w:val="00DD3728"/>
    <w:rsid w:val="00DD3964"/>
    <w:rsid w:val="00DD3AEF"/>
    <w:rsid w:val="00DD3D9C"/>
    <w:rsid w:val="00DD44BF"/>
    <w:rsid w:val="00DD4C40"/>
    <w:rsid w:val="00DD5074"/>
    <w:rsid w:val="00DD5297"/>
    <w:rsid w:val="00DD554C"/>
    <w:rsid w:val="00DD57CE"/>
    <w:rsid w:val="00DD5848"/>
    <w:rsid w:val="00DD6CE8"/>
    <w:rsid w:val="00DD6EDE"/>
    <w:rsid w:val="00DD6FE9"/>
    <w:rsid w:val="00DD7A8A"/>
    <w:rsid w:val="00DD7AB1"/>
    <w:rsid w:val="00DD7C45"/>
    <w:rsid w:val="00DD7EA4"/>
    <w:rsid w:val="00DE06C6"/>
    <w:rsid w:val="00DE07ED"/>
    <w:rsid w:val="00DE10F4"/>
    <w:rsid w:val="00DE15AA"/>
    <w:rsid w:val="00DE1E48"/>
    <w:rsid w:val="00DE20A8"/>
    <w:rsid w:val="00DE228A"/>
    <w:rsid w:val="00DE22F0"/>
    <w:rsid w:val="00DE24BC"/>
    <w:rsid w:val="00DE3260"/>
    <w:rsid w:val="00DE3E03"/>
    <w:rsid w:val="00DE4037"/>
    <w:rsid w:val="00DE4052"/>
    <w:rsid w:val="00DE40EC"/>
    <w:rsid w:val="00DE4354"/>
    <w:rsid w:val="00DE4B34"/>
    <w:rsid w:val="00DE4D58"/>
    <w:rsid w:val="00DE4FAC"/>
    <w:rsid w:val="00DE549A"/>
    <w:rsid w:val="00DE5549"/>
    <w:rsid w:val="00DE5669"/>
    <w:rsid w:val="00DE568B"/>
    <w:rsid w:val="00DE56AE"/>
    <w:rsid w:val="00DE582A"/>
    <w:rsid w:val="00DE5EB0"/>
    <w:rsid w:val="00DE6472"/>
    <w:rsid w:val="00DE659E"/>
    <w:rsid w:val="00DE6876"/>
    <w:rsid w:val="00DE711C"/>
    <w:rsid w:val="00DE7644"/>
    <w:rsid w:val="00DE78B9"/>
    <w:rsid w:val="00DE7BEA"/>
    <w:rsid w:val="00DF0197"/>
    <w:rsid w:val="00DF01A6"/>
    <w:rsid w:val="00DF0389"/>
    <w:rsid w:val="00DF054B"/>
    <w:rsid w:val="00DF0989"/>
    <w:rsid w:val="00DF0A7A"/>
    <w:rsid w:val="00DF0C16"/>
    <w:rsid w:val="00DF1A9B"/>
    <w:rsid w:val="00DF1D42"/>
    <w:rsid w:val="00DF2443"/>
    <w:rsid w:val="00DF2FF2"/>
    <w:rsid w:val="00DF2FFF"/>
    <w:rsid w:val="00DF3BFB"/>
    <w:rsid w:val="00DF3CAA"/>
    <w:rsid w:val="00DF3FCF"/>
    <w:rsid w:val="00DF400A"/>
    <w:rsid w:val="00DF400B"/>
    <w:rsid w:val="00DF4123"/>
    <w:rsid w:val="00DF4127"/>
    <w:rsid w:val="00DF4571"/>
    <w:rsid w:val="00DF516D"/>
    <w:rsid w:val="00DF542B"/>
    <w:rsid w:val="00DF555D"/>
    <w:rsid w:val="00DF5568"/>
    <w:rsid w:val="00DF567C"/>
    <w:rsid w:val="00DF5C11"/>
    <w:rsid w:val="00DF6464"/>
    <w:rsid w:val="00DF64DD"/>
    <w:rsid w:val="00DF6A9C"/>
    <w:rsid w:val="00DF6BC6"/>
    <w:rsid w:val="00DF72A7"/>
    <w:rsid w:val="00DF7332"/>
    <w:rsid w:val="00DF739D"/>
    <w:rsid w:val="00DF7584"/>
    <w:rsid w:val="00DF75C3"/>
    <w:rsid w:val="00DF7900"/>
    <w:rsid w:val="00DF7DB1"/>
    <w:rsid w:val="00DF7DBA"/>
    <w:rsid w:val="00DF7E71"/>
    <w:rsid w:val="00E004AD"/>
    <w:rsid w:val="00E00CE9"/>
    <w:rsid w:val="00E00DC0"/>
    <w:rsid w:val="00E00F49"/>
    <w:rsid w:val="00E0136D"/>
    <w:rsid w:val="00E013EB"/>
    <w:rsid w:val="00E0156A"/>
    <w:rsid w:val="00E01C33"/>
    <w:rsid w:val="00E02E32"/>
    <w:rsid w:val="00E02EF8"/>
    <w:rsid w:val="00E03A22"/>
    <w:rsid w:val="00E03BAE"/>
    <w:rsid w:val="00E03D72"/>
    <w:rsid w:val="00E04729"/>
    <w:rsid w:val="00E053E2"/>
    <w:rsid w:val="00E05474"/>
    <w:rsid w:val="00E05499"/>
    <w:rsid w:val="00E058F8"/>
    <w:rsid w:val="00E0593E"/>
    <w:rsid w:val="00E05D13"/>
    <w:rsid w:val="00E05D46"/>
    <w:rsid w:val="00E0603C"/>
    <w:rsid w:val="00E060DC"/>
    <w:rsid w:val="00E060FD"/>
    <w:rsid w:val="00E061D5"/>
    <w:rsid w:val="00E063B6"/>
    <w:rsid w:val="00E074EE"/>
    <w:rsid w:val="00E07683"/>
    <w:rsid w:val="00E07D36"/>
    <w:rsid w:val="00E083F0"/>
    <w:rsid w:val="00E101BD"/>
    <w:rsid w:val="00E10424"/>
    <w:rsid w:val="00E10516"/>
    <w:rsid w:val="00E10920"/>
    <w:rsid w:val="00E10CF8"/>
    <w:rsid w:val="00E11264"/>
    <w:rsid w:val="00E114DF"/>
    <w:rsid w:val="00E118C4"/>
    <w:rsid w:val="00E11DF0"/>
    <w:rsid w:val="00E12326"/>
    <w:rsid w:val="00E12570"/>
    <w:rsid w:val="00E1386C"/>
    <w:rsid w:val="00E13878"/>
    <w:rsid w:val="00E13CB6"/>
    <w:rsid w:val="00E13DC3"/>
    <w:rsid w:val="00E13EE4"/>
    <w:rsid w:val="00E13FC3"/>
    <w:rsid w:val="00E140AE"/>
    <w:rsid w:val="00E1440A"/>
    <w:rsid w:val="00E147E8"/>
    <w:rsid w:val="00E15123"/>
    <w:rsid w:val="00E1543F"/>
    <w:rsid w:val="00E15472"/>
    <w:rsid w:val="00E154F3"/>
    <w:rsid w:val="00E15CFF"/>
    <w:rsid w:val="00E16110"/>
    <w:rsid w:val="00E16257"/>
    <w:rsid w:val="00E16401"/>
    <w:rsid w:val="00E166A8"/>
    <w:rsid w:val="00E16CBD"/>
    <w:rsid w:val="00E17068"/>
    <w:rsid w:val="00E172EA"/>
    <w:rsid w:val="00E174EF"/>
    <w:rsid w:val="00E1772C"/>
    <w:rsid w:val="00E1774F"/>
    <w:rsid w:val="00E17F30"/>
    <w:rsid w:val="00E17FCF"/>
    <w:rsid w:val="00E2004B"/>
    <w:rsid w:val="00E20329"/>
    <w:rsid w:val="00E20D8C"/>
    <w:rsid w:val="00E219D7"/>
    <w:rsid w:val="00E21B7A"/>
    <w:rsid w:val="00E221ED"/>
    <w:rsid w:val="00E22252"/>
    <w:rsid w:val="00E22D0F"/>
    <w:rsid w:val="00E23CAE"/>
    <w:rsid w:val="00E242C6"/>
    <w:rsid w:val="00E246B8"/>
    <w:rsid w:val="00E24DDA"/>
    <w:rsid w:val="00E257A8"/>
    <w:rsid w:val="00E2585A"/>
    <w:rsid w:val="00E25AEC"/>
    <w:rsid w:val="00E26A82"/>
    <w:rsid w:val="00E27292"/>
    <w:rsid w:val="00E27636"/>
    <w:rsid w:val="00E2773A"/>
    <w:rsid w:val="00E2791C"/>
    <w:rsid w:val="00E27E65"/>
    <w:rsid w:val="00E3068E"/>
    <w:rsid w:val="00E30ADF"/>
    <w:rsid w:val="00E30C47"/>
    <w:rsid w:val="00E30E8B"/>
    <w:rsid w:val="00E30EB6"/>
    <w:rsid w:val="00E3105A"/>
    <w:rsid w:val="00E3138E"/>
    <w:rsid w:val="00E313C9"/>
    <w:rsid w:val="00E31736"/>
    <w:rsid w:val="00E31861"/>
    <w:rsid w:val="00E31CAC"/>
    <w:rsid w:val="00E32276"/>
    <w:rsid w:val="00E33D87"/>
    <w:rsid w:val="00E33E5E"/>
    <w:rsid w:val="00E3403D"/>
    <w:rsid w:val="00E3440B"/>
    <w:rsid w:val="00E348AA"/>
    <w:rsid w:val="00E34BDA"/>
    <w:rsid w:val="00E351D0"/>
    <w:rsid w:val="00E352D4"/>
    <w:rsid w:val="00E35ACC"/>
    <w:rsid w:val="00E35B62"/>
    <w:rsid w:val="00E36479"/>
    <w:rsid w:val="00E366BB"/>
    <w:rsid w:val="00E36872"/>
    <w:rsid w:val="00E36C72"/>
    <w:rsid w:val="00E3709D"/>
    <w:rsid w:val="00E372E1"/>
    <w:rsid w:val="00E40827"/>
    <w:rsid w:val="00E4088C"/>
    <w:rsid w:val="00E40B52"/>
    <w:rsid w:val="00E40D07"/>
    <w:rsid w:val="00E40D91"/>
    <w:rsid w:val="00E40E0C"/>
    <w:rsid w:val="00E40EC2"/>
    <w:rsid w:val="00E410A7"/>
    <w:rsid w:val="00E410AB"/>
    <w:rsid w:val="00E41659"/>
    <w:rsid w:val="00E4278E"/>
    <w:rsid w:val="00E43441"/>
    <w:rsid w:val="00E43A5D"/>
    <w:rsid w:val="00E43CCD"/>
    <w:rsid w:val="00E451F4"/>
    <w:rsid w:val="00E45246"/>
    <w:rsid w:val="00E457A7"/>
    <w:rsid w:val="00E45B9D"/>
    <w:rsid w:val="00E45CB5"/>
    <w:rsid w:val="00E465FB"/>
    <w:rsid w:val="00E46749"/>
    <w:rsid w:val="00E4687D"/>
    <w:rsid w:val="00E46B09"/>
    <w:rsid w:val="00E46BC0"/>
    <w:rsid w:val="00E46D7E"/>
    <w:rsid w:val="00E46E8A"/>
    <w:rsid w:val="00E4726C"/>
    <w:rsid w:val="00E4745A"/>
    <w:rsid w:val="00E4763A"/>
    <w:rsid w:val="00E47C3D"/>
    <w:rsid w:val="00E505D2"/>
    <w:rsid w:val="00E50688"/>
    <w:rsid w:val="00E50A1A"/>
    <w:rsid w:val="00E50CC8"/>
    <w:rsid w:val="00E50F57"/>
    <w:rsid w:val="00E514AB"/>
    <w:rsid w:val="00E51D47"/>
    <w:rsid w:val="00E522C4"/>
    <w:rsid w:val="00E522DE"/>
    <w:rsid w:val="00E522E2"/>
    <w:rsid w:val="00E52F83"/>
    <w:rsid w:val="00E53069"/>
    <w:rsid w:val="00E53295"/>
    <w:rsid w:val="00E535F5"/>
    <w:rsid w:val="00E53843"/>
    <w:rsid w:val="00E53F4D"/>
    <w:rsid w:val="00E5417D"/>
    <w:rsid w:val="00E54938"/>
    <w:rsid w:val="00E54A58"/>
    <w:rsid w:val="00E54BD3"/>
    <w:rsid w:val="00E55262"/>
    <w:rsid w:val="00E55319"/>
    <w:rsid w:val="00E5576F"/>
    <w:rsid w:val="00E55BCB"/>
    <w:rsid w:val="00E55BF4"/>
    <w:rsid w:val="00E55F66"/>
    <w:rsid w:val="00E563C9"/>
    <w:rsid w:val="00E566EB"/>
    <w:rsid w:val="00E56709"/>
    <w:rsid w:val="00E567EE"/>
    <w:rsid w:val="00E56FE8"/>
    <w:rsid w:val="00E575EB"/>
    <w:rsid w:val="00E578A2"/>
    <w:rsid w:val="00E579B8"/>
    <w:rsid w:val="00E57B97"/>
    <w:rsid w:val="00E608DF"/>
    <w:rsid w:val="00E60D1F"/>
    <w:rsid w:val="00E60D71"/>
    <w:rsid w:val="00E61720"/>
    <w:rsid w:val="00E61B7C"/>
    <w:rsid w:val="00E61DEB"/>
    <w:rsid w:val="00E61F5B"/>
    <w:rsid w:val="00E622AB"/>
    <w:rsid w:val="00E62DE0"/>
    <w:rsid w:val="00E62E6B"/>
    <w:rsid w:val="00E634C7"/>
    <w:rsid w:val="00E63A5B"/>
    <w:rsid w:val="00E63CF9"/>
    <w:rsid w:val="00E640F4"/>
    <w:rsid w:val="00E641DB"/>
    <w:rsid w:val="00E64731"/>
    <w:rsid w:val="00E64B25"/>
    <w:rsid w:val="00E64C0C"/>
    <w:rsid w:val="00E64F48"/>
    <w:rsid w:val="00E65169"/>
    <w:rsid w:val="00E65456"/>
    <w:rsid w:val="00E661C5"/>
    <w:rsid w:val="00E661E2"/>
    <w:rsid w:val="00E66640"/>
    <w:rsid w:val="00E66DFC"/>
    <w:rsid w:val="00E66E67"/>
    <w:rsid w:val="00E67DEA"/>
    <w:rsid w:val="00E70B36"/>
    <w:rsid w:val="00E70F11"/>
    <w:rsid w:val="00E714A2"/>
    <w:rsid w:val="00E717E7"/>
    <w:rsid w:val="00E71A93"/>
    <w:rsid w:val="00E71AD4"/>
    <w:rsid w:val="00E71BEC"/>
    <w:rsid w:val="00E724E4"/>
    <w:rsid w:val="00E728CE"/>
    <w:rsid w:val="00E72BB5"/>
    <w:rsid w:val="00E7357C"/>
    <w:rsid w:val="00E745B1"/>
    <w:rsid w:val="00E74E83"/>
    <w:rsid w:val="00E74F8B"/>
    <w:rsid w:val="00E75052"/>
    <w:rsid w:val="00E7517A"/>
    <w:rsid w:val="00E75F0F"/>
    <w:rsid w:val="00E7666B"/>
    <w:rsid w:val="00E76AD2"/>
    <w:rsid w:val="00E76B9C"/>
    <w:rsid w:val="00E76DAC"/>
    <w:rsid w:val="00E774C5"/>
    <w:rsid w:val="00E77573"/>
    <w:rsid w:val="00E7792A"/>
    <w:rsid w:val="00E77D83"/>
    <w:rsid w:val="00E780B2"/>
    <w:rsid w:val="00E80372"/>
    <w:rsid w:val="00E803FD"/>
    <w:rsid w:val="00E8070A"/>
    <w:rsid w:val="00E80BDD"/>
    <w:rsid w:val="00E80CC4"/>
    <w:rsid w:val="00E80D97"/>
    <w:rsid w:val="00E81196"/>
    <w:rsid w:val="00E81517"/>
    <w:rsid w:val="00E8151C"/>
    <w:rsid w:val="00E81858"/>
    <w:rsid w:val="00E818BF"/>
    <w:rsid w:val="00E819F0"/>
    <w:rsid w:val="00E81FB1"/>
    <w:rsid w:val="00E82412"/>
    <w:rsid w:val="00E824B7"/>
    <w:rsid w:val="00E83D73"/>
    <w:rsid w:val="00E83F3E"/>
    <w:rsid w:val="00E8412F"/>
    <w:rsid w:val="00E844AC"/>
    <w:rsid w:val="00E84907"/>
    <w:rsid w:val="00E84EA6"/>
    <w:rsid w:val="00E85793"/>
    <w:rsid w:val="00E85FFC"/>
    <w:rsid w:val="00E86097"/>
    <w:rsid w:val="00E8656B"/>
    <w:rsid w:val="00E8719D"/>
    <w:rsid w:val="00E8736D"/>
    <w:rsid w:val="00E87566"/>
    <w:rsid w:val="00E8783E"/>
    <w:rsid w:val="00E87EFE"/>
    <w:rsid w:val="00E901AA"/>
    <w:rsid w:val="00E902E2"/>
    <w:rsid w:val="00E90B81"/>
    <w:rsid w:val="00E90BEA"/>
    <w:rsid w:val="00E90BEB"/>
    <w:rsid w:val="00E916E7"/>
    <w:rsid w:val="00E9172A"/>
    <w:rsid w:val="00E9186B"/>
    <w:rsid w:val="00E91E4B"/>
    <w:rsid w:val="00E91EB3"/>
    <w:rsid w:val="00E91F85"/>
    <w:rsid w:val="00E92D96"/>
    <w:rsid w:val="00E92E77"/>
    <w:rsid w:val="00E932D5"/>
    <w:rsid w:val="00E936ED"/>
    <w:rsid w:val="00E93B9F"/>
    <w:rsid w:val="00E93D70"/>
    <w:rsid w:val="00E93EF5"/>
    <w:rsid w:val="00E942A3"/>
    <w:rsid w:val="00E944C8"/>
    <w:rsid w:val="00E945A0"/>
    <w:rsid w:val="00E94695"/>
    <w:rsid w:val="00E94727"/>
    <w:rsid w:val="00E94AF4"/>
    <w:rsid w:val="00E94CC8"/>
    <w:rsid w:val="00E94DC8"/>
    <w:rsid w:val="00E94E4A"/>
    <w:rsid w:val="00E94F3B"/>
    <w:rsid w:val="00E94F74"/>
    <w:rsid w:val="00E95421"/>
    <w:rsid w:val="00E9590A"/>
    <w:rsid w:val="00E95D86"/>
    <w:rsid w:val="00E95DE6"/>
    <w:rsid w:val="00E9621D"/>
    <w:rsid w:val="00E9622B"/>
    <w:rsid w:val="00E966A7"/>
    <w:rsid w:val="00E968B5"/>
    <w:rsid w:val="00E96D50"/>
    <w:rsid w:val="00E97902"/>
    <w:rsid w:val="00EA0357"/>
    <w:rsid w:val="00EA0A16"/>
    <w:rsid w:val="00EA136B"/>
    <w:rsid w:val="00EA14AE"/>
    <w:rsid w:val="00EA15E8"/>
    <w:rsid w:val="00EA1708"/>
    <w:rsid w:val="00EA1797"/>
    <w:rsid w:val="00EA1818"/>
    <w:rsid w:val="00EA1868"/>
    <w:rsid w:val="00EA2921"/>
    <w:rsid w:val="00EA2F7A"/>
    <w:rsid w:val="00EA2F99"/>
    <w:rsid w:val="00EA35A7"/>
    <w:rsid w:val="00EA368A"/>
    <w:rsid w:val="00EA3962"/>
    <w:rsid w:val="00EA3CBC"/>
    <w:rsid w:val="00EA3F72"/>
    <w:rsid w:val="00EA40B7"/>
    <w:rsid w:val="00EA40C3"/>
    <w:rsid w:val="00EA44DF"/>
    <w:rsid w:val="00EA4604"/>
    <w:rsid w:val="00EA4633"/>
    <w:rsid w:val="00EA51D4"/>
    <w:rsid w:val="00EA541F"/>
    <w:rsid w:val="00EA59AC"/>
    <w:rsid w:val="00EA5C11"/>
    <w:rsid w:val="00EA5CA0"/>
    <w:rsid w:val="00EA5E0F"/>
    <w:rsid w:val="00EA6123"/>
    <w:rsid w:val="00EA6403"/>
    <w:rsid w:val="00EA6A6C"/>
    <w:rsid w:val="00EA748B"/>
    <w:rsid w:val="00EA76CF"/>
    <w:rsid w:val="00EB027C"/>
    <w:rsid w:val="00EB039C"/>
    <w:rsid w:val="00EB11DE"/>
    <w:rsid w:val="00EB11E2"/>
    <w:rsid w:val="00EB1407"/>
    <w:rsid w:val="00EB1AB4"/>
    <w:rsid w:val="00EB1F90"/>
    <w:rsid w:val="00EB213A"/>
    <w:rsid w:val="00EB25E2"/>
    <w:rsid w:val="00EB2F03"/>
    <w:rsid w:val="00EB3703"/>
    <w:rsid w:val="00EB3DF9"/>
    <w:rsid w:val="00EB44E8"/>
    <w:rsid w:val="00EB46E5"/>
    <w:rsid w:val="00EB4819"/>
    <w:rsid w:val="00EB4A2C"/>
    <w:rsid w:val="00EB52D8"/>
    <w:rsid w:val="00EB55B3"/>
    <w:rsid w:val="00EB567B"/>
    <w:rsid w:val="00EB5B4A"/>
    <w:rsid w:val="00EB5DFC"/>
    <w:rsid w:val="00EB606D"/>
    <w:rsid w:val="00EB6324"/>
    <w:rsid w:val="00EB6511"/>
    <w:rsid w:val="00EB6ECF"/>
    <w:rsid w:val="00EB74BF"/>
    <w:rsid w:val="00EB7725"/>
    <w:rsid w:val="00EC00DF"/>
    <w:rsid w:val="00EC0765"/>
    <w:rsid w:val="00EC10AA"/>
    <w:rsid w:val="00EC1958"/>
    <w:rsid w:val="00EC1C86"/>
    <w:rsid w:val="00EC1FA3"/>
    <w:rsid w:val="00EC24E7"/>
    <w:rsid w:val="00EC252B"/>
    <w:rsid w:val="00EC27AF"/>
    <w:rsid w:val="00EC27CA"/>
    <w:rsid w:val="00EC2DBA"/>
    <w:rsid w:val="00EC3220"/>
    <w:rsid w:val="00EC415E"/>
    <w:rsid w:val="00EC4356"/>
    <w:rsid w:val="00EC4694"/>
    <w:rsid w:val="00EC50F1"/>
    <w:rsid w:val="00EC5269"/>
    <w:rsid w:val="00EC53D2"/>
    <w:rsid w:val="00EC5671"/>
    <w:rsid w:val="00EC5EE4"/>
    <w:rsid w:val="00EC651E"/>
    <w:rsid w:val="00EC6A76"/>
    <w:rsid w:val="00EC7842"/>
    <w:rsid w:val="00EC7871"/>
    <w:rsid w:val="00EC7AEE"/>
    <w:rsid w:val="00EC7FD2"/>
    <w:rsid w:val="00ED0E75"/>
    <w:rsid w:val="00ED0EB3"/>
    <w:rsid w:val="00ED0F2F"/>
    <w:rsid w:val="00ED1123"/>
    <w:rsid w:val="00ED173D"/>
    <w:rsid w:val="00ED1C13"/>
    <w:rsid w:val="00ED2795"/>
    <w:rsid w:val="00ED287E"/>
    <w:rsid w:val="00ED2960"/>
    <w:rsid w:val="00ED3271"/>
    <w:rsid w:val="00ED3B62"/>
    <w:rsid w:val="00ED3D28"/>
    <w:rsid w:val="00ED4122"/>
    <w:rsid w:val="00ED4FED"/>
    <w:rsid w:val="00ED5299"/>
    <w:rsid w:val="00ED5543"/>
    <w:rsid w:val="00ED5F93"/>
    <w:rsid w:val="00ED6A30"/>
    <w:rsid w:val="00ED6BFB"/>
    <w:rsid w:val="00ED7CDD"/>
    <w:rsid w:val="00ED7E0F"/>
    <w:rsid w:val="00EE0332"/>
    <w:rsid w:val="00EE04FE"/>
    <w:rsid w:val="00EE0CEC"/>
    <w:rsid w:val="00EE0D1F"/>
    <w:rsid w:val="00EE0FC9"/>
    <w:rsid w:val="00EE1FBF"/>
    <w:rsid w:val="00EE20C4"/>
    <w:rsid w:val="00EE2487"/>
    <w:rsid w:val="00EE3600"/>
    <w:rsid w:val="00EE367A"/>
    <w:rsid w:val="00EE36C3"/>
    <w:rsid w:val="00EE43E2"/>
    <w:rsid w:val="00EE44FF"/>
    <w:rsid w:val="00EE4DF3"/>
    <w:rsid w:val="00EE4E90"/>
    <w:rsid w:val="00EE4F82"/>
    <w:rsid w:val="00EE55E6"/>
    <w:rsid w:val="00EE5689"/>
    <w:rsid w:val="00EE588B"/>
    <w:rsid w:val="00EE59BF"/>
    <w:rsid w:val="00EE5A79"/>
    <w:rsid w:val="00EE5E10"/>
    <w:rsid w:val="00EE5ED9"/>
    <w:rsid w:val="00EE646D"/>
    <w:rsid w:val="00EE6B3B"/>
    <w:rsid w:val="00EE6D55"/>
    <w:rsid w:val="00EE755D"/>
    <w:rsid w:val="00EE7570"/>
    <w:rsid w:val="00EE77B0"/>
    <w:rsid w:val="00EF0ED1"/>
    <w:rsid w:val="00EF0FA6"/>
    <w:rsid w:val="00EF16B9"/>
    <w:rsid w:val="00EF1CF7"/>
    <w:rsid w:val="00EF1EA8"/>
    <w:rsid w:val="00EF2E9A"/>
    <w:rsid w:val="00EF376E"/>
    <w:rsid w:val="00EF3EF3"/>
    <w:rsid w:val="00EF3F52"/>
    <w:rsid w:val="00EF4434"/>
    <w:rsid w:val="00EF44B5"/>
    <w:rsid w:val="00EF5230"/>
    <w:rsid w:val="00EF52DE"/>
    <w:rsid w:val="00EF59C9"/>
    <w:rsid w:val="00EF5B3B"/>
    <w:rsid w:val="00EF5EFE"/>
    <w:rsid w:val="00EF68CB"/>
    <w:rsid w:val="00EF6933"/>
    <w:rsid w:val="00EF7548"/>
    <w:rsid w:val="00EF7834"/>
    <w:rsid w:val="00F00774"/>
    <w:rsid w:val="00F009D6"/>
    <w:rsid w:val="00F00FC7"/>
    <w:rsid w:val="00F01100"/>
    <w:rsid w:val="00F011AA"/>
    <w:rsid w:val="00F01310"/>
    <w:rsid w:val="00F01375"/>
    <w:rsid w:val="00F01407"/>
    <w:rsid w:val="00F0168F"/>
    <w:rsid w:val="00F01816"/>
    <w:rsid w:val="00F023A7"/>
    <w:rsid w:val="00F023E3"/>
    <w:rsid w:val="00F026A2"/>
    <w:rsid w:val="00F02AD4"/>
    <w:rsid w:val="00F02FE6"/>
    <w:rsid w:val="00F03855"/>
    <w:rsid w:val="00F0411D"/>
    <w:rsid w:val="00F0424A"/>
    <w:rsid w:val="00F04973"/>
    <w:rsid w:val="00F04BFA"/>
    <w:rsid w:val="00F0561E"/>
    <w:rsid w:val="00F058C8"/>
    <w:rsid w:val="00F05A4C"/>
    <w:rsid w:val="00F05AA0"/>
    <w:rsid w:val="00F06C30"/>
    <w:rsid w:val="00F06D9B"/>
    <w:rsid w:val="00F07160"/>
    <w:rsid w:val="00F0742B"/>
    <w:rsid w:val="00F077D4"/>
    <w:rsid w:val="00F07C33"/>
    <w:rsid w:val="00F07DAB"/>
    <w:rsid w:val="00F1079A"/>
    <w:rsid w:val="00F10CA8"/>
    <w:rsid w:val="00F10CCB"/>
    <w:rsid w:val="00F10F6E"/>
    <w:rsid w:val="00F11002"/>
    <w:rsid w:val="00F110F2"/>
    <w:rsid w:val="00F112F8"/>
    <w:rsid w:val="00F11351"/>
    <w:rsid w:val="00F11359"/>
    <w:rsid w:val="00F1138E"/>
    <w:rsid w:val="00F11BDE"/>
    <w:rsid w:val="00F11C79"/>
    <w:rsid w:val="00F12184"/>
    <w:rsid w:val="00F123D8"/>
    <w:rsid w:val="00F1246A"/>
    <w:rsid w:val="00F12BF4"/>
    <w:rsid w:val="00F12E4B"/>
    <w:rsid w:val="00F13172"/>
    <w:rsid w:val="00F1388B"/>
    <w:rsid w:val="00F14047"/>
    <w:rsid w:val="00F1419E"/>
    <w:rsid w:val="00F143F5"/>
    <w:rsid w:val="00F1466C"/>
    <w:rsid w:val="00F1481C"/>
    <w:rsid w:val="00F15929"/>
    <w:rsid w:val="00F15CD3"/>
    <w:rsid w:val="00F15D04"/>
    <w:rsid w:val="00F1633A"/>
    <w:rsid w:val="00F16871"/>
    <w:rsid w:val="00F16B18"/>
    <w:rsid w:val="00F16B2B"/>
    <w:rsid w:val="00F1717E"/>
    <w:rsid w:val="00F17426"/>
    <w:rsid w:val="00F17470"/>
    <w:rsid w:val="00F17961"/>
    <w:rsid w:val="00F17D46"/>
    <w:rsid w:val="00F17D75"/>
    <w:rsid w:val="00F17E54"/>
    <w:rsid w:val="00F20064"/>
    <w:rsid w:val="00F201CD"/>
    <w:rsid w:val="00F20200"/>
    <w:rsid w:val="00F208E6"/>
    <w:rsid w:val="00F21177"/>
    <w:rsid w:val="00F21181"/>
    <w:rsid w:val="00F212E3"/>
    <w:rsid w:val="00F21D5A"/>
    <w:rsid w:val="00F21D7F"/>
    <w:rsid w:val="00F21E8A"/>
    <w:rsid w:val="00F22685"/>
    <w:rsid w:val="00F226CB"/>
    <w:rsid w:val="00F2290E"/>
    <w:rsid w:val="00F23101"/>
    <w:rsid w:val="00F23665"/>
    <w:rsid w:val="00F2395A"/>
    <w:rsid w:val="00F23B0A"/>
    <w:rsid w:val="00F24A28"/>
    <w:rsid w:val="00F25309"/>
    <w:rsid w:val="00F2542F"/>
    <w:rsid w:val="00F25553"/>
    <w:rsid w:val="00F25F6E"/>
    <w:rsid w:val="00F265DE"/>
    <w:rsid w:val="00F2663A"/>
    <w:rsid w:val="00F269E9"/>
    <w:rsid w:val="00F27104"/>
    <w:rsid w:val="00F274AE"/>
    <w:rsid w:val="00F275E7"/>
    <w:rsid w:val="00F305CC"/>
    <w:rsid w:val="00F311E2"/>
    <w:rsid w:val="00F312BE"/>
    <w:rsid w:val="00F319D0"/>
    <w:rsid w:val="00F31DF5"/>
    <w:rsid w:val="00F323F8"/>
    <w:rsid w:val="00F324A5"/>
    <w:rsid w:val="00F330E3"/>
    <w:rsid w:val="00F33A90"/>
    <w:rsid w:val="00F33BB8"/>
    <w:rsid w:val="00F33BD1"/>
    <w:rsid w:val="00F343AD"/>
    <w:rsid w:val="00F3494C"/>
    <w:rsid w:val="00F34BC5"/>
    <w:rsid w:val="00F34C3D"/>
    <w:rsid w:val="00F352C5"/>
    <w:rsid w:val="00F35341"/>
    <w:rsid w:val="00F35502"/>
    <w:rsid w:val="00F356DC"/>
    <w:rsid w:val="00F3587C"/>
    <w:rsid w:val="00F35D34"/>
    <w:rsid w:val="00F36059"/>
    <w:rsid w:val="00F365EB"/>
    <w:rsid w:val="00F36704"/>
    <w:rsid w:val="00F369B9"/>
    <w:rsid w:val="00F36FAF"/>
    <w:rsid w:val="00F3737A"/>
    <w:rsid w:val="00F375CB"/>
    <w:rsid w:val="00F376BC"/>
    <w:rsid w:val="00F37DBC"/>
    <w:rsid w:val="00F37E34"/>
    <w:rsid w:val="00F40491"/>
    <w:rsid w:val="00F40722"/>
    <w:rsid w:val="00F40747"/>
    <w:rsid w:val="00F40A3C"/>
    <w:rsid w:val="00F40BCC"/>
    <w:rsid w:val="00F40BEE"/>
    <w:rsid w:val="00F41404"/>
    <w:rsid w:val="00F417C7"/>
    <w:rsid w:val="00F4183E"/>
    <w:rsid w:val="00F418C3"/>
    <w:rsid w:val="00F41BEC"/>
    <w:rsid w:val="00F41E1F"/>
    <w:rsid w:val="00F42234"/>
    <w:rsid w:val="00F42301"/>
    <w:rsid w:val="00F42367"/>
    <w:rsid w:val="00F42525"/>
    <w:rsid w:val="00F428DA"/>
    <w:rsid w:val="00F42992"/>
    <w:rsid w:val="00F42AE6"/>
    <w:rsid w:val="00F42D60"/>
    <w:rsid w:val="00F42D8E"/>
    <w:rsid w:val="00F42F6E"/>
    <w:rsid w:val="00F43961"/>
    <w:rsid w:val="00F43D42"/>
    <w:rsid w:val="00F446AC"/>
    <w:rsid w:val="00F44F19"/>
    <w:rsid w:val="00F4648A"/>
    <w:rsid w:val="00F46DF4"/>
    <w:rsid w:val="00F470AA"/>
    <w:rsid w:val="00F47568"/>
    <w:rsid w:val="00F475DA"/>
    <w:rsid w:val="00F478E0"/>
    <w:rsid w:val="00F50073"/>
    <w:rsid w:val="00F50BAD"/>
    <w:rsid w:val="00F51433"/>
    <w:rsid w:val="00F5148C"/>
    <w:rsid w:val="00F514A8"/>
    <w:rsid w:val="00F51AFB"/>
    <w:rsid w:val="00F51FB5"/>
    <w:rsid w:val="00F5220E"/>
    <w:rsid w:val="00F5271E"/>
    <w:rsid w:val="00F52C76"/>
    <w:rsid w:val="00F53057"/>
    <w:rsid w:val="00F53CE7"/>
    <w:rsid w:val="00F53FCE"/>
    <w:rsid w:val="00F5403E"/>
    <w:rsid w:val="00F54175"/>
    <w:rsid w:val="00F54210"/>
    <w:rsid w:val="00F5450C"/>
    <w:rsid w:val="00F546BC"/>
    <w:rsid w:val="00F548E2"/>
    <w:rsid w:val="00F54F7E"/>
    <w:rsid w:val="00F55122"/>
    <w:rsid w:val="00F554FB"/>
    <w:rsid w:val="00F55727"/>
    <w:rsid w:val="00F5705A"/>
    <w:rsid w:val="00F57282"/>
    <w:rsid w:val="00F5765E"/>
    <w:rsid w:val="00F6028C"/>
    <w:rsid w:val="00F6031F"/>
    <w:rsid w:val="00F604BF"/>
    <w:rsid w:val="00F60DC8"/>
    <w:rsid w:val="00F610DC"/>
    <w:rsid w:val="00F61104"/>
    <w:rsid w:val="00F611F1"/>
    <w:rsid w:val="00F6131E"/>
    <w:rsid w:val="00F613B6"/>
    <w:rsid w:val="00F61F69"/>
    <w:rsid w:val="00F623B8"/>
    <w:rsid w:val="00F62483"/>
    <w:rsid w:val="00F628FA"/>
    <w:rsid w:val="00F6329A"/>
    <w:rsid w:val="00F6350D"/>
    <w:rsid w:val="00F63806"/>
    <w:rsid w:val="00F6387F"/>
    <w:rsid w:val="00F63B9C"/>
    <w:rsid w:val="00F63EC4"/>
    <w:rsid w:val="00F64621"/>
    <w:rsid w:val="00F64C5B"/>
    <w:rsid w:val="00F64C99"/>
    <w:rsid w:val="00F652BC"/>
    <w:rsid w:val="00F65958"/>
    <w:rsid w:val="00F65C03"/>
    <w:rsid w:val="00F65E6A"/>
    <w:rsid w:val="00F6697D"/>
    <w:rsid w:val="00F675D7"/>
    <w:rsid w:val="00F67601"/>
    <w:rsid w:val="00F67717"/>
    <w:rsid w:val="00F67BC4"/>
    <w:rsid w:val="00F67E1B"/>
    <w:rsid w:val="00F70213"/>
    <w:rsid w:val="00F70328"/>
    <w:rsid w:val="00F70439"/>
    <w:rsid w:val="00F7063F"/>
    <w:rsid w:val="00F7066F"/>
    <w:rsid w:val="00F710CA"/>
    <w:rsid w:val="00F711B1"/>
    <w:rsid w:val="00F71351"/>
    <w:rsid w:val="00F7141E"/>
    <w:rsid w:val="00F71423"/>
    <w:rsid w:val="00F722A7"/>
    <w:rsid w:val="00F731D9"/>
    <w:rsid w:val="00F73239"/>
    <w:rsid w:val="00F7332C"/>
    <w:rsid w:val="00F73696"/>
    <w:rsid w:val="00F73769"/>
    <w:rsid w:val="00F74138"/>
    <w:rsid w:val="00F74495"/>
    <w:rsid w:val="00F74531"/>
    <w:rsid w:val="00F74542"/>
    <w:rsid w:val="00F74D09"/>
    <w:rsid w:val="00F7525C"/>
    <w:rsid w:val="00F754F5"/>
    <w:rsid w:val="00F75802"/>
    <w:rsid w:val="00F75A7A"/>
    <w:rsid w:val="00F76935"/>
    <w:rsid w:val="00F80401"/>
    <w:rsid w:val="00F80436"/>
    <w:rsid w:val="00F80900"/>
    <w:rsid w:val="00F80A77"/>
    <w:rsid w:val="00F80B36"/>
    <w:rsid w:val="00F80E29"/>
    <w:rsid w:val="00F80FE7"/>
    <w:rsid w:val="00F81436"/>
    <w:rsid w:val="00F817BC"/>
    <w:rsid w:val="00F81A87"/>
    <w:rsid w:val="00F81CE2"/>
    <w:rsid w:val="00F81F43"/>
    <w:rsid w:val="00F82026"/>
    <w:rsid w:val="00F82045"/>
    <w:rsid w:val="00F826D4"/>
    <w:rsid w:val="00F83012"/>
    <w:rsid w:val="00F83085"/>
    <w:rsid w:val="00F83850"/>
    <w:rsid w:val="00F83B18"/>
    <w:rsid w:val="00F84250"/>
    <w:rsid w:val="00F84325"/>
    <w:rsid w:val="00F84A36"/>
    <w:rsid w:val="00F850EB"/>
    <w:rsid w:val="00F852BB"/>
    <w:rsid w:val="00F85885"/>
    <w:rsid w:val="00F85B4F"/>
    <w:rsid w:val="00F86468"/>
    <w:rsid w:val="00F8657E"/>
    <w:rsid w:val="00F86665"/>
    <w:rsid w:val="00F87C0A"/>
    <w:rsid w:val="00F87C26"/>
    <w:rsid w:val="00F904A4"/>
    <w:rsid w:val="00F907FB"/>
    <w:rsid w:val="00F90E30"/>
    <w:rsid w:val="00F90EE5"/>
    <w:rsid w:val="00F90EEE"/>
    <w:rsid w:val="00F90FDE"/>
    <w:rsid w:val="00F91C4C"/>
    <w:rsid w:val="00F92690"/>
    <w:rsid w:val="00F928FF"/>
    <w:rsid w:val="00F92911"/>
    <w:rsid w:val="00F92BAD"/>
    <w:rsid w:val="00F92C4D"/>
    <w:rsid w:val="00F92EBE"/>
    <w:rsid w:val="00F93597"/>
    <w:rsid w:val="00F935CB"/>
    <w:rsid w:val="00F937BA"/>
    <w:rsid w:val="00F93B32"/>
    <w:rsid w:val="00F94096"/>
    <w:rsid w:val="00F942F2"/>
    <w:rsid w:val="00F95407"/>
    <w:rsid w:val="00F9542E"/>
    <w:rsid w:val="00F95F47"/>
    <w:rsid w:val="00F95F74"/>
    <w:rsid w:val="00F966AD"/>
    <w:rsid w:val="00F9675A"/>
    <w:rsid w:val="00F9676F"/>
    <w:rsid w:val="00F96CE7"/>
    <w:rsid w:val="00F96FDB"/>
    <w:rsid w:val="00F97309"/>
    <w:rsid w:val="00F97597"/>
    <w:rsid w:val="00FA02D9"/>
    <w:rsid w:val="00FA0A38"/>
    <w:rsid w:val="00FA0D1F"/>
    <w:rsid w:val="00FA0EB2"/>
    <w:rsid w:val="00FA1391"/>
    <w:rsid w:val="00FA1886"/>
    <w:rsid w:val="00FA1D0D"/>
    <w:rsid w:val="00FA1F4C"/>
    <w:rsid w:val="00FA1FBF"/>
    <w:rsid w:val="00FA2416"/>
    <w:rsid w:val="00FA29E6"/>
    <w:rsid w:val="00FA2FAE"/>
    <w:rsid w:val="00FA3281"/>
    <w:rsid w:val="00FA330C"/>
    <w:rsid w:val="00FA38FF"/>
    <w:rsid w:val="00FA3B51"/>
    <w:rsid w:val="00FA4259"/>
    <w:rsid w:val="00FA497C"/>
    <w:rsid w:val="00FA49F3"/>
    <w:rsid w:val="00FA4E63"/>
    <w:rsid w:val="00FA605C"/>
    <w:rsid w:val="00FA65CF"/>
    <w:rsid w:val="00FA676F"/>
    <w:rsid w:val="00FA69BD"/>
    <w:rsid w:val="00FA6A35"/>
    <w:rsid w:val="00FA711C"/>
    <w:rsid w:val="00FA7B25"/>
    <w:rsid w:val="00FA7BFC"/>
    <w:rsid w:val="00FA7C88"/>
    <w:rsid w:val="00FA7E7C"/>
    <w:rsid w:val="00FA7EE8"/>
    <w:rsid w:val="00FB0027"/>
    <w:rsid w:val="00FB046E"/>
    <w:rsid w:val="00FB0579"/>
    <w:rsid w:val="00FB05C8"/>
    <w:rsid w:val="00FB1B7B"/>
    <w:rsid w:val="00FB1C8D"/>
    <w:rsid w:val="00FB2054"/>
    <w:rsid w:val="00FB2215"/>
    <w:rsid w:val="00FB2515"/>
    <w:rsid w:val="00FB2ABB"/>
    <w:rsid w:val="00FB2E1A"/>
    <w:rsid w:val="00FB2E8E"/>
    <w:rsid w:val="00FB3120"/>
    <w:rsid w:val="00FB3238"/>
    <w:rsid w:val="00FB3E62"/>
    <w:rsid w:val="00FB4378"/>
    <w:rsid w:val="00FB439A"/>
    <w:rsid w:val="00FB4B30"/>
    <w:rsid w:val="00FB4BC7"/>
    <w:rsid w:val="00FB528D"/>
    <w:rsid w:val="00FB57DF"/>
    <w:rsid w:val="00FB5D40"/>
    <w:rsid w:val="00FB60E2"/>
    <w:rsid w:val="00FB6664"/>
    <w:rsid w:val="00FB6912"/>
    <w:rsid w:val="00FB6C5D"/>
    <w:rsid w:val="00FB6C81"/>
    <w:rsid w:val="00FB772B"/>
    <w:rsid w:val="00FC03DC"/>
    <w:rsid w:val="00FC0578"/>
    <w:rsid w:val="00FC0EED"/>
    <w:rsid w:val="00FC19AF"/>
    <w:rsid w:val="00FC1B89"/>
    <w:rsid w:val="00FC1BA5"/>
    <w:rsid w:val="00FC1C9F"/>
    <w:rsid w:val="00FC1E37"/>
    <w:rsid w:val="00FC2044"/>
    <w:rsid w:val="00FC26F0"/>
    <w:rsid w:val="00FC28F2"/>
    <w:rsid w:val="00FC2D25"/>
    <w:rsid w:val="00FC2D35"/>
    <w:rsid w:val="00FC3179"/>
    <w:rsid w:val="00FC3232"/>
    <w:rsid w:val="00FC3414"/>
    <w:rsid w:val="00FC34EB"/>
    <w:rsid w:val="00FC3621"/>
    <w:rsid w:val="00FC3749"/>
    <w:rsid w:val="00FC3839"/>
    <w:rsid w:val="00FC3C1C"/>
    <w:rsid w:val="00FC42FA"/>
    <w:rsid w:val="00FC44F3"/>
    <w:rsid w:val="00FC4BDA"/>
    <w:rsid w:val="00FC4F5A"/>
    <w:rsid w:val="00FC5246"/>
    <w:rsid w:val="00FC54F9"/>
    <w:rsid w:val="00FC5551"/>
    <w:rsid w:val="00FC56BC"/>
    <w:rsid w:val="00FC5B29"/>
    <w:rsid w:val="00FC606F"/>
    <w:rsid w:val="00FC67A3"/>
    <w:rsid w:val="00FC6A04"/>
    <w:rsid w:val="00FC6CCE"/>
    <w:rsid w:val="00FC6CF0"/>
    <w:rsid w:val="00FC7055"/>
    <w:rsid w:val="00FC76E9"/>
    <w:rsid w:val="00FC7BEA"/>
    <w:rsid w:val="00FD054D"/>
    <w:rsid w:val="00FD0A1B"/>
    <w:rsid w:val="00FD0CA3"/>
    <w:rsid w:val="00FD1BEE"/>
    <w:rsid w:val="00FD2375"/>
    <w:rsid w:val="00FD291B"/>
    <w:rsid w:val="00FD2EDE"/>
    <w:rsid w:val="00FD3C07"/>
    <w:rsid w:val="00FD3C9B"/>
    <w:rsid w:val="00FD455B"/>
    <w:rsid w:val="00FD4D06"/>
    <w:rsid w:val="00FD510F"/>
    <w:rsid w:val="00FD5132"/>
    <w:rsid w:val="00FD629D"/>
    <w:rsid w:val="00FD6377"/>
    <w:rsid w:val="00FD63CC"/>
    <w:rsid w:val="00FD6AEA"/>
    <w:rsid w:val="00FD7451"/>
    <w:rsid w:val="00FDA35C"/>
    <w:rsid w:val="00FE0012"/>
    <w:rsid w:val="00FE03BF"/>
    <w:rsid w:val="00FE05E3"/>
    <w:rsid w:val="00FE089C"/>
    <w:rsid w:val="00FE11EF"/>
    <w:rsid w:val="00FE1474"/>
    <w:rsid w:val="00FE14A8"/>
    <w:rsid w:val="00FE1556"/>
    <w:rsid w:val="00FE18D2"/>
    <w:rsid w:val="00FE1A81"/>
    <w:rsid w:val="00FE1AB0"/>
    <w:rsid w:val="00FE1C3D"/>
    <w:rsid w:val="00FE1EAF"/>
    <w:rsid w:val="00FE21A1"/>
    <w:rsid w:val="00FE239E"/>
    <w:rsid w:val="00FE2B49"/>
    <w:rsid w:val="00FE2CC3"/>
    <w:rsid w:val="00FE2FC3"/>
    <w:rsid w:val="00FE31D0"/>
    <w:rsid w:val="00FE37B1"/>
    <w:rsid w:val="00FE3854"/>
    <w:rsid w:val="00FE397D"/>
    <w:rsid w:val="00FE5411"/>
    <w:rsid w:val="00FE5AD6"/>
    <w:rsid w:val="00FE6371"/>
    <w:rsid w:val="00FE63FB"/>
    <w:rsid w:val="00FE6EFF"/>
    <w:rsid w:val="00FE70E8"/>
    <w:rsid w:val="00FE737C"/>
    <w:rsid w:val="00FE7D08"/>
    <w:rsid w:val="00FE7EED"/>
    <w:rsid w:val="00FF02C8"/>
    <w:rsid w:val="00FF053D"/>
    <w:rsid w:val="00FF05D2"/>
    <w:rsid w:val="00FF0B8A"/>
    <w:rsid w:val="00FF0D6F"/>
    <w:rsid w:val="00FF17C4"/>
    <w:rsid w:val="00FF266C"/>
    <w:rsid w:val="00FF29AE"/>
    <w:rsid w:val="00FF2F39"/>
    <w:rsid w:val="00FF437D"/>
    <w:rsid w:val="00FF467D"/>
    <w:rsid w:val="00FF4793"/>
    <w:rsid w:val="00FF4D41"/>
    <w:rsid w:val="00FF5047"/>
    <w:rsid w:val="00FF50E1"/>
    <w:rsid w:val="00FF5AF2"/>
    <w:rsid w:val="00FF5B43"/>
    <w:rsid w:val="00FF5BD8"/>
    <w:rsid w:val="00FF603F"/>
    <w:rsid w:val="00FF6161"/>
    <w:rsid w:val="00FF654A"/>
    <w:rsid w:val="00FF6802"/>
    <w:rsid w:val="00FF690F"/>
    <w:rsid w:val="00FF767A"/>
    <w:rsid w:val="00FF7902"/>
    <w:rsid w:val="00FF7A1A"/>
    <w:rsid w:val="00FFA5A3"/>
    <w:rsid w:val="0101591A"/>
    <w:rsid w:val="01028EFA"/>
    <w:rsid w:val="010A05C3"/>
    <w:rsid w:val="01190FAE"/>
    <w:rsid w:val="011E70D3"/>
    <w:rsid w:val="012C8228"/>
    <w:rsid w:val="0136CE02"/>
    <w:rsid w:val="01375239"/>
    <w:rsid w:val="013FC9F9"/>
    <w:rsid w:val="014D19C4"/>
    <w:rsid w:val="014E2F59"/>
    <w:rsid w:val="01505625"/>
    <w:rsid w:val="0151775D"/>
    <w:rsid w:val="015CDBC9"/>
    <w:rsid w:val="0163AA67"/>
    <w:rsid w:val="016562B4"/>
    <w:rsid w:val="01686DE8"/>
    <w:rsid w:val="0170C25C"/>
    <w:rsid w:val="01752AB8"/>
    <w:rsid w:val="017B3C44"/>
    <w:rsid w:val="017D5113"/>
    <w:rsid w:val="017E5ABF"/>
    <w:rsid w:val="0184681E"/>
    <w:rsid w:val="0186F87A"/>
    <w:rsid w:val="01876DD7"/>
    <w:rsid w:val="018BFCD2"/>
    <w:rsid w:val="018D9950"/>
    <w:rsid w:val="01903ACC"/>
    <w:rsid w:val="0195398F"/>
    <w:rsid w:val="019A059E"/>
    <w:rsid w:val="019B720A"/>
    <w:rsid w:val="019CD1B8"/>
    <w:rsid w:val="01A25152"/>
    <w:rsid w:val="01A4FEB2"/>
    <w:rsid w:val="01B7F71F"/>
    <w:rsid w:val="01C99192"/>
    <w:rsid w:val="01CC8D69"/>
    <w:rsid w:val="01D506C6"/>
    <w:rsid w:val="01D6ED7F"/>
    <w:rsid w:val="01E350B8"/>
    <w:rsid w:val="01E6DEC6"/>
    <w:rsid w:val="01EA0371"/>
    <w:rsid w:val="01EE5749"/>
    <w:rsid w:val="01F0D041"/>
    <w:rsid w:val="01F57A54"/>
    <w:rsid w:val="0207FBF3"/>
    <w:rsid w:val="02247852"/>
    <w:rsid w:val="0228686B"/>
    <w:rsid w:val="022C59D0"/>
    <w:rsid w:val="02308C14"/>
    <w:rsid w:val="0237884C"/>
    <w:rsid w:val="023AA8DD"/>
    <w:rsid w:val="023C8567"/>
    <w:rsid w:val="023D3CA8"/>
    <w:rsid w:val="02413D39"/>
    <w:rsid w:val="024195D8"/>
    <w:rsid w:val="02475C90"/>
    <w:rsid w:val="0247B0C2"/>
    <w:rsid w:val="02486150"/>
    <w:rsid w:val="0250F981"/>
    <w:rsid w:val="02571326"/>
    <w:rsid w:val="025AADDC"/>
    <w:rsid w:val="025C51C5"/>
    <w:rsid w:val="0266AF11"/>
    <w:rsid w:val="026F38DF"/>
    <w:rsid w:val="0278DDFE"/>
    <w:rsid w:val="02817F5E"/>
    <w:rsid w:val="0286B72E"/>
    <w:rsid w:val="0286DFCB"/>
    <w:rsid w:val="029087BF"/>
    <w:rsid w:val="0294FE57"/>
    <w:rsid w:val="029986C1"/>
    <w:rsid w:val="02A3C0D4"/>
    <w:rsid w:val="02A60D75"/>
    <w:rsid w:val="02A632DC"/>
    <w:rsid w:val="02B13AE9"/>
    <w:rsid w:val="02B73E17"/>
    <w:rsid w:val="02BA6634"/>
    <w:rsid w:val="02BEE13E"/>
    <w:rsid w:val="02CC3B37"/>
    <w:rsid w:val="02CF8BDB"/>
    <w:rsid w:val="02D6F406"/>
    <w:rsid w:val="02DDA1AC"/>
    <w:rsid w:val="02E0DCA3"/>
    <w:rsid w:val="02E1E8F3"/>
    <w:rsid w:val="02E6AD47"/>
    <w:rsid w:val="02E8C387"/>
    <w:rsid w:val="02FEDBF6"/>
    <w:rsid w:val="02FFE8E7"/>
    <w:rsid w:val="0309AD2F"/>
    <w:rsid w:val="030EAB0A"/>
    <w:rsid w:val="0315FFF0"/>
    <w:rsid w:val="0329827A"/>
    <w:rsid w:val="032AEF8D"/>
    <w:rsid w:val="032E73D2"/>
    <w:rsid w:val="03430444"/>
    <w:rsid w:val="034C7696"/>
    <w:rsid w:val="034D4A0D"/>
    <w:rsid w:val="034D64D1"/>
    <w:rsid w:val="035A33A7"/>
    <w:rsid w:val="035E9BDD"/>
    <w:rsid w:val="0362CF12"/>
    <w:rsid w:val="0373C090"/>
    <w:rsid w:val="0376812D"/>
    <w:rsid w:val="03827BB2"/>
    <w:rsid w:val="0389EB37"/>
    <w:rsid w:val="0396C764"/>
    <w:rsid w:val="039A5696"/>
    <w:rsid w:val="039C66E9"/>
    <w:rsid w:val="03B47B78"/>
    <w:rsid w:val="03B64BB4"/>
    <w:rsid w:val="03B77003"/>
    <w:rsid w:val="03BF2C96"/>
    <w:rsid w:val="03C3F818"/>
    <w:rsid w:val="03CFD40E"/>
    <w:rsid w:val="03D20D0A"/>
    <w:rsid w:val="03D98663"/>
    <w:rsid w:val="03DA9550"/>
    <w:rsid w:val="03E09943"/>
    <w:rsid w:val="03E2A0D5"/>
    <w:rsid w:val="03E54E8C"/>
    <w:rsid w:val="03E819BE"/>
    <w:rsid w:val="03EC9FAF"/>
    <w:rsid w:val="03F52B36"/>
    <w:rsid w:val="03F83731"/>
    <w:rsid w:val="03F84DAA"/>
    <w:rsid w:val="03FFC521"/>
    <w:rsid w:val="040B980C"/>
    <w:rsid w:val="040D788F"/>
    <w:rsid w:val="0413246C"/>
    <w:rsid w:val="0416469B"/>
    <w:rsid w:val="04165127"/>
    <w:rsid w:val="041919E2"/>
    <w:rsid w:val="0419EAF0"/>
    <w:rsid w:val="041CB65C"/>
    <w:rsid w:val="042ACF0C"/>
    <w:rsid w:val="0431A298"/>
    <w:rsid w:val="043419A3"/>
    <w:rsid w:val="04389800"/>
    <w:rsid w:val="0439AE37"/>
    <w:rsid w:val="043CA8F1"/>
    <w:rsid w:val="0445E7C3"/>
    <w:rsid w:val="044A5653"/>
    <w:rsid w:val="0458B8B5"/>
    <w:rsid w:val="0464F6EC"/>
    <w:rsid w:val="0465469F"/>
    <w:rsid w:val="0466C1C0"/>
    <w:rsid w:val="046DE940"/>
    <w:rsid w:val="047288AC"/>
    <w:rsid w:val="0478479F"/>
    <w:rsid w:val="047AEC8D"/>
    <w:rsid w:val="049164F6"/>
    <w:rsid w:val="04B809AA"/>
    <w:rsid w:val="04B9023F"/>
    <w:rsid w:val="04B9DDCA"/>
    <w:rsid w:val="04BA2DD9"/>
    <w:rsid w:val="04C1E836"/>
    <w:rsid w:val="04C22F3E"/>
    <w:rsid w:val="04C303DB"/>
    <w:rsid w:val="04D47EAE"/>
    <w:rsid w:val="04E1970F"/>
    <w:rsid w:val="04E90D77"/>
    <w:rsid w:val="04EB83CA"/>
    <w:rsid w:val="04F87307"/>
    <w:rsid w:val="04FA1D98"/>
    <w:rsid w:val="04FEFC1D"/>
    <w:rsid w:val="05006894"/>
    <w:rsid w:val="05032131"/>
    <w:rsid w:val="05057ACA"/>
    <w:rsid w:val="0509CDE8"/>
    <w:rsid w:val="05115D97"/>
    <w:rsid w:val="051C359B"/>
    <w:rsid w:val="051C48A1"/>
    <w:rsid w:val="051FA6E0"/>
    <w:rsid w:val="05319725"/>
    <w:rsid w:val="05389B6B"/>
    <w:rsid w:val="053993A7"/>
    <w:rsid w:val="053B6C99"/>
    <w:rsid w:val="05494C5F"/>
    <w:rsid w:val="054A3A19"/>
    <w:rsid w:val="054BF77F"/>
    <w:rsid w:val="055AB586"/>
    <w:rsid w:val="05630421"/>
    <w:rsid w:val="0563FAC1"/>
    <w:rsid w:val="0569CB19"/>
    <w:rsid w:val="056BEAE0"/>
    <w:rsid w:val="05773755"/>
    <w:rsid w:val="0579265D"/>
    <w:rsid w:val="057B9D7F"/>
    <w:rsid w:val="058439F4"/>
    <w:rsid w:val="05892658"/>
    <w:rsid w:val="058FB45E"/>
    <w:rsid w:val="0595E43A"/>
    <w:rsid w:val="059981A3"/>
    <w:rsid w:val="059E8164"/>
    <w:rsid w:val="05B4CE2F"/>
    <w:rsid w:val="05B6587C"/>
    <w:rsid w:val="05C3EDD9"/>
    <w:rsid w:val="05CC0FC4"/>
    <w:rsid w:val="05D28978"/>
    <w:rsid w:val="05D849FB"/>
    <w:rsid w:val="05DE2D43"/>
    <w:rsid w:val="05DED6E0"/>
    <w:rsid w:val="05E237FD"/>
    <w:rsid w:val="05EC506E"/>
    <w:rsid w:val="05EE2EAE"/>
    <w:rsid w:val="05FB040B"/>
    <w:rsid w:val="06068B77"/>
    <w:rsid w:val="060B0D19"/>
    <w:rsid w:val="060D8002"/>
    <w:rsid w:val="06112ED9"/>
    <w:rsid w:val="061F2FBE"/>
    <w:rsid w:val="0633352E"/>
    <w:rsid w:val="0635AB15"/>
    <w:rsid w:val="0643F06E"/>
    <w:rsid w:val="06547E5D"/>
    <w:rsid w:val="065D7862"/>
    <w:rsid w:val="065F0D73"/>
    <w:rsid w:val="06603E19"/>
    <w:rsid w:val="066B5E0E"/>
    <w:rsid w:val="066BD7A7"/>
    <w:rsid w:val="066C226F"/>
    <w:rsid w:val="066CB8F8"/>
    <w:rsid w:val="06716140"/>
    <w:rsid w:val="0674C1B2"/>
    <w:rsid w:val="0675C02C"/>
    <w:rsid w:val="0675DF3D"/>
    <w:rsid w:val="06812946"/>
    <w:rsid w:val="068DB961"/>
    <w:rsid w:val="06968420"/>
    <w:rsid w:val="069992D5"/>
    <w:rsid w:val="069AC0F0"/>
    <w:rsid w:val="069BD95C"/>
    <w:rsid w:val="069E1B37"/>
    <w:rsid w:val="06A1F902"/>
    <w:rsid w:val="06A66DFC"/>
    <w:rsid w:val="06A69D5B"/>
    <w:rsid w:val="06AFAC3A"/>
    <w:rsid w:val="06BE4793"/>
    <w:rsid w:val="06CA05F1"/>
    <w:rsid w:val="06D2D06E"/>
    <w:rsid w:val="06D79854"/>
    <w:rsid w:val="06DC3880"/>
    <w:rsid w:val="06E4A561"/>
    <w:rsid w:val="06F30BAA"/>
    <w:rsid w:val="06FBB279"/>
    <w:rsid w:val="07045791"/>
    <w:rsid w:val="071487A5"/>
    <w:rsid w:val="07172726"/>
    <w:rsid w:val="07257BAA"/>
    <w:rsid w:val="07268C72"/>
    <w:rsid w:val="072B41F2"/>
    <w:rsid w:val="073CE829"/>
    <w:rsid w:val="073D7415"/>
    <w:rsid w:val="074303E8"/>
    <w:rsid w:val="074486B9"/>
    <w:rsid w:val="0748F9E2"/>
    <w:rsid w:val="074B4066"/>
    <w:rsid w:val="074BA89A"/>
    <w:rsid w:val="074BAF07"/>
    <w:rsid w:val="074DBF8F"/>
    <w:rsid w:val="0768110B"/>
    <w:rsid w:val="076BF149"/>
    <w:rsid w:val="076CA1DF"/>
    <w:rsid w:val="076CCDC2"/>
    <w:rsid w:val="077156E7"/>
    <w:rsid w:val="078401AA"/>
    <w:rsid w:val="0788FA31"/>
    <w:rsid w:val="078C6F6F"/>
    <w:rsid w:val="078D194C"/>
    <w:rsid w:val="078F98EF"/>
    <w:rsid w:val="079341EE"/>
    <w:rsid w:val="07941C92"/>
    <w:rsid w:val="079C717E"/>
    <w:rsid w:val="079CD574"/>
    <w:rsid w:val="079E7064"/>
    <w:rsid w:val="07A8F30D"/>
    <w:rsid w:val="07A9624B"/>
    <w:rsid w:val="07B4B43E"/>
    <w:rsid w:val="07BB6FF0"/>
    <w:rsid w:val="07BF59C1"/>
    <w:rsid w:val="07BFBA85"/>
    <w:rsid w:val="07DAFA51"/>
    <w:rsid w:val="07E2519A"/>
    <w:rsid w:val="07E33B47"/>
    <w:rsid w:val="080E4E6D"/>
    <w:rsid w:val="080F2461"/>
    <w:rsid w:val="08118406"/>
    <w:rsid w:val="08198C07"/>
    <w:rsid w:val="0820C130"/>
    <w:rsid w:val="082285A0"/>
    <w:rsid w:val="08247CDD"/>
    <w:rsid w:val="082ADEB6"/>
    <w:rsid w:val="083D5E30"/>
    <w:rsid w:val="083F9308"/>
    <w:rsid w:val="0847908A"/>
    <w:rsid w:val="0847AC55"/>
    <w:rsid w:val="084F26D9"/>
    <w:rsid w:val="08610C34"/>
    <w:rsid w:val="086156FD"/>
    <w:rsid w:val="0865B49A"/>
    <w:rsid w:val="0866377E"/>
    <w:rsid w:val="086AE8FB"/>
    <w:rsid w:val="086C696F"/>
    <w:rsid w:val="086DB6F2"/>
    <w:rsid w:val="0873DF03"/>
    <w:rsid w:val="0873F3EA"/>
    <w:rsid w:val="08815A2F"/>
    <w:rsid w:val="08843216"/>
    <w:rsid w:val="088A8A15"/>
    <w:rsid w:val="088AC8D6"/>
    <w:rsid w:val="088D9B44"/>
    <w:rsid w:val="08904060"/>
    <w:rsid w:val="0899C7FD"/>
    <w:rsid w:val="08A40A37"/>
    <w:rsid w:val="08A799B9"/>
    <w:rsid w:val="08A8CD93"/>
    <w:rsid w:val="08AD42B1"/>
    <w:rsid w:val="08AFE420"/>
    <w:rsid w:val="08B86864"/>
    <w:rsid w:val="08BA6978"/>
    <w:rsid w:val="08C36179"/>
    <w:rsid w:val="08C37D89"/>
    <w:rsid w:val="08CF51EC"/>
    <w:rsid w:val="08D1F6AD"/>
    <w:rsid w:val="08EE3408"/>
    <w:rsid w:val="08F0D58D"/>
    <w:rsid w:val="08F22D86"/>
    <w:rsid w:val="08F4ADDF"/>
    <w:rsid w:val="08F966A7"/>
    <w:rsid w:val="090ADDE1"/>
    <w:rsid w:val="0921B17B"/>
    <w:rsid w:val="09226A7A"/>
    <w:rsid w:val="0923FFB0"/>
    <w:rsid w:val="092BC857"/>
    <w:rsid w:val="093513FA"/>
    <w:rsid w:val="0937F36D"/>
    <w:rsid w:val="09384D47"/>
    <w:rsid w:val="09389433"/>
    <w:rsid w:val="093EC02D"/>
    <w:rsid w:val="094FA6D7"/>
    <w:rsid w:val="095E38C2"/>
    <w:rsid w:val="09690EAD"/>
    <w:rsid w:val="0969839F"/>
    <w:rsid w:val="0969C6D6"/>
    <w:rsid w:val="096CCBCF"/>
    <w:rsid w:val="0972BA68"/>
    <w:rsid w:val="0975EC5B"/>
    <w:rsid w:val="09776C4C"/>
    <w:rsid w:val="097AA093"/>
    <w:rsid w:val="09804EB0"/>
    <w:rsid w:val="09859DEF"/>
    <w:rsid w:val="09860ADA"/>
    <w:rsid w:val="09865FFF"/>
    <w:rsid w:val="098EBF6E"/>
    <w:rsid w:val="099782E5"/>
    <w:rsid w:val="0998C0FC"/>
    <w:rsid w:val="09A32245"/>
    <w:rsid w:val="09A382F5"/>
    <w:rsid w:val="09AF71E6"/>
    <w:rsid w:val="09B65263"/>
    <w:rsid w:val="09B67C08"/>
    <w:rsid w:val="09C007E6"/>
    <w:rsid w:val="09CD08B7"/>
    <w:rsid w:val="09D186F0"/>
    <w:rsid w:val="09D80561"/>
    <w:rsid w:val="09DC000E"/>
    <w:rsid w:val="09E2CEDF"/>
    <w:rsid w:val="09E9CC47"/>
    <w:rsid w:val="09EBE783"/>
    <w:rsid w:val="09F1CA4A"/>
    <w:rsid w:val="0A01782E"/>
    <w:rsid w:val="0A0C2F2E"/>
    <w:rsid w:val="0A0F12F2"/>
    <w:rsid w:val="0A107649"/>
    <w:rsid w:val="0A1182D1"/>
    <w:rsid w:val="0A18FCD0"/>
    <w:rsid w:val="0A23FDEA"/>
    <w:rsid w:val="0A2687DB"/>
    <w:rsid w:val="0A28D0E3"/>
    <w:rsid w:val="0A29424B"/>
    <w:rsid w:val="0A297826"/>
    <w:rsid w:val="0A2B379B"/>
    <w:rsid w:val="0A2E986E"/>
    <w:rsid w:val="0A30780D"/>
    <w:rsid w:val="0A34FC41"/>
    <w:rsid w:val="0A36D3F8"/>
    <w:rsid w:val="0A397283"/>
    <w:rsid w:val="0A3F56FC"/>
    <w:rsid w:val="0A400494"/>
    <w:rsid w:val="0A433B2F"/>
    <w:rsid w:val="0A46646B"/>
    <w:rsid w:val="0A4B3F2F"/>
    <w:rsid w:val="0A4D3AC8"/>
    <w:rsid w:val="0A53E3E5"/>
    <w:rsid w:val="0A5DC634"/>
    <w:rsid w:val="0A73F14A"/>
    <w:rsid w:val="0A7A5D29"/>
    <w:rsid w:val="0A7D542C"/>
    <w:rsid w:val="0A814627"/>
    <w:rsid w:val="0A935330"/>
    <w:rsid w:val="0A9DA3FF"/>
    <w:rsid w:val="0AA511B5"/>
    <w:rsid w:val="0AA69262"/>
    <w:rsid w:val="0AAAF102"/>
    <w:rsid w:val="0AC544FD"/>
    <w:rsid w:val="0ACF1552"/>
    <w:rsid w:val="0AD259E1"/>
    <w:rsid w:val="0AD6B4FD"/>
    <w:rsid w:val="0AD92910"/>
    <w:rsid w:val="0AEAA263"/>
    <w:rsid w:val="0AF001EA"/>
    <w:rsid w:val="0AF5C935"/>
    <w:rsid w:val="0B038009"/>
    <w:rsid w:val="0B05B9B8"/>
    <w:rsid w:val="0B0B1C16"/>
    <w:rsid w:val="0B1F985E"/>
    <w:rsid w:val="0B313ABD"/>
    <w:rsid w:val="0B37E472"/>
    <w:rsid w:val="0B6AEE7D"/>
    <w:rsid w:val="0B726FDA"/>
    <w:rsid w:val="0B770919"/>
    <w:rsid w:val="0B788998"/>
    <w:rsid w:val="0B840F37"/>
    <w:rsid w:val="0B85D1BC"/>
    <w:rsid w:val="0B8BF9AB"/>
    <w:rsid w:val="0B8CA189"/>
    <w:rsid w:val="0B94AB1C"/>
    <w:rsid w:val="0B95D5ED"/>
    <w:rsid w:val="0BB1DFFD"/>
    <w:rsid w:val="0BBBFDAF"/>
    <w:rsid w:val="0BBE2346"/>
    <w:rsid w:val="0BC5FFAF"/>
    <w:rsid w:val="0BC9E707"/>
    <w:rsid w:val="0BCA95D7"/>
    <w:rsid w:val="0BE0E748"/>
    <w:rsid w:val="0BE72183"/>
    <w:rsid w:val="0BF43E5E"/>
    <w:rsid w:val="0BFDB71B"/>
    <w:rsid w:val="0BFF3BD3"/>
    <w:rsid w:val="0BFF3D92"/>
    <w:rsid w:val="0BFFF3E0"/>
    <w:rsid w:val="0C001F54"/>
    <w:rsid w:val="0C014394"/>
    <w:rsid w:val="0C08D99F"/>
    <w:rsid w:val="0C114167"/>
    <w:rsid w:val="0C12C32D"/>
    <w:rsid w:val="0C12F676"/>
    <w:rsid w:val="0C22302F"/>
    <w:rsid w:val="0C285364"/>
    <w:rsid w:val="0C2D78B5"/>
    <w:rsid w:val="0C2EA263"/>
    <w:rsid w:val="0C3619BE"/>
    <w:rsid w:val="0C3E88B7"/>
    <w:rsid w:val="0C41C665"/>
    <w:rsid w:val="0C42CC73"/>
    <w:rsid w:val="0C4345B9"/>
    <w:rsid w:val="0C44CC39"/>
    <w:rsid w:val="0C4FC253"/>
    <w:rsid w:val="0C503E41"/>
    <w:rsid w:val="0C53B797"/>
    <w:rsid w:val="0C58EABD"/>
    <w:rsid w:val="0C5A60FB"/>
    <w:rsid w:val="0C643E01"/>
    <w:rsid w:val="0C657853"/>
    <w:rsid w:val="0C6D5BF6"/>
    <w:rsid w:val="0C72D2DC"/>
    <w:rsid w:val="0C7D4C46"/>
    <w:rsid w:val="0C802475"/>
    <w:rsid w:val="0C881F7C"/>
    <w:rsid w:val="0C8831D4"/>
    <w:rsid w:val="0C8BC884"/>
    <w:rsid w:val="0C980066"/>
    <w:rsid w:val="0C999F8C"/>
    <w:rsid w:val="0CA51DE9"/>
    <w:rsid w:val="0CB310B2"/>
    <w:rsid w:val="0CB3A930"/>
    <w:rsid w:val="0CB3EFC7"/>
    <w:rsid w:val="0CB6BFD1"/>
    <w:rsid w:val="0CC0C619"/>
    <w:rsid w:val="0CC38E55"/>
    <w:rsid w:val="0CC48341"/>
    <w:rsid w:val="0CCBE45A"/>
    <w:rsid w:val="0CD03FF6"/>
    <w:rsid w:val="0CD7A377"/>
    <w:rsid w:val="0CD8D412"/>
    <w:rsid w:val="0CDC2177"/>
    <w:rsid w:val="0CEB5597"/>
    <w:rsid w:val="0CECC48D"/>
    <w:rsid w:val="0CEF6D16"/>
    <w:rsid w:val="0CEFEE7B"/>
    <w:rsid w:val="0CF36731"/>
    <w:rsid w:val="0D01E010"/>
    <w:rsid w:val="0D0A14DF"/>
    <w:rsid w:val="0D0A4CDD"/>
    <w:rsid w:val="0D1AAC36"/>
    <w:rsid w:val="0D2E343A"/>
    <w:rsid w:val="0D329D54"/>
    <w:rsid w:val="0D3BFBD5"/>
    <w:rsid w:val="0D41702C"/>
    <w:rsid w:val="0D4E4D89"/>
    <w:rsid w:val="0D5521FD"/>
    <w:rsid w:val="0D62E9BB"/>
    <w:rsid w:val="0D6AD627"/>
    <w:rsid w:val="0D78B8DC"/>
    <w:rsid w:val="0D85EEA7"/>
    <w:rsid w:val="0D89F82E"/>
    <w:rsid w:val="0D96CBFB"/>
    <w:rsid w:val="0D9730DC"/>
    <w:rsid w:val="0D9AA26A"/>
    <w:rsid w:val="0D9CDD1D"/>
    <w:rsid w:val="0DA0FD44"/>
    <w:rsid w:val="0DB1EDE4"/>
    <w:rsid w:val="0DB28A5F"/>
    <w:rsid w:val="0DB7961D"/>
    <w:rsid w:val="0DBBF871"/>
    <w:rsid w:val="0DBE0030"/>
    <w:rsid w:val="0DC55AA0"/>
    <w:rsid w:val="0DCBFA50"/>
    <w:rsid w:val="0DD2981B"/>
    <w:rsid w:val="0DD6029D"/>
    <w:rsid w:val="0DDC4A28"/>
    <w:rsid w:val="0DDD20E6"/>
    <w:rsid w:val="0DE1351F"/>
    <w:rsid w:val="0DEC2577"/>
    <w:rsid w:val="0DF09299"/>
    <w:rsid w:val="0DF790C5"/>
    <w:rsid w:val="0DFC2550"/>
    <w:rsid w:val="0E003311"/>
    <w:rsid w:val="0E03042B"/>
    <w:rsid w:val="0E04B94C"/>
    <w:rsid w:val="0E0EC269"/>
    <w:rsid w:val="0E1E2D2D"/>
    <w:rsid w:val="0E1F69A9"/>
    <w:rsid w:val="0E255F6B"/>
    <w:rsid w:val="0E3546EE"/>
    <w:rsid w:val="0E4072D6"/>
    <w:rsid w:val="0E43056A"/>
    <w:rsid w:val="0E621AB9"/>
    <w:rsid w:val="0E6F51F0"/>
    <w:rsid w:val="0E73A648"/>
    <w:rsid w:val="0E8124F7"/>
    <w:rsid w:val="0E89709B"/>
    <w:rsid w:val="0E8C35E1"/>
    <w:rsid w:val="0E8CC0CC"/>
    <w:rsid w:val="0E9166E0"/>
    <w:rsid w:val="0E9A31AF"/>
    <w:rsid w:val="0E9ED705"/>
    <w:rsid w:val="0E9FD960"/>
    <w:rsid w:val="0EA3C283"/>
    <w:rsid w:val="0EB0572C"/>
    <w:rsid w:val="0EB06B27"/>
    <w:rsid w:val="0EB96110"/>
    <w:rsid w:val="0ED08765"/>
    <w:rsid w:val="0ED88402"/>
    <w:rsid w:val="0ED96806"/>
    <w:rsid w:val="0EEF7F61"/>
    <w:rsid w:val="0EF4C83A"/>
    <w:rsid w:val="0EF6C4CE"/>
    <w:rsid w:val="0EFA701F"/>
    <w:rsid w:val="0EFB9FC6"/>
    <w:rsid w:val="0EFC7415"/>
    <w:rsid w:val="0F003F02"/>
    <w:rsid w:val="0F066968"/>
    <w:rsid w:val="0F0D2960"/>
    <w:rsid w:val="0F0E3042"/>
    <w:rsid w:val="0F0F273B"/>
    <w:rsid w:val="0F104C78"/>
    <w:rsid w:val="0F1550BC"/>
    <w:rsid w:val="0F158BF2"/>
    <w:rsid w:val="0F179D75"/>
    <w:rsid w:val="0F1A0939"/>
    <w:rsid w:val="0F1B53E8"/>
    <w:rsid w:val="0F235014"/>
    <w:rsid w:val="0F248898"/>
    <w:rsid w:val="0F2875D7"/>
    <w:rsid w:val="0F29BC76"/>
    <w:rsid w:val="0F2CF191"/>
    <w:rsid w:val="0F36B01D"/>
    <w:rsid w:val="0F406C34"/>
    <w:rsid w:val="0F4596DA"/>
    <w:rsid w:val="0F4724D4"/>
    <w:rsid w:val="0F48FB33"/>
    <w:rsid w:val="0F4E1100"/>
    <w:rsid w:val="0F5193C3"/>
    <w:rsid w:val="0F594FE7"/>
    <w:rsid w:val="0F598BF5"/>
    <w:rsid w:val="0F5A5B80"/>
    <w:rsid w:val="0F6B08EE"/>
    <w:rsid w:val="0F77657D"/>
    <w:rsid w:val="0F8B6569"/>
    <w:rsid w:val="0F8F8187"/>
    <w:rsid w:val="0F905E28"/>
    <w:rsid w:val="0F9E5020"/>
    <w:rsid w:val="0FA7300B"/>
    <w:rsid w:val="0FACB255"/>
    <w:rsid w:val="0FB0DF2E"/>
    <w:rsid w:val="0FB26F9C"/>
    <w:rsid w:val="0FC3F062"/>
    <w:rsid w:val="0FC6B920"/>
    <w:rsid w:val="0FCE2239"/>
    <w:rsid w:val="0FDA93EE"/>
    <w:rsid w:val="0FDE9C44"/>
    <w:rsid w:val="0FEB38E1"/>
    <w:rsid w:val="0FEE1B72"/>
    <w:rsid w:val="0FF47D69"/>
    <w:rsid w:val="100A54EC"/>
    <w:rsid w:val="100BD54B"/>
    <w:rsid w:val="1014F410"/>
    <w:rsid w:val="1022EF75"/>
    <w:rsid w:val="102C82F2"/>
    <w:rsid w:val="10308A0F"/>
    <w:rsid w:val="103D8844"/>
    <w:rsid w:val="103FE409"/>
    <w:rsid w:val="10412A34"/>
    <w:rsid w:val="1044A399"/>
    <w:rsid w:val="104F1783"/>
    <w:rsid w:val="10501838"/>
    <w:rsid w:val="10551245"/>
    <w:rsid w:val="10564827"/>
    <w:rsid w:val="1061CBCD"/>
    <w:rsid w:val="106BBA81"/>
    <w:rsid w:val="10729C44"/>
    <w:rsid w:val="1074A797"/>
    <w:rsid w:val="1084422E"/>
    <w:rsid w:val="109161D1"/>
    <w:rsid w:val="1094BCE3"/>
    <w:rsid w:val="1098E40B"/>
    <w:rsid w:val="109B030C"/>
    <w:rsid w:val="10A11E5C"/>
    <w:rsid w:val="10ADC154"/>
    <w:rsid w:val="10B2FD78"/>
    <w:rsid w:val="10B72E13"/>
    <w:rsid w:val="10BAF5B4"/>
    <w:rsid w:val="10BC9D83"/>
    <w:rsid w:val="10BDD218"/>
    <w:rsid w:val="10BF28F2"/>
    <w:rsid w:val="10CBBD7D"/>
    <w:rsid w:val="10CF848E"/>
    <w:rsid w:val="10CFD43E"/>
    <w:rsid w:val="10D4C2ED"/>
    <w:rsid w:val="10D7930F"/>
    <w:rsid w:val="10DACC95"/>
    <w:rsid w:val="10DB0365"/>
    <w:rsid w:val="10EF3AC8"/>
    <w:rsid w:val="10F220F6"/>
    <w:rsid w:val="10F2AF30"/>
    <w:rsid w:val="10FAFD4E"/>
    <w:rsid w:val="10FC3944"/>
    <w:rsid w:val="110464F1"/>
    <w:rsid w:val="111408C5"/>
    <w:rsid w:val="1115905F"/>
    <w:rsid w:val="11315EE3"/>
    <w:rsid w:val="1134F0FA"/>
    <w:rsid w:val="113C11D7"/>
    <w:rsid w:val="11405090"/>
    <w:rsid w:val="115A2CCF"/>
    <w:rsid w:val="1165CEE8"/>
    <w:rsid w:val="116C1F58"/>
    <w:rsid w:val="116F4D7F"/>
    <w:rsid w:val="11726EC0"/>
    <w:rsid w:val="11765E94"/>
    <w:rsid w:val="1178C398"/>
    <w:rsid w:val="1181DB74"/>
    <w:rsid w:val="1181FA3C"/>
    <w:rsid w:val="119C18F0"/>
    <w:rsid w:val="119FC32A"/>
    <w:rsid w:val="11A4A240"/>
    <w:rsid w:val="11AB5646"/>
    <w:rsid w:val="11B2D48D"/>
    <w:rsid w:val="11BB1BA4"/>
    <w:rsid w:val="11BBAEBD"/>
    <w:rsid w:val="11BD5D42"/>
    <w:rsid w:val="11BE1E81"/>
    <w:rsid w:val="11C13862"/>
    <w:rsid w:val="11C412B4"/>
    <w:rsid w:val="11CB860D"/>
    <w:rsid w:val="11CBBBC0"/>
    <w:rsid w:val="11CE6CAE"/>
    <w:rsid w:val="11D24AD8"/>
    <w:rsid w:val="11D25D5A"/>
    <w:rsid w:val="11E10E30"/>
    <w:rsid w:val="11E262D7"/>
    <w:rsid w:val="11E7C66B"/>
    <w:rsid w:val="11F10704"/>
    <w:rsid w:val="11F12DC1"/>
    <w:rsid w:val="11F54E83"/>
    <w:rsid w:val="11F69089"/>
    <w:rsid w:val="11F6B84A"/>
    <w:rsid w:val="11FB456C"/>
    <w:rsid w:val="121A9951"/>
    <w:rsid w:val="121BAE4B"/>
    <w:rsid w:val="12220F8B"/>
    <w:rsid w:val="122B3906"/>
    <w:rsid w:val="122D0F98"/>
    <w:rsid w:val="123B9683"/>
    <w:rsid w:val="123D169F"/>
    <w:rsid w:val="12434B03"/>
    <w:rsid w:val="1259D2B7"/>
    <w:rsid w:val="12609C0F"/>
    <w:rsid w:val="126EF97D"/>
    <w:rsid w:val="12729079"/>
    <w:rsid w:val="1273D492"/>
    <w:rsid w:val="127AA5BC"/>
    <w:rsid w:val="1280ED0C"/>
    <w:rsid w:val="128187E2"/>
    <w:rsid w:val="1287A5CE"/>
    <w:rsid w:val="128A2F09"/>
    <w:rsid w:val="128A6209"/>
    <w:rsid w:val="129373F2"/>
    <w:rsid w:val="12A1C589"/>
    <w:rsid w:val="12A9AC19"/>
    <w:rsid w:val="12A9D8CE"/>
    <w:rsid w:val="12B76999"/>
    <w:rsid w:val="12C02BA3"/>
    <w:rsid w:val="12C8A0F2"/>
    <w:rsid w:val="12E57EF3"/>
    <w:rsid w:val="12EB3851"/>
    <w:rsid w:val="12FF02ED"/>
    <w:rsid w:val="1310BB35"/>
    <w:rsid w:val="13115AE3"/>
    <w:rsid w:val="1315D6C9"/>
    <w:rsid w:val="1315E340"/>
    <w:rsid w:val="131625FA"/>
    <w:rsid w:val="131AECE6"/>
    <w:rsid w:val="131D67B4"/>
    <w:rsid w:val="13252236"/>
    <w:rsid w:val="132D2971"/>
    <w:rsid w:val="13312DB5"/>
    <w:rsid w:val="1331F83C"/>
    <w:rsid w:val="13404193"/>
    <w:rsid w:val="13417BF1"/>
    <w:rsid w:val="134296CB"/>
    <w:rsid w:val="134D075C"/>
    <w:rsid w:val="134FEF78"/>
    <w:rsid w:val="135D2D00"/>
    <w:rsid w:val="13613C69"/>
    <w:rsid w:val="13649DF0"/>
    <w:rsid w:val="136623E2"/>
    <w:rsid w:val="13665A3C"/>
    <w:rsid w:val="13693521"/>
    <w:rsid w:val="136F39FC"/>
    <w:rsid w:val="13758E30"/>
    <w:rsid w:val="13765308"/>
    <w:rsid w:val="13900794"/>
    <w:rsid w:val="13967E51"/>
    <w:rsid w:val="139B08D8"/>
    <w:rsid w:val="139CBDA5"/>
    <w:rsid w:val="13A1B059"/>
    <w:rsid w:val="13A66728"/>
    <w:rsid w:val="13A8344B"/>
    <w:rsid w:val="13ABEB30"/>
    <w:rsid w:val="13BF3C88"/>
    <w:rsid w:val="13C60403"/>
    <w:rsid w:val="13CA9BF0"/>
    <w:rsid w:val="13D09CC7"/>
    <w:rsid w:val="13DB1785"/>
    <w:rsid w:val="13E19A59"/>
    <w:rsid w:val="13E313A2"/>
    <w:rsid w:val="13E6F062"/>
    <w:rsid w:val="13EC4B90"/>
    <w:rsid w:val="13F300D4"/>
    <w:rsid w:val="13F45388"/>
    <w:rsid w:val="13F61FA5"/>
    <w:rsid w:val="13F6E45A"/>
    <w:rsid w:val="13F80901"/>
    <w:rsid w:val="13F81FB4"/>
    <w:rsid w:val="13FCCC2B"/>
    <w:rsid w:val="13FE589B"/>
    <w:rsid w:val="14056B9D"/>
    <w:rsid w:val="14080261"/>
    <w:rsid w:val="140C5700"/>
    <w:rsid w:val="14144548"/>
    <w:rsid w:val="141C0814"/>
    <w:rsid w:val="14234E28"/>
    <w:rsid w:val="14247FAB"/>
    <w:rsid w:val="142592FE"/>
    <w:rsid w:val="1425ADE3"/>
    <w:rsid w:val="142DFA52"/>
    <w:rsid w:val="143B4EBB"/>
    <w:rsid w:val="143F5086"/>
    <w:rsid w:val="1446102D"/>
    <w:rsid w:val="144AD31D"/>
    <w:rsid w:val="144B92A5"/>
    <w:rsid w:val="145AEE16"/>
    <w:rsid w:val="1462D1B3"/>
    <w:rsid w:val="14637A31"/>
    <w:rsid w:val="1467FF98"/>
    <w:rsid w:val="146F5694"/>
    <w:rsid w:val="1475E5AF"/>
    <w:rsid w:val="1480C760"/>
    <w:rsid w:val="14919B9A"/>
    <w:rsid w:val="14A8E9CB"/>
    <w:rsid w:val="14A9C086"/>
    <w:rsid w:val="14B54460"/>
    <w:rsid w:val="14BE25E4"/>
    <w:rsid w:val="14C2F441"/>
    <w:rsid w:val="14C33E81"/>
    <w:rsid w:val="14C3D95D"/>
    <w:rsid w:val="14C54E46"/>
    <w:rsid w:val="14D3358D"/>
    <w:rsid w:val="14DE9ED6"/>
    <w:rsid w:val="14DEC59A"/>
    <w:rsid w:val="14DFA5D0"/>
    <w:rsid w:val="14E22BA2"/>
    <w:rsid w:val="14E32055"/>
    <w:rsid w:val="14FD9F06"/>
    <w:rsid w:val="1502C84B"/>
    <w:rsid w:val="15036C08"/>
    <w:rsid w:val="15049B27"/>
    <w:rsid w:val="1506F080"/>
    <w:rsid w:val="152514C4"/>
    <w:rsid w:val="15261D25"/>
    <w:rsid w:val="152A5EAB"/>
    <w:rsid w:val="152F4EC2"/>
    <w:rsid w:val="15394A69"/>
    <w:rsid w:val="153E7471"/>
    <w:rsid w:val="15465464"/>
    <w:rsid w:val="15496B1F"/>
    <w:rsid w:val="154B34D8"/>
    <w:rsid w:val="154BCDA5"/>
    <w:rsid w:val="154C90A0"/>
    <w:rsid w:val="154FB33F"/>
    <w:rsid w:val="15554524"/>
    <w:rsid w:val="1557E95E"/>
    <w:rsid w:val="1558DD73"/>
    <w:rsid w:val="1559F67E"/>
    <w:rsid w:val="156BECC2"/>
    <w:rsid w:val="156C4593"/>
    <w:rsid w:val="1577C5D0"/>
    <w:rsid w:val="157C339A"/>
    <w:rsid w:val="157F8DCE"/>
    <w:rsid w:val="158C02B0"/>
    <w:rsid w:val="158E0176"/>
    <w:rsid w:val="15938EAF"/>
    <w:rsid w:val="15950C85"/>
    <w:rsid w:val="159AEB7F"/>
    <w:rsid w:val="159C7531"/>
    <w:rsid w:val="159E4C72"/>
    <w:rsid w:val="159FEB77"/>
    <w:rsid w:val="15A06D68"/>
    <w:rsid w:val="15A1A48F"/>
    <w:rsid w:val="15A28B4F"/>
    <w:rsid w:val="15A4183C"/>
    <w:rsid w:val="15A44451"/>
    <w:rsid w:val="15A70C70"/>
    <w:rsid w:val="15A7542F"/>
    <w:rsid w:val="15AC607F"/>
    <w:rsid w:val="15AC6626"/>
    <w:rsid w:val="15AEDBD2"/>
    <w:rsid w:val="15B1C306"/>
    <w:rsid w:val="15BA5AEB"/>
    <w:rsid w:val="15C835D8"/>
    <w:rsid w:val="15C86DCE"/>
    <w:rsid w:val="15CBA711"/>
    <w:rsid w:val="15CE2667"/>
    <w:rsid w:val="15CFE7CE"/>
    <w:rsid w:val="15E5F61F"/>
    <w:rsid w:val="15F32B94"/>
    <w:rsid w:val="15F83977"/>
    <w:rsid w:val="15F9E07C"/>
    <w:rsid w:val="1603298A"/>
    <w:rsid w:val="1603C06A"/>
    <w:rsid w:val="16081E6D"/>
    <w:rsid w:val="160CD742"/>
    <w:rsid w:val="1610F0BC"/>
    <w:rsid w:val="161367C1"/>
    <w:rsid w:val="16307804"/>
    <w:rsid w:val="1630B94B"/>
    <w:rsid w:val="1635387A"/>
    <w:rsid w:val="1639EF5C"/>
    <w:rsid w:val="1642F454"/>
    <w:rsid w:val="1643B855"/>
    <w:rsid w:val="16442EDC"/>
    <w:rsid w:val="1646BDA5"/>
    <w:rsid w:val="164F8280"/>
    <w:rsid w:val="1650B852"/>
    <w:rsid w:val="165F2FCA"/>
    <w:rsid w:val="1677A70B"/>
    <w:rsid w:val="1689300B"/>
    <w:rsid w:val="168CD4FF"/>
    <w:rsid w:val="16983D8E"/>
    <w:rsid w:val="16A33553"/>
    <w:rsid w:val="16AB9225"/>
    <w:rsid w:val="16B4CAB1"/>
    <w:rsid w:val="16B4F2A2"/>
    <w:rsid w:val="16B71AD7"/>
    <w:rsid w:val="16B83751"/>
    <w:rsid w:val="16BCC528"/>
    <w:rsid w:val="16BD158D"/>
    <w:rsid w:val="16C3402C"/>
    <w:rsid w:val="16C6DC4F"/>
    <w:rsid w:val="16C9E5DB"/>
    <w:rsid w:val="16CEC8C1"/>
    <w:rsid w:val="16D5B413"/>
    <w:rsid w:val="16E4947E"/>
    <w:rsid w:val="16ECBF19"/>
    <w:rsid w:val="1701EC6B"/>
    <w:rsid w:val="1712FE41"/>
    <w:rsid w:val="1713862F"/>
    <w:rsid w:val="1717CD09"/>
    <w:rsid w:val="172FCDAB"/>
    <w:rsid w:val="17334426"/>
    <w:rsid w:val="173852C4"/>
    <w:rsid w:val="17399E34"/>
    <w:rsid w:val="173A9F26"/>
    <w:rsid w:val="1741451E"/>
    <w:rsid w:val="174E050B"/>
    <w:rsid w:val="17623997"/>
    <w:rsid w:val="176D0D5D"/>
    <w:rsid w:val="176D8A15"/>
    <w:rsid w:val="17745957"/>
    <w:rsid w:val="1778850D"/>
    <w:rsid w:val="1781E72D"/>
    <w:rsid w:val="1785ACF2"/>
    <w:rsid w:val="178C8295"/>
    <w:rsid w:val="178DCFE7"/>
    <w:rsid w:val="17958A22"/>
    <w:rsid w:val="17968A09"/>
    <w:rsid w:val="17A0C909"/>
    <w:rsid w:val="17A166DC"/>
    <w:rsid w:val="17A68375"/>
    <w:rsid w:val="17A95EEB"/>
    <w:rsid w:val="17AD3909"/>
    <w:rsid w:val="17C78B21"/>
    <w:rsid w:val="17D4C4D2"/>
    <w:rsid w:val="17D7008D"/>
    <w:rsid w:val="17D71A43"/>
    <w:rsid w:val="17D7A880"/>
    <w:rsid w:val="17D8EF7D"/>
    <w:rsid w:val="17D97A38"/>
    <w:rsid w:val="17DE9BA1"/>
    <w:rsid w:val="17E380A6"/>
    <w:rsid w:val="17E580AA"/>
    <w:rsid w:val="17EDF640"/>
    <w:rsid w:val="17EF762C"/>
    <w:rsid w:val="17F8554A"/>
    <w:rsid w:val="1801D828"/>
    <w:rsid w:val="180B8A49"/>
    <w:rsid w:val="180D3E65"/>
    <w:rsid w:val="180E7424"/>
    <w:rsid w:val="180FB0D4"/>
    <w:rsid w:val="18109E2F"/>
    <w:rsid w:val="18121EBC"/>
    <w:rsid w:val="18154A59"/>
    <w:rsid w:val="181A0212"/>
    <w:rsid w:val="1820F8B4"/>
    <w:rsid w:val="182794F9"/>
    <w:rsid w:val="1852EF36"/>
    <w:rsid w:val="18590F13"/>
    <w:rsid w:val="18597383"/>
    <w:rsid w:val="185AD240"/>
    <w:rsid w:val="185F4691"/>
    <w:rsid w:val="18608CF2"/>
    <w:rsid w:val="18611070"/>
    <w:rsid w:val="18619548"/>
    <w:rsid w:val="1862A5D3"/>
    <w:rsid w:val="186FF48D"/>
    <w:rsid w:val="18737DF5"/>
    <w:rsid w:val="187D4463"/>
    <w:rsid w:val="1882B332"/>
    <w:rsid w:val="188B0E26"/>
    <w:rsid w:val="188E9879"/>
    <w:rsid w:val="1895315C"/>
    <w:rsid w:val="189827BD"/>
    <w:rsid w:val="18986DB2"/>
    <w:rsid w:val="18A496CF"/>
    <w:rsid w:val="18A51573"/>
    <w:rsid w:val="18AA3A55"/>
    <w:rsid w:val="18AB2EF1"/>
    <w:rsid w:val="18AE4049"/>
    <w:rsid w:val="18B05949"/>
    <w:rsid w:val="18C6931F"/>
    <w:rsid w:val="18C7D901"/>
    <w:rsid w:val="18CC21F7"/>
    <w:rsid w:val="18D03253"/>
    <w:rsid w:val="18D1BD7C"/>
    <w:rsid w:val="18D60473"/>
    <w:rsid w:val="18E4BE0E"/>
    <w:rsid w:val="18E63B6D"/>
    <w:rsid w:val="18E7DDD7"/>
    <w:rsid w:val="18EE5573"/>
    <w:rsid w:val="18F0D5A7"/>
    <w:rsid w:val="18FB71A0"/>
    <w:rsid w:val="1903AD48"/>
    <w:rsid w:val="19097D65"/>
    <w:rsid w:val="190C6C71"/>
    <w:rsid w:val="1910DC62"/>
    <w:rsid w:val="19150573"/>
    <w:rsid w:val="191856BB"/>
    <w:rsid w:val="192C39F0"/>
    <w:rsid w:val="19357794"/>
    <w:rsid w:val="1939B51D"/>
    <w:rsid w:val="193B5476"/>
    <w:rsid w:val="1942A9D7"/>
    <w:rsid w:val="19454701"/>
    <w:rsid w:val="194B5952"/>
    <w:rsid w:val="194CE28A"/>
    <w:rsid w:val="1950B110"/>
    <w:rsid w:val="19521CAD"/>
    <w:rsid w:val="195F32C2"/>
    <w:rsid w:val="1963140B"/>
    <w:rsid w:val="1966AC37"/>
    <w:rsid w:val="19677F2F"/>
    <w:rsid w:val="1976BA77"/>
    <w:rsid w:val="19828843"/>
    <w:rsid w:val="1996CCF9"/>
    <w:rsid w:val="19A6A41D"/>
    <w:rsid w:val="19A9F0B7"/>
    <w:rsid w:val="19AA89D8"/>
    <w:rsid w:val="19AA8DC3"/>
    <w:rsid w:val="19AF2A58"/>
    <w:rsid w:val="19B598FC"/>
    <w:rsid w:val="19B734B6"/>
    <w:rsid w:val="19BB685F"/>
    <w:rsid w:val="19BCF58F"/>
    <w:rsid w:val="19C2455F"/>
    <w:rsid w:val="19C33491"/>
    <w:rsid w:val="19C39BD9"/>
    <w:rsid w:val="19C6FC71"/>
    <w:rsid w:val="19E73E95"/>
    <w:rsid w:val="19EB230E"/>
    <w:rsid w:val="19F93252"/>
    <w:rsid w:val="19F9AF37"/>
    <w:rsid w:val="19FC6E6F"/>
    <w:rsid w:val="1A068314"/>
    <w:rsid w:val="1A2AA07D"/>
    <w:rsid w:val="1A3E9899"/>
    <w:rsid w:val="1A418F7B"/>
    <w:rsid w:val="1A48AF5E"/>
    <w:rsid w:val="1A582974"/>
    <w:rsid w:val="1A5CC1A7"/>
    <w:rsid w:val="1A5EF710"/>
    <w:rsid w:val="1A6EC8B6"/>
    <w:rsid w:val="1A76C904"/>
    <w:rsid w:val="1A795FF2"/>
    <w:rsid w:val="1A7D8C0A"/>
    <w:rsid w:val="1A80AE89"/>
    <w:rsid w:val="1A80CD8C"/>
    <w:rsid w:val="1A847009"/>
    <w:rsid w:val="1A84723F"/>
    <w:rsid w:val="1A87FD10"/>
    <w:rsid w:val="1A94350A"/>
    <w:rsid w:val="1AA4DAC5"/>
    <w:rsid w:val="1AABFBB9"/>
    <w:rsid w:val="1AAC7E31"/>
    <w:rsid w:val="1AB2CBA3"/>
    <w:rsid w:val="1AB9E584"/>
    <w:rsid w:val="1AC1F36E"/>
    <w:rsid w:val="1AC1F878"/>
    <w:rsid w:val="1AC3557C"/>
    <w:rsid w:val="1ACE4412"/>
    <w:rsid w:val="1AD34C70"/>
    <w:rsid w:val="1AD6D0EC"/>
    <w:rsid w:val="1AECDE40"/>
    <w:rsid w:val="1AF12EE3"/>
    <w:rsid w:val="1AF4A660"/>
    <w:rsid w:val="1AFD5EE8"/>
    <w:rsid w:val="1B0A4126"/>
    <w:rsid w:val="1B0B6806"/>
    <w:rsid w:val="1B0D807D"/>
    <w:rsid w:val="1B0DAB7E"/>
    <w:rsid w:val="1B12928B"/>
    <w:rsid w:val="1B18A4D3"/>
    <w:rsid w:val="1B1BC67E"/>
    <w:rsid w:val="1B282DD0"/>
    <w:rsid w:val="1B29CD29"/>
    <w:rsid w:val="1B29E55A"/>
    <w:rsid w:val="1B2B19FE"/>
    <w:rsid w:val="1B33923F"/>
    <w:rsid w:val="1B387CF0"/>
    <w:rsid w:val="1B3D6A17"/>
    <w:rsid w:val="1B424EF1"/>
    <w:rsid w:val="1B447B5C"/>
    <w:rsid w:val="1B4586D0"/>
    <w:rsid w:val="1B4B8467"/>
    <w:rsid w:val="1B59152A"/>
    <w:rsid w:val="1B623859"/>
    <w:rsid w:val="1B64CA51"/>
    <w:rsid w:val="1B6AB6AB"/>
    <w:rsid w:val="1B733776"/>
    <w:rsid w:val="1B73A3AE"/>
    <w:rsid w:val="1B76B9D0"/>
    <w:rsid w:val="1B79A924"/>
    <w:rsid w:val="1B7F0311"/>
    <w:rsid w:val="1B8FDE7C"/>
    <w:rsid w:val="1B91C5D7"/>
    <w:rsid w:val="1B93D083"/>
    <w:rsid w:val="1B966E6D"/>
    <w:rsid w:val="1BA29785"/>
    <w:rsid w:val="1BA2EEF9"/>
    <w:rsid w:val="1BAC8751"/>
    <w:rsid w:val="1BB6A021"/>
    <w:rsid w:val="1BBE4039"/>
    <w:rsid w:val="1BBEFC82"/>
    <w:rsid w:val="1BC04178"/>
    <w:rsid w:val="1BC1C025"/>
    <w:rsid w:val="1BC62EE0"/>
    <w:rsid w:val="1BCBA009"/>
    <w:rsid w:val="1BCC99BB"/>
    <w:rsid w:val="1BD7A0C7"/>
    <w:rsid w:val="1BD8877F"/>
    <w:rsid w:val="1BDC4F7B"/>
    <w:rsid w:val="1BE0E92E"/>
    <w:rsid w:val="1BEC2AA1"/>
    <w:rsid w:val="1BEEA943"/>
    <w:rsid w:val="1BF7A260"/>
    <w:rsid w:val="1BFE126C"/>
    <w:rsid w:val="1C089DCB"/>
    <w:rsid w:val="1C11B1BD"/>
    <w:rsid w:val="1C1E04BC"/>
    <w:rsid w:val="1C207E07"/>
    <w:rsid w:val="1C33BACB"/>
    <w:rsid w:val="1C35D4EF"/>
    <w:rsid w:val="1C3A793F"/>
    <w:rsid w:val="1C4185C4"/>
    <w:rsid w:val="1C4977E2"/>
    <w:rsid w:val="1C4B646B"/>
    <w:rsid w:val="1C627A84"/>
    <w:rsid w:val="1C627EFF"/>
    <w:rsid w:val="1C6FFFEF"/>
    <w:rsid w:val="1C769205"/>
    <w:rsid w:val="1C776BA0"/>
    <w:rsid w:val="1C785BB8"/>
    <w:rsid w:val="1C7A6301"/>
    <w:rsid w:val="1C7CF3D6"/>
    <w:rsid w:val="1C852F50"/>
    <w:rsid w:val="1C906D15"/>
    <w:rsid w:val="1C911B45"/>
    <w:rsid w:val="1C945E82"/>
    <w:rsid w:val="1C9748C3"/>
    <w:rsid w:val="1CA343E3"/>
    <w:rsid w:val="1CACBEFF"/>
    <w:rsid w:val="1CAD3F90"/>
    <w:rsid w:val="1CAD5AC1"/>
    <w:rsid w:val="1CBD994E"/>
    <w:rsid w:val="1CBEE013"/>
    <w:rsid w:val="1CC0C2F2"/>
    <w:rsid w:val="1CCADB7B"/>
    <w:rsid w:val="1CCB5400"/>
    <w:rsid w:val="1CCB6264"/>
    <w:rsid w:val="1CD381A4"/>
    <w:rsid w:val="1CD5A262"/>
    <w:rsid w:val="1CEDB5A8"/>
    <w:rsid w:val="1CF5D9C6"/>
    <w:rsid w:val="1D002791"/>
    <w:rsid w:val="1D04C65A"/>
    <w:rsid w:val="1D096176"/>
    <w:rsid w:val="1D0B62E4"/>
    <w:rsid w:val="1D10D973"/>
    <w:rsid w:val="1D15A06C"/>
    <w:rsid w:val="1D16C0ED"/>
    <w:rsid w:val="1D1B6BE5"/>
    <w:rsid w:val="1D1DDBE7"/>
    <w:rsid w:val="1D203953"/>
    <w:rsid w:val="1D295D57"/>
    <w:rsid w:val="1D2BC57E"/>
    <w:rsid w:val="1D2D57BE"/>
    <w:rsid w:val="1D2FAD62"/>
    <w:rsid w:val="1D307961"/>
    <w:rsid w:val="1D3537F8"/>
    <w:rsid w:val="1D36FE7C"/>
    <w:rsid w:val="1D3BB89D"/>
    <w:rsid w:val="1D4C3CB1"/>
    <w:rsid w:val="1D5D165B"/>
    <w:rsid w:val="1D5F6F6B"/>
    <w:rsid w:val="1D639DE2"/>
    <w:rsid w:val="1D687968"/>
    <w:rsid w:val="1D6B7596"/>
    <w:rsid w:val="1D785808"/>
    <w:rsid w:val="1D78E6F2"/>
    <w:rsid w:val="1D7AFABE"/>
    <w:rsid w:val="1D8A3643"/>
    <w:rsid w:val="1D8C7804"/>
    <w:rsid w:val="1D8D7888"/>
    <w:rsid w:val="1D9555B7"/>
    <w:rsid w:val="1D98D3AD"/>
    <w:rsid w:val="1D99F8B2"/>
    <w:rsid w:val="1DA14F58"/>
    <w:rsid w:val="1DA89BF6"/>
    <w:rsid w:val="1DA927DD"/>
    <w:rsid w:val="1DAB377F"/>
    <w:rsid w:val="1DAC63F4"/>
    <w:rsid w:val="1DB9D039"/>
    <w:rsid w:val="1DBBC115"/>
    <w:rsid w:val="1DBC9535"/>
    <w:rsid w:val="1DC93882"/>
    <w:rsid w:val="1DD0BB7F"/>
    <w:rsid w:val="1DD264B8"/>
    <w:rsid w:val="1DD347EC"/>
    <w:rsid w:val="1DDCF9FB"/>
    <w:rsid w:val="1DEA0DC3"/>
    <w:rsid w:val="1DEB234C"/>
    <w:rsid w:val="1DEEB525"/>
    <w:rsid w:val="1DF13B78"/>
    <w:rsid w:val="1E0528D9"/>
    <w:rsid w:val="1E05D856"/>
    <w:rsid w:val="1E082BAB"/>
    <w:rsid w:val="1E0A3C47"/>
    <w:rsid w:val="1E1098C3"/>
    <w:rsid w:val="1E133B31"/>
    <w:rsid w:val="1E19E2FC"/>
    <w:rsid w:val="1E1D8FD2"/>
    <w:rsid w:val="1E1E0283"/>
    <w:rsid w:val="1E22938A"/>
    <w:rsid w:val="1E237B12"/>
    <w:rsid w:val="1E2457CF"/>
    <w:rsid w:val="1E26F3CE"/>
    <w:rsid w:val="1E2E59F8"/>
    <w:rsid w:val="1E3C72BA"/>
    <w:rsid w:val="1E3CB7F7"/>
    <w:rsid w:val="1E3D7652"/>
    <w:rsid w:val="1E4376CD"/>
    <w:rsid w:val="1E44505F"/>
    <w:rsid w:val="1E4B5533"/>
    <w:rsid w:val="1E53D05F"/>
    <w:rsid w:val="1E574D99"/>
    <w:rsid w:val="1E5DAC81"/>
    <w:rsid w:val="1E5E60A7"/>
    <w:rsid w:val="1E660F7D"/>
    <w:rsid w:val="1E665BF6"/>
    <w:rsid w:val="1E66D191"/>
    <w:rsid w:val="1E6C1F1F"/>
    <w:rsid w:val="1E6CB222"/>
    <w:rsid w:val="1E726996"/>
    <w:rsid w:val="1E79DB2D"/>
    <w:rsid w:val="1E83062C"/>
    <w:rsid w:val="1E87D8DE"/>
    <w:rsid w:val="1E8A45C4"/>
    <w:rsid w:val="1E8C378E"/>
    <w:rsid w:val="1E94102F"/>
    <w:rsid w:val="1E950CD3"/>
    <w:rsid w:val="1E99A576"/>
    <w:rsid w:val="1E9A0AF9"/>
    <w:rsid w:val="1E9AB095"/>
    <w:rsid w:val="1EA02065"/>
    <w:rsid w:val="1EA22D78"/>
    <w:rsid w:val="1EA2B821"/>
    <w:rsid w:val="1EA9219D"/>
    <w:rsid w:val="1EBC7D95"/>
    <w:rsid w:val="1EBC827B"/>
    <w:rsid w:val="1ECEFC2C"/>
    <w:rsid w:val="1ED5AF28"/>
    <w:rsid w:val="1ED6BA7C"/>
    <w:rsid w:val="1EE14C50"/>
    <w:rsid w:val="1EE346E1"/>
    <w:rsid w:val="1EE3E511"/>
    <w:rsid w:val="1EE46A17"/>
    <w:rsid w:val="1EE7ED75"/>
    <w:rsid w:val="1EEBCA6A"/>
    <w:rsid w:val="1EEC290A"/>
    <w:rsid w:val="1EF4A8A9"/>
    <w:rsid w:val="1F0061C6"/>
    <w:rsid w:val="1F00BFE6"/>
    <w:rsid w:val="1F0196EC"/>
    <w:rsid w:val="1F054F62"/>
    <w:rsid w:val="1F0916E1"/>
    <w:rsid w:val="1F0E60A3"/>
    <w:rsid w:val="1F145F80"/>
    <w:rsid w:val="1F1D86E5"/>
    <w:rsid w:val="1F20468C"/>
    <w:rsid w:val="1F224E7D"/>
    <w:rsid w:val="1F23E791"/>
    <w:rsid w:val="1F242C4E"/>
    <w:rsid w:val="1F27B9AC"/>
    <w:rsid w:val="1F368A18"/>
    <w:rsid w:val="1F3756C2"/>
    <w:rsid w:val="1F38639F"/>
    <w:rsid w:val="1F415E3B"/>
    <w:rsid w:val="1F41EB80"/>
    <w:rsid w:val="1F457BB9"/>
    <w:rsid w:val="1F486B94"/>
    <w:rsid w:val="1F48DB7A"/>
    <w:rsid w:val="1F4D8696"/>
    <w:rsid w:val="1F573D5E"/>
    <w:rsid w:val="1F6297B5"/>
    <w:rsid w:val="1F6353C1"/>
    <w:rsid w:val="1F7FF1E7"/>
    <w:rsid w:val="1F8035C9"/>
    <w:rsid w:val="1F80F98E"/>
    <w:rsid w:val="1F8A921E"/>
    <w:rsid w:val="1F8F7751"/>
    <w:rsid w:val="1F95E4D1"/>
    <w:rsid w:val="1F97106C"/>
    <w:rsid w:val="1F987047"/>
    <w:rsid w:val="1F9AE397"/>
    <w:rsid w:val="1FA4B7A5"/>
    <w:rsid w:val="1FA57264"/>
    <w:rsid w:val="1FB13755"/>
    <w:rsid w:val="1FB9FC86"/>
    <w:rsid w:val="1FBD5F44"/>
    <w:rsid w:val="1FBE8557"/>
    <w:rsid w:val="1FC3228D"/>
    <w:rsid w:val="1FC6D7BB"/>
    <w:rsid w:val="1FCC6AF8"/>
    <w:rsid w:val="1FCF2CF4"/>
    <w:rsid w:val="1FD5008E"/>
    <w:rsid w:val="1FD9F622"/>
    <w:rsid w:val="1FDC2A26"/>
    <w:rsid w:val="1FDCB97A"/>
    <w:rsid w:val="1FDE58B7"/>
    <w:rsid w:val="1FE25A7A"/>
    <w:rsid w:val="1FE289A0"/>
    <w:rsid w:val="1FFF6309"/>
    <w:rsid w:val="1FFFAACC"/>
    <w:rsid w:val="20053F4B"/>
    <w:rsid w:val="200687D3"/>
    <w:rsid w:val="200ED0EF"/>
    <w:rsid w:val="201B84F2"/>
    <w:rsid w:val="20224A38"/>
    <w:rsid w:val="20289968"/>
    <w:rsid w:val="202AC848"/>
    <w:rsid w:val="20300D07"/>
    <w:rsid w:val="20303A27"/>
    <w:rsid w:val="2038F743"/>
    <w:rsid w:val="203C2446"/>
    <w:rsid w:val="203EE626"/>
    <w:rsid w:val="20496537"/>
    <w:rsid w:val="204ECC45"/>
    <w:rsid w:val="207B6AA4"/>
    <w:rsid w:val="207C9116"/>
    <w:rsid w:val="208C7F50"/>
    <w:rsid w:val="2099EB32"/>
    <w:rsid w:val="20A32D2D"/>
    <w:rsid w:val="20A649A5"/>
    <w:rsid w:val="20A70083"/>
    <w:rsid w:val="20A9B289"/>
    <w:rsid w:val="20AC0294"/>
    <w:rsid w:val="20AD212C"/>
    <w:rsid w:val="20B12AB9"/>
    <w:rsid w:val="20B36248"/>
    <w:rsid w:val="20C66243"/>
    <w:rsid w:val="20E8F08B"/>
    <w:rsid w:val="21023D4F"/>
    <w:rsid w:val="210804D0"/>
    <w:rsid w:val="210CDFAD"/>
    <w:rsid w:val="21125F01"/>
    <w:rsid w:val="211D4337"/>
    <w:rsid w:val="212182EF"/>
    <w:rsid w:val="2123D9FB"/>
    <w:rsid w:val="2126C5BA"/>
    <w:rsid w:val="21348BDD"/>
    <w:rsid w:val="21358DA0"/>
    <w:rsid w:val="213A4CAD"/>
    <w:rsid w:val="213BC3E3"/>
    <w:rsid w:val="213BC616"/>
    <w:rsid w:val="21462B8C"/>
    <w:rsid w:val="2146D8FE"/>
    <w:rsid w:val="214B4E93"/>
    <w:rsid w:val="215D26B0"/>
    <w:rsid w:val="216B66CE"/>
    <w:rsid w:val="216C2F04"/>
    <w:rsid w:val="217026D2"/>
    <w:rsid w:val="21738347"/>
    <w:rsid w:val="21750D48"/>
    <w:rsid w:val="2178D2DE"/>
    <w:rsid w:val="2187B7D2"/>
    <w:rsid w:val="219067B7"/>
    <w:rsid w:val="21A13A7F"/>
    <w:rsid w:val="21AD48F8"/>
    <w:rsid w:val="21AEA261"/>
    <w:rsid w:val="21AF1E4C"/>
    <w:rsid w:val="21B44215"/>
    <w:rsid w:val="21C1B29C"/>
    <w:rsid w:val="21C8D1F0"/>
    <w:rsid w:val="21D04871"/>
    <w:rsid w:val="21D45BB0"/>
    <w:rsid w:val="21DEB8AF"/>
    <w:rsid w:val="21E20989"/>
    <w:rsid w:val="21E866A2"/>
    <w:rsid w:val="21E8A57F"/>
    <w:rsid w:val="21E8FAE1"/>
    <w:rsid w:val="21EBFC03"/>
    <w:rsid w:val="21ED5DE3"/>
    <w:rsid w:val="21F2AB08"/>
    <w:rsid w:val="21F42AF8"/>
    <w:rsid w:val="2206BFA5"/>
    <w:rsid w:val="2207AE35"/>
    <w:rsid w:val="220B25FF"/>
    <w:rsid w:val="220B90F7"/>
    <w:rsid w:val="220D2BDC"/>
    <w:rsid w:val="22147968"/>
    <w:rsid w:val="22153C6E"/>
    <w:rsid w:val="2217E9A0"/>
    <w:rsid w:val="221A4D6A"/>
    <w:rsid w:val="221E6422"/>
    <w:rsid w:val="2230AB08"/>
    <w:rsid w:val="223AE753"/>
    <w:rsid w:val="223D4BEB"/>
    <w:rsid w:val="2251909D"/>
    <w:rsid w:val="226448BF"/>
    <w:rsid w:val="22652061"/>
    <w:rsid w:val="2272728D"/>
    <w:rsid w:val="227428A5"/>
    <w:rsid w:val="227661DD"/>
    <w:rsid w:val="22839B1C"/>
    <w:rsid w:val="2288718A"/>
    <w:rsid w:val="2289247E"/>
    <w:rsid w:val="2289870F"/>
    <w:rsid w:val="228E78FE"/>
    <w:rsid w:val="2293635E"/>
    <w:rsid w:val="2297F4D2"/>
    <w:rsid w:val="229A74F2"/>
    <w:rsid w:val="229ACD1A"/>
    <w:rsid w:val="229B5120"/>
    <w:rsid w:val="229E163D"/>
    <w:rsid w:val="229EC0C4"/>
    <w:rsid w:val="229F43D5"/>
    <w:rsid w:val="22A168EC"/>
    <w:rsid w:val="22A505F7"/>
    <w:rsid w:val="22B3C71B"/>
    <w:rsid w:val="22B58C56"/>
    <w:rsid w:val="22B728B6"/>
    <w:rsid w:val="22B81A1D"/>
    <w:rsid w:val="22B81C24"/>
    <w:rsid w:val="22B8C518"/>
    <w:rsid w:val="22BBC0F1"/>
    <w:rsid w:val="22CCC117"/>
    <w:rsid w:val="22CD74FE"/>
    <w:rsid w:val="22D464AD"/>
    <w:rsid w:val="22D511D4"/>
    <w:rsid w:val="22D6A6E6"/>
    <w:rsid w:val="22D93BF2"/>
    <w:rsid w:val="22E1DFCA"/>
    <w:rsid w:val="22E1FF1A"/>
    <w:rsid w:val="22E94502"/>
    <w:rsid w:val="22F06FCF"/>
    <w:rsid w:val="22F1B07E"/>
    <w:rsid w:val="22FC04A2"/>
    <w:rsid w:val="22FE874B"/>
    <w:rsid w:val="231039DB"/>
    <w:rsid w:val="2311D5A5"/>
    <w:rsid w:val="2316C699"/>
    <w:rsid w:val="23195F79"/>
    <w:rsid w:val="23236621"/>
    <w:rsid w:val="232667BF"/>
    <w:rsid w:val="232A5192"/>
    <w:rsid w:val="23313868"/>
    <w:rsid w:val="2332E836"/>
    <w:rsid w:val="233437B3"/>
    <w:rsid w:val="234064A0"/>
    <w:rsid w:val="23427E75"/>
    <w:rsid w:val="234445C1"/>
    <w:rsid w:val="23478EE6"/>
    <w:rsid w:val="23487C37"/>
    <w:rsid w:val="235AC064"/>
    <w:rsid w:val="2363BA14"/>
    <w:rsid w:val="23652BDE"/>
    <w:rsid w:val="2367626C"/>
    <w:rsid w:val="23698E3A"/>
    <w:rsid w:val="236ABF36"/>
    <w:rsid w:val="23785F89"/>
    <w:rsid w:val="237E6C07"/>
    <w:rsid w:val="23830225"/>
    <w:rsid w:val="2392DB53"/>
    <w:rsid w:val="239A3886"/>
    <w:rsid w:val="239C52AF"/>
    <w:rsid w:val="239D3FC3"/>
    <w:rsid w:val="23A18038"/>
    <w:rsid w:val="23B2569C"/>
    <w:rsid w:val="23B3C047"/>
    <w:rsid w:val="23B3C1F0"/>
    <w:rsid w:val="23B74AA9"/>
    <w:rsid w:val="23B8C4F5"/>
    <w:rsid w:val="23D5A157"/>
    <w:rsid w:val="23D9ED86"/>
    <w:rsid w:val="23E1FFE8"/>
    <w:rsid w:val="23E7B551"/>
    <w:rsid w:val="23F550FD"/>
    <w:rsid w:val="23F8B347"/>
    <w:rsid w:val="23FADFE3"/>
    <w:rsid w:val="240F129B"/>
    <w:rsid w:val="24162451"/>
    <w:rsid w:val="241A33C5"/>
    <w:rsid w:val="241C0B15"/>
    <w:rsid w:val="2428269C"/>
    <w:rsid w:val="242BBE11"/>
    <w:rsid w:val="242CE46D"/>
    <w:rsid w:val="243B5F06"/>
    <w:rsid w:val="243C39E9"/>
    <w:rsid w:val="244228AA"/>
    <w:rsid w:val="24426AA5"/>
    <w:rsid w:val="2445C07F"/>
    <w:rsid w:val="24474045"/>
    <w:rsid w:val="244C2D93"/>
    <w:rsid w:val="2450069A"/>
    <w:rsid w:val="24519DC8"/>
    <w:rsid w:val="24628231"/>
    <w:rsid w:val="246E63E9"/>
    <w:rsid w:val="246E6508"/>
    <w:rsid w:val="2474C8F2"/>
    <w:rsid w:val="2484625A"/>
    <w:rsid w:val="24877823"/>
    <w:rsid w:val="2488A0F9"/>
    <w:rsid w:val="248CA14E"/>
    <w:rsid w:val="248F4C1D"/>
    <w:rsid w:val="2497600B"/>
    <w:rsid w:val="249FE96A"/>
    <w:rsid w:val="24A0285A"/>
    <w:rsid w:val="24A166F5"/>
    <w:rsid w:val="24A2F790"/>
    <w:rsid w:val="24A33F2D"/>
    <w:rsid w:val="24A7779E"/>
    <w:rsid w:val="24B59C50"/>
    <w:rsid w:val="24B6A537"/>
    <w:rsid w:val="24BA5CD3"/>
    <w:rsid w:val="24C1DC23"/>
    <w:rsid w:val="24C9E200"/>
    <w:rsid w:val="24CE7298"/>
    <w:rsid w:val="24D44E6B"/>
    <w:rsid w:val="24DBF349"/>
    <w:rsid w:val="24DFB34F"/>
    <w:rsid w:val="24E552A9"/>
    <w:rsid w:val="24E6B3E8"/>
    <w:rsid w:val="24F1FA7C"/>
    <w:rsid w:val="24F7DEB8"/>
    <w:rsid w:val="24FA211E"/>
    <w:rsid w:val="24FCCDDB"/>
    <w:rsid w:val="24FDFC0E"/>
    <w:rsid w:val="25011279"/>
    <w:rsid w:val="2501B6A8"/>
    <w:rsid w:val="2503E53F"/>
    <w:rsid w:val="250BB42C"/>
    <w:rsid w:val="2510173E"/>
    <w:rsid w:val="25133D02"/>
    <w:rsid w:val="25227D47"/>
    <w:rsid w:val="2529B743"/>
    <w:rsid w:val="252DEF66"/>
    <w:rsid w:val="253F1636"/>
    <w:rsid w:val="2542F445"/>
    <w:rsid w:val="25463892"/>
    <w:rsid w:val="2547CB71"/>
    <w:rsid w:val="254B2661"/>
    <w:rsid w:val="254C7D12"/>
    <w:rsid w:val="254EE4A8"/>
    <w:rsid w:val="254FAA7A"/>
    <w:rsid w:val="255CFD5C"/>
    <w:rsid w:val="255DBBD2"/>
    <w:rsid w:val="256D1C3D"/>
    <w:rsid w:val="256D7499"/>
    <w:rsid w:val="256E0E14"/>
    <w:rsid w:val="258DC4EF"/>
    <w:rsid w:val="25918905"/>
    <w:rsid w:val="2595E915"/>
    <w:rsid w:val="25AC9E9B"/>
    <w:rsid w:val="25ADA220"/>
    <w:rsid w:val="25B46FFF"/>
    <w:rsid w:val="25B72792"/>
    <w:rsid w:val="25B77F97"/>
    <w:rsid w:val="25BCE95E"/>
    <w:rsid w:val="25C1F627"/>
    <w:rsid w:val="25C7CDDA"/>
    <w:rsid w:val="25CD6652"/>
    <w:rsid w:val="25CDBBAB"/>
    <w:rsid w:val="25D028E2"/>
    <w:rsid w:val="25D27D95"/>
    <w:rsid w:val="25D6BFBF"/>
    <w:rsid w:val="25DEAC7C"/>
    <w:rsid w:val="25E5EBDB"/>
    <w:rsid w:val="25E6C021"/>
    <w:rsid w:val="25E83029"/>
    <w:rsid w:val="25F0B0BB"/>
    <w:rsid w:val="25F22B5F"/>
    <w:rsid w:val="25F52380"/>
    <w:rsid w:val="25FAF4F4"/>
    <w:rsid w:val="25FC1F96"/>
    <w:rsid w:val="25FC6F40"/>
    <w:rsid w:val="25FDAE03"/>
    <w:rsid w:val="260C77EE"/>
    <w:rsid w:val="26114D76"/>
    <w:rsid w:val="2621323C"/>
    <w:rsid w:val="26227A58"/>
    <w:rsid w:val="262495B7"/>
    <w:rsid w:val="2631D715"/>
    <w:rsid w:val="2632FBCC"/>
    <w:rsid w:val="2638BEA3"/>
    <w:rsid w:val="263D6F3E"/>
    <w:rsid w:val="264ADCA4"/>
    <w:rsid w:val="26550F5F"/>
    <w:rsid w:val="265B1968"/>
    <w:rsid w:val="2662C417"/>
    <w:rsid w:val="2673ADC1"/>
    <w:rsid w:val="26982FAF"/>
    <w:rsid w:val="269EA581"/>
    <w:rsid w:val="26A127AE"/>
    <w:rsid w:val="26A53ACD"/>
    <w:rsid w:val="26A97ADB"/>
    <w:rsid w:val="26AFD74E"/>
    <w:rsid w:val="26B0FDD0"/>
    <w:rsid w:val="26B44F4D"/>
    <w:rsid w:val="26B7DF96"/>
    <w:rsid w:val="26BB2E6A"/>
    <w:rsid w:val="26C61E58"/>
    <w:rsid w:val="26D585FA"/>
    <w:rsid w:val="26D69E7B"/>
    <w:rsid w:val="26DB87F9"/>
    <w:rsid w:val="26E34C58"/>
    <w:rsid w:val="26FA5585"/>
    <w:rsid w:val="26FD51CB"/>
    <w:rsid w:val="2702F09A"/>
    <w:rsid w:val="27071F21"/>
    <w:rsid w:val="27092382"/>
    <w:rsid w:val="2709600B"/>
    <w:rsid w:val="2709C982"/>
    <w:rsid w:val="270B6B4C"/>
    <w:rsid w:val="271BBF0E"/>
    <w:rsid w:val="271C51A4"/>
    <w:rsid w:val="271D0976"/>
    <w:rsid w:val="271DC3D5"/>
    <w:rsid w:val="27241B7C"/>
    <w:rsid w:val="27278BB0"/>
    <w:rsid w:val="273444CE"/>
    <w:rsid w:val="273D6EE2"/>
    <w:rsid w:val="273EB1EC"/>
    <w:rsid w:val="273FFDC9"/>
    <w:rsid w:val="2742E8E9"/>
    <w:rsid w:val="27481B93"/>
    <w:rsid w:val="2749DF5C"/>
    <w:rsid w:val="274C04FA"/>
    <w:rsid w:val="274FB382"/>
    <w:rsid w:val="275976E7"/>
    <w:rsid w:val="275AAEFD"/>
    <w:rsid w:val="275BE7D9"/>
    <w:rsid w:val="27634372"/>
    <w:rsid w:val="276856CB"/>
    <w:rsid w:val="276A4244"/>
    <w:rsid w:val="276C11B7"/>
    <w:rsid w:val="276E2928"/>
    <w:rsid w:val="27701BE1"/>
    <w:rsid w:val="277992A1"/>
    <w:rsid w:val="2782CA06"/>
    <w:rsid w:val="2787CAED"/>
    <w:rsid w:val="27890CB6"/>
    <w:rsid w:val="278A12A4"/>
    <w:rsid w:val="278AFD00"/>
    <w:rsid w:val="278C347D"/>
    <w:rsid w:val="2790671A"/>
    <w:rsid w:val="2792B2CB"/>
    <w:rsid w:val="27A2571E"/>
    <w:rsid w:val="27A8A513"/>
    <w:rsid w:val="27B084B7"/>
    <w:rsid w:val="27B761C7"/>
    <w:rsid w:val="27C27BCD"/>
    <w:rsid w:val="27C90471"/>
    <w:rsid w:val="27CC33B7"/>
    <w:rsid w:val="27D0FE40"/>
    <w:rsid w:val="27D1211C"/>
    <w:rsid w:val="27D23B02"/>
    <w:rsid w:val="27DFB489"/>
    <w:rsid w:val="27E1FDA0"/>
    <w:rsid w:val="27E22A37"/>
    <w:rsid w:val="27FB8D9D"/>
    <w:rsid w:val="280647DA"/>
    <w:rsid w:val="282AB1F1"/>
    <w:rsid w:val="283C04CF"/>
    <w:rsid w:val="28484FF7"/>
    <w:rsid w:val="2849B0CB"/>
    <w:rsid w:val="2851396F"/>
    <w:rsid w:val="2862E1FB"/>
    <w:rsid w:val="28637E60"/>
    <w:rsid w:val="28655E28"/>
    <w:rsid w:val="286AF03F"/>
    <w:rsid w:val="2873205B"/>
    <w:rsid w:val="28786E3C"/>
    <w:rsid w:val="2881E939"/>
    <w:rsid w:val="288C9B5B"/>
    <w:rsid w:val="288F2B9D"/>
    <w:rsid w:val="289A4596"/>
    <w:rsid w:val="28A214A7"/>
    <w:rsid w:val="28AA069B"/>
    <w:rsid w:val="28AD1DF4"/>
    <w:rsid w:val="28B7196D"/>
    <w:rsid w:val="28B9C10E"/>
    <w:rsid w:val="28C1C6B2"/>
    <w:rsid w:val="28CBB4D8"/>
    <w:rsid w:val="28CEA13A"/>
    <w:rsid w:val="28D429AB"/>
    <w:rsid w:val="28D8F88F"/>
    <w:rsid w:val="28E6F332"/>
    <w:rsid w:val="28ED6984"/>
    <w:rsid w:val="28F4192A"/>
    <w:rsid w:val="28FD1852"/>
    <w:rsid w:val="29003B42"/>
    <w:rsid w:val="29135812"/>
    <w:rsid w:val="29156C97"/>
    <w:rsid w:val="2915DC04"/>
    <w:rsid w:val="292D6CF4"/>
    <w:rsid w:val="292F43C4"/>
    <w:rsid w:val="29349129"/>
    <w:rsid w:val="29446D00"/>
    <w:rsid w:val="294997EF"/>
    <w:rsid w:val="294F79BC"/>
    <w:rsid w:val="29500384"/>
    <w:rsid w:val="2955ECAB"/>
    <w:rsid w:val="295A5625"/>
    <w:rsid w:val="295B2507"/>
    <w:rsid w:val="295D7087"/>
    <w:rsid w:val="29644D00"/>
    <w:rsid w:val="296DE00B"/>
    <w:rsid w:val="296F8C6E"/>
    <w:rsid w:val="296FA95C"/>
    <w:rsid w:val="29707822"/>
    <w:rsid w:val="297082C5"/>
    <w:rsid w:val="29765BD9"/>
    <w:rsid w:val="297AA836"/>
    <w:rsid w:val="297B62A6"/>
    <w:rsid w:val="297DB98B"/>
    <w:rsid w:val="29861CA6"/>
    <w:rsid w:val="2989FC19"/>
    <w:rsid w:val="29A3A655"/>
    <w:rsid w:val="29A44731"/>
    <w:rsid w:val="29A71F46"/>
    <w:rsid w:val="29A7A375"/>
    <w:rsid w:val="29B9EBAB"/>
    <w:rsid w:val="29C2AFB1"/>
    <w:rsid w:val="29C4DDC1"/>
    <w:rsid w:val="29CAEE5B"/>
    <w:rsid w:val="29D2C12C"/>
    <w:rsid w:val="29D8A6CF"/>
    <w:rsid w:val="29DC6869"/>
    <w:rsid w:val="29DF8BDB"/>
    <w:rsid w:val="29EB548E"/>
    <w:rsid w:val="29EC1380"/>
    <w:rsid w:val="29F06AB9"/>
    <w:rsid w:val="29F58409"/>
    <w:rsid w:val="29F5A6C3"/>
    <w:rsid w:val="2A0573F7"/>
    <w:rsid w:val="2A060541"/>
    <w:rsid w:val="2A15BE37"/>
    <w:rsid w:val="2A1D7479"/>
    <w:rsid w:val="2A1EBC23"/>
    <w:rsid w:val="2A2920D0"/>
    <w:rsid w:val="2A2A36F5"/>
    <w:rsid w:val="2A2E7A47"/>
    <w:rsid w:val="2A362D06"/>
    <w:rsid w:val="2A370A5D"/>
    <w:rsid w:val="2A58EA5F"/>
    <w:rsid w:val="2A5BE230"/>
    <w:rsid w:val="2A5E989F"/>
    <w:rsid w:val="2A601AB1"/>
    <w:rsid w:val="2A61BFDA"/>
    <w:rsid w:val="2A64ABB9"/>
    <w:rsid w:val="2A67871B"/>
    <w:rsid w:val="2A6AE9F8"/>
    <w:rsid w:val="2A6B2459"/>
    <w:rsid w:val="2A6DC027"/>
    <w:rsid w:val="2A72D9CB"/>
    <w:rsid w:val="2A83DD1E"/>
    <w:rsid w:val="2A8A93DA"/>
    <w:rsid w:val="2A8F9086"/>
    <w:rsid w:val="2A9681B4"/>
    <w:rsid w:val="2A97D5CF"/>
    <w:rsid w:val="2AA29359"/>
    <w:rsid w:val="2AA9A5E8"/>
    <w:rsid w:val="2AAA2D45"/>
    <w:rsid w:val="2AAE77BE"/>
    <w:rsid w:val="2AAE77E9"/>
    <w:rsid w:val="2AAEA4C6"/>
    <w:rsid w:val="2AB1853E"/>
    <w:rsid w:val="2AB933B6"/>
    <w:rsid w:val="2AC02211"/>
    <w:rsid w:val="2AC5E244"/>
    <w:rsid w:val="2ACFF601"/>
    <w:rsid w:val="2AD1AA75"/>
    <w:rsid w:val="2AD7114B"/>
    <w:rsid w:val="2AF71CD2"/>
    <w:rsid w:val="2AF90F84"/>
    <w:rsid w:val="2AFAB620"/>
    <w:rsid w:val="2AFD79C7"/>
    <w:rsid w:val="2AFF4EE3"/>
    <w:rsid w:val="2AFF6DA4"/>
    <w:rsid w:val="2B05C92D"/>
    <w:rsid w:val="2B07AD53"/>
    <w:rsid w:val="2B0B1F1B"/>
    <w:rsid w:val="2B0F9183"/>
    <w:rsid w:val="2B1223CD"/>
    <w:rsid w:val="2B147413"/>
    <w:rsid w:val="2B159E9E"/>
    <w:rsid w:val="2B16385D"/>
    <w:rsid w:val="2B1760D1"/>
    <w:rsid w:val="2B1CA824"/>
    <w:rsid w:val="2B253A61"/>
    <w:rsid w:val="2B26E184"/>
    <w:rsid w:val="2B2827F0"/>
    <w:rsid w:val="2B2DE851"/>
    <w:rsid w:val="2B3232F5"/>
    <w:rsid w:val="2B356459"/>
    <w:rsid w:val="2B447AD1"/>
    <w:rsid w:val="2B54D830"/>
    <w:rsid w:val="2B5877C4"/>
    <w:rsid w:val="2B5F2483"/>
    <w:rsid w:val="2B684CF6"/>
    <w:rsid w:val="2B7228C3"/>
    <w:rsid w:val="2B7ACCB5"/>
    <w:rsid w:val="2B7D48E3"/>
    <w:rsid w:val="2B8FBE41"/>
    <w:rsid w:val="2B9C2DEA"/>
    <w:rsid w:val="2B9DAE69"/>
    <w:rsid w:val="2BA18BD4"/>
    <w:rsid w:val="2BA254C0"/>
    <w:rsid w:val="2BBD9669"/>
    <w:rsid w:val="2BCC444F"/>
    <w:rsid w:val="2BCCB6A2"/>
    <w:rsid w:val="2BD76401"/>
    <w:rsid w:val="2BDA5E6F"/>
    <w:rsid w:val="2BDD13FE"/>
    <w:rsid w:val="2BE9D1FC"/>
    <w:rsid w:val="2BF26BCC"/>
    <w:rsid w:val="2BF28347"/>
    <w:rsid w:val="2BF33ECE"/>
    <w:rsid w:val="2BF787AE"/>
    <w:rsid w:val="2BFCAED9"/>
    <w:rsid w:val="2C012CC1"/>
    <w:rsid w:val="2C0F1611"/>
    <w:rsid w:val="2C121C04"/>
    <w:rsid w:val="2C12A7CF"/>
    <w:rsid w:val="2C186621"/>
    <w:rsid w:val="2C20B881"/>
    <w:rsid w:val="2C23C962"/>
    <w:rsid w:val="2C2B878F"/>
    <w:rsid w:val="2C35267A"/>
    <w:rsid w:val="2C3F5B27"/>
    <w:rsid w:val="2C45F3DC"/>
    <w:rsid w:val="2C480FCB"/>
    <w:rsid w:val="2C4E3F35"/>
    <w:rsid w:val="2C4F0F42"/>
    <w:rsid w:val="2C4F98F2"/>
    <w:rsid w:val="2C56C82E"/>
    <w:rsid w:val="2C588B55"/>
    <w:rsid w:val="2C6665DD"/>
    <w:rsid w:val="2C67B4D5"/>
    <w:rsid w:val="2C745119"/>
    <w:rsid w:val="2C78558D"/>
    <w:rsid w:val="2C78667D"/>
    <w:rsid w:val="2C7EEF55"/>
    <w:rsid w:val="2C833F5F"/>
    <w:rsid w:val="2C89498F"/>
    <w:rsid w:val="2C941D02"/>
    <w:rsid w:val="2C948F6D"/>
    <w:rsid w:val="2C955D71"/>
    <w:rsid w:val="2C95E9BD"/>
    <w:rsid w:val="2CB72A26"/>
    <w:rsid w:val="2CB7E78C"/>
    <w:rsid w:val="2CBD67EB"/>
    <w:rsid w:val="2CC74477"/>
    <w:rsid w:val="2CCE5F93"/>
    <w:rsid w:val="2CD0A427"/>
    <w:rsid w:val="2CD19BC0"/>
    <w:rsid w:val="2CDA4C5E"/>
    <w:rsid w:val="2CDD7F26"/>
    <w:rsid w:val="2CE397C2"/>
    <w:rsid w:val="2CEB506A"/>
    <w:rsid w:val="2CEC1EC1"/>
    <w:rsid w:val="2CED9EAB"/>
    <w:rsid w:val="2CF90B00"/>
    <w:rsid w:val="2D03163D"/>
    <w:rsid w:val="2D0F4AE0"/>
    <w:rsid w:val="2D1A4D3B"/>
    <w:rsid w:val="2D1BEDB6"/>
    <w:rsid w:val="2D257CEE"/>
    <w:rsid w:val="2D2BF0DC"/>
    <w:rsid w:val="2D3238F7"/>
    <w:rsid w:val="2D344D4B"/>
    <w:rsid w:val="2D39655E"/>
    <w:rsid w:val="2D427D1D"/>
    <w:rsid w:val="2D4DE0FB"/>
    <w:rsid w:val="2D59369A"/>
    <w:rsid w:val="2D5EBFB7"/>
    <w:rsid w:val="2D74455F"/>
    <w:rsid w:val="2D9368D5"/>
    <w:rsid w:val="2D9C7543"/>
    <w:rsid w:val="2D9F2433"/>
    <w:rsid w:val="2DA12D94"/>
    <w:rsid w:val="2DA48269"/>
    <w:rsid w:val="2DA706BB"/>
    <w:rsid w:val="2DAF62CE"/>
    <w:rsid w:val="2DBE1925"/>
    <w:rsid w:val="2DC4E418"/>
    <w:rsid w:val="2DD47240"/>
    <w:rsid w:val="2DE0A448"/>
    <w:rsid w:val="2DE2A534"/>
    <w:rsid w:val="2DE38356"/>
    <w:rsid w:val="2DE8B6B5"/>
    <w:rsid w:val="2DEA627D"/>
    <w:rsid w:val="2DEE7D3B"/>
    <w:rsid w:val="2DF61051"/>
    <w:rsid w:val="2DF77054"/>
    <w:rsid w:val="2E04F9B4"/>
    <w:rsid w:val="2E0A210B"/>
    <w:rsid w:val="2E0ACD62"/>
    <w:rsid w:val="2E0DBEE5"/>
    <w:rsid w:val="2E12B008"/>
    <w:rsid w:val="2E13BD8F"/>
    <w:rsid w:val="2E17901B"/>
    <w:rsid w:val="2E1AF89D"/>
    <w:rsid w:val="2E1B2C30"/>
    <w:rsid w:val="2E1FDE72"/>
    <w:rsid w:val="2E259E5D"/>
    <w:rsid w:val="2E282B48"/>
    <w:rsid w:val="2E369C93"/>
    <w:rsid w:val="2E3D7F7D"/>
    <w:rsid w:val="2E440808"/>
    <w:rsid w:val="2E4A1389"/>
    <w:rsid w:val="2E4B6BDE"/>
    <w:rsid w:val="2E5C2896"/>
    <w:rsid w:val="2E5E7EA6"/>
    <w:rsid w:val="2E64DA65"/>
    <w:rsid w:val="2E666C54"/>
    <w:rsid w:val="2E67EAC6"/>
    <w:rsid w:val="2E6A80A1"/>
    <w:rsid w:val="2E6C26B1"/>
    <w:rsid w:val="2E70F286"/>
    <w:rsid w:val="2E710B61"/>
    <w:rsid w:val="2E76F38C"/>
    <w:rsid w:val="2E7F5D2D"/>
    <w:rsid w:val="2E800798"/>
    <w:rsid w:val="2E8874C0"/>
    <w:rsid w:val="2E8969AD"/>
    <w:rsid w:val="2E8A142D"/>
    <w:rsid w:val="2E903313"/>
    <w:rsid w:val="2E903C44"/>
    <w:rsid w:val="2E92B9CF"/>
    <w:rsid w:val="2E95239F"/>
    <w:rsid w:val="2E9883EF"/>
    <w:rsid w:val="2E994673"/>
    <w:rsid w:val="2E9C3CB1"/>
    <w:rsid w:val="2E9D5CDB"/>
    <w:rsid w:val="2E9E681A"/>
    <w:rsid w:val="2E9F7BA9"/>
    <w:rsid w:val="2E9F9FB1"/>
    <w:rsid w:val="2EA4E890"/>
    <w:rsid w:val="2EA702D5"/>
    <w:rsid w:val="2EA94BF3"/>
    <w:rsid w:val="2EB15CB8"/>
    <w:rsid w:val="2EB15F61"/>
    <w:rsid w:val="2EB4F36B"/>
    <w:rsid w:val="2EB5D99F"/>
    <w:rsid w:val="2EB5E299"/>
    <w:rsid w:val="2EB691C2"/>
    <w:rsid w:val="2EBA1747"/>
    <w:rsid w:val="2EBD5ECD"/>
    <w:rsid w:val="2ECDDED2"/>
    <w:rsid w:val="2ED061EB"/>
    <w:rsid w:val="2ED162E3"/>
    <w:rsid w:val="2EE65756"/>
    <w:rsid w:val="2EE6BF70"/>
    <w:rsid w:val="2EEBBE05"/>
    <w:rsid w:val="2EEC2D71"/>
    <w:rsid w:val="2EF5E606"/>
    <w:rsid w:val="2F008517"/>
    <w:rsid w:val="2F023647"/>
    <w:rsid w:val="2F04A8DB"/>
    <w:rsid w:val="2F08575A"/>
    <w:rsid w:val="2F0BA7BF"/>
    <w:rsid w:val="2F128488"/>
    <w:rsid w:val="2F16756B"/>
    <w:rsid w:val="2F21BCC5"/>
    <w:rsid w:val="2F2E2B70"/>
    <w:rsid w:val="2F34F3A7"/>
    <w:rsid w:val="2F37C6A2"/>
    <w:rsid w:val="2F5A7F56"/>
    <w:rsid w:val="2F5B8B27"/>
    <w:rsid w:val="2F5BB870"/>
    <w:rsid w:val="2F5C14CC"/>
    <w:rsid w:val="2F62AE86"/>
    <w:rsid w:val="2F6B335D"/>
    <w:rsid w:val="2F7FFA91"/>
    <w:rsid w:val="2F801488"/>
    <w:rsid w:val="2F83262D"/>
    <w:rsid w:val="2F836B5A"/>
    <w:rsid w:val="2F876FB5"/>
    <w:rsid w:val="2F88D6F7"/>
    <w:rsid w:val="2F917E55"/>
    <w:rsid w:val="2F9946EA"/>
    <w:rsid w:val="2F9EC10D"/>
    <w:rsid w:val="2FA63F35"/>
    <w:rsid w:val="2FA78094"/>
    <w:rsid w:val="2FC3E681"/>
    <w:rsid w:val="2FC664AA"/>
    <w:rsid w:val="2FCCCB6A"/>
    <w:rsid w:val="2FCD50E8"/>
    <w:rsid w:val="2FCDE083"/>
    <w:rsid w:val="2FCDE6E5"/>
    <w:rsid w:val="2FDAB8DF"/>
    <w:rsid w:val="2FDD9AAF"/>
    <w:rsid w:val="2FE94522"/>
    <w:rsid w:val="2FEA031C"/>
    <w:rsid w:val="2FEC1D35"/>
    <w:rsid w:val="2FF7A745"/>
    <w:rsid w:val="30009892"/>
    <w:rsid w:val="300BA247"/>
    <w:rsid w:val="300CD7E4"/>
    <w:rsid w:val="30166AE1"/>
    <w:rsid w:val="3019E604"/>
    <w:rsid w:val="301CECC0"/>
    <w:rsid w:val="3027445A"/>
    <w:rsid w:val="302C2490"/>
    <w:rsid w:val="302F8DDC"/>
    <w:rsid w:val="3033FA94"/>
    <w:rsid w:val="30355D7A"/>
    <w:rsid w:val="303A0946"/>
    <w:rsid w:val="303B4B3C"/>
    <w:rsid w:val="3044519A"/>
    <w:rsid w:val="3049EF77"/>
    <w:rsid w:val="304E342A"/>
    <w:rsid w:val="3058F18E"/>
    <w:rsid w:val="305A6700"/>
    <w:rsid w:val="305D7F63"/>
    <w:rsid w:val="3067B63F"/>
    <w:rsid w:val="30682253"/>
    <w:rsid w:val="30694FB6"/>
    <w:rsid w:val="3072AFEC"/>
    <w:rsid w:val="30732393"/>
    <w:rsid w:val="307DAC3B"/>
    <w:rsid w:val="3083C564"/>
    <w:rsid w:val="3083CFD9"/>
    <w:rsid w:val="309B1DCF"/>
    <w:rsid w:val="30A532F5"/>
    <w:rsid w:val="30A6F95C"/>
    <w:rsid w:val="30ADBDFE"/>
    <w:rsid w:val="30AFE1B3"/>
    <w:rsid w:val="30BBBC7F"/>
    <w:rsid w:val="30BCFEB1"/>
    <w:rsid w:val="30BDC53A"/>
    <w:rsid w:val="30C56877"/>
    <w:rsid w:val="30CC8011"/>
    <w:rsid w:val="30CE6A67"/>
    <w:rsid w:val="30D04479"/>
    <w:rsid w:val="30D47247"/>
    <w:rsid w:val="30D55E83"/>
    <w:rsid w:val="30DD2709"/>
    <w:rsid w:val="30DD28F8"/>
    <w:rsid w:val="30E1C581"/>
    <w:rsid w:val="30E31E98"/>
    <w:rsid w:val="30E83AA7"/>
    <w:rsid w:val="30EC5466"/>
    <w:rsid w:val="30EE3C29"/>
    <w:rsid w:val="30EE8312"/>
    <w:rsid w:val="30EF755B"/>
    <w:rsid w:val="30F43B2C"/>
    <w:rsid w:val="30F935D5"/>
    <w:rsid w:val="3102CAC9"/>
    <w:rsid w:val="31060D6E"/>
    <w:rsid w:val="310BB41B"/>
    <w:rsid w:val="31178095"/>
    <w:rsid w:val="311B8CA2"/>
    <w:rsid w:val="3121B115"/>
    <w:rsid w:val="31226984"/>
    <w:rsid w:val="312F93C8"/>
    <w:rsid w:val="31324B05"/>
    <w:rsid w:val="313C3DF0"/>
    <w:rsid w:val="31429FD5"/>
    <w:rsid w:val="3143156E"/>
    <w:rsid w:val="3143D747"/>
    <w:rsid w:val="3146B342"/>
    <w:rsid w:val="3149B22E"/>
    <w:rsid w:val="314A3FAF"/>
    <w:rsid w:val="314B148A"/>
    <w:rsid w:val="31581518"/>
    <w:rsid w:val="31582FDE"/>
    <w:rsid w:val="315F3DAB"/>
    <w:rsid w:val="3160CDA3"/>
    <w:rsid w:val="3160DF33"/>
    <w:rsid w:val="3162B88F"/>
    <w:rsid w:val="316957F0"/>
    <w:rsid w:val="3172C3F5"/>
    <w:rsid w:val="31735BAF"/>
    <w:rsid w:val="317A0AB7"/>
    <w:rsid w:val="3180FBC8"/>
    <w:rsid w:val="3183B716"/>
    <w:rsid w:val="3186425C"/>
    <w:rsid w:val="31875EAD"/>
    <w:rsid w:val="318D9E5A"/>
    <w:rsid w:val="318F31BE"/>
    <w:rsid w:val="3199EEDF"/>
    <w:rsid w:val="319ACF96"/>
    <w:rsid w:val="319F67B9"/>
    <w:rsid w:val="31A7F79A"/>
    <w:rsid w:val="31A97FDC"/>
    <w:rsid w:val="31BB06F7"/>
    <w:rsid w:val="31C2D43C"/>
    <w:rsid w:val="31C866F0"/>
    <w:rsid w:val="31CA366B"/>
    <w:rsid w:val="31CEFEE0"/>
    <w:rsid w:val="31D2A9D5"/>
    <w:rsid w:val="31D44EC3"/>
    <w:rsid w:val="31DB899D"/>
    <w:rsid w:val="31DCBB7A"/>
    <w:rsid w:val="31DE15AC"/>
    <w:rsid w:val="31E1EF2A"/>
    <w:rsid w:val="31E6B2B8"/>
    <w:rsid w:val="31EC5432"/>
    <w:rsid w:val="320004BD"/>
    <w:rsid w:val="32025C94"/>
    <w:rsid w:val="3207E02F"/>
    <w:rsid w:val="320C1CD8"/>
    <w:rsid w:val="320CA303"/>
    <w:rsid w:val="3213AEA9"/>
    <w:rsid w:val="3215D91D"/>
    <w:rsid w:val="3217B84E"/>
    <w:rsid w:val="32185BF7"/>
    <w:rsid w:val="321CC255"/>
    <w:rsid w:val="322A1EC0"/>
    <w:rsid w:val="322BC0B1"/>
    <w:rsid w:val="323041D1"/>
    <w:rsid w:val="323937E9"/>
    <w:rsid w:val="323A7EDC"/>
    <w:rsid w:val="323E1476"/>
    <w:rsid w:val="32426F03"/>
    <w:rsid w:val="32441F3A"/>
    <w:rsid w:val="3244E909"/>
    <w:rsid w:val="3249E19D"/>
    <w:rsid w:val="324C068E"/>
    <w:rsid w:val="324F5659"/>
    <w:rsid w:val="3255DDFA"/>
    <w:rsid w:val="32581F99"/>
    <w:rsid w:val="3258E411"/>
    <w:rsid w:val="325F17AF"/>
    <w:rsid w:val="32645D5B"/>
    <w:rsid w:val="3264AE3D"/>
    <w:rsid w:val="326F9C21"/>
    <w:rsid w:val="32734CE4"/>
    <w:rsid w:val="3273C6D2"/>
    <w:rsid w:val="32763015"/>
    <w:rsid w:val="327ADA45"/>
    <w:rsid w:val="327F3C20"/>
    <w:rsid w:val="32820F6D"/>
    <w:rsid w:val="32829A56"/>
    <w:rsid w:val="3282E36E"/>
    <w:rsid w:val="3286C63F"/>
    <w:rsid w:val="3286DBE2"/>
    <w:rsid w:val="328AE37E"/>
    <w:rsid w:val="3299FFD4"/>
    <w:rsid w:val="32AD41BD"/>
    <w:rsid w:val="32B0E8FE"/>
    <w:rsid w:val="32B10B86"/>
    <w:rsid w:val="32D428AE"/>
    <w:rsid w:val="32D4B41E"/>
    <w:rsid w:val="32D7505D"/>
    <w:rsid w:val="32E43F32"/>
    <w:rsid w:val="32E56862"/>
    <w:rsid w:val="32E65304"/>
    <w:rsid w:val="32E6BD80"/>
    <w:rsid w:val="32E76C2F"/>
    <w:rsid w:val="32E92344"/>
    <w:rsid w:val="32ECA065"/>
    <w:rsid w:val="3305A9C5"/>
    <w:rsid w:val="3307A0B1"/>
    <w:rsid w:val="331318BD"/>
    <w:rsid w:val="3314849E"/>
    <w:rsid w:val="3318C3BC"/>
    <w:rsid w:val="331DB6ED"/>
    <w:rsid w:val="332067FF"/>
    <w:rsid w:val="3320FB83"/>
    <w:rsid w:val="3325881B"/>
    <w:rsid w:val="332A6837"/>
    <w:rsid w:val="33305DCB"/>
    <w:rsid w:val="33313C3D"/>
    <w:rsid w:val="333440DA"/>
    <w:rsid w:val="3335F9AB"/>
    <w:rsid w:val="3338C15F"/>
    <w:rsid w:val="333FEA28"/>
    <w:rsid w:val="334D4F57"/>
    <w:rsid w:val="335CA740"/>
    <w:rsid w:val="33641E6C"/>
    <w:rsid w:val="3365201F"/>
    <w:rsid w:val="336579CE"/>
    <w:rsid w:val="336B4715"/>
    <w:rsid w:val="337804FB"/>
    <w:rsid w:val="338353B4"/>
    <w:rsid w:val="338A68A4"/>
    <w:rsid w:val="339A14A4"/>
    <w:rsid w:val="339D57EE"/>
    <w:rsid w:val="339EB796"/>
    <w:rsid w:val="33A4C7C7"/>
    <w:rsid w:val="33AF2431"/>
    <w:rsid w:val="33B6EA73"/>
    <w:rsid w:val="33BE9195"/>
    <w:rsid w:val="33C19611"/>
    <w:rsid w:val="33CD3BE0"/>
    <w:rsid w:val="33D20472"/>
    <w:rsid w:val="33D4D75E"/>
    <w:rsid w:val="33E3A427"/>
    <w:rsid w:val="33E584EF"/>
    <w:rsid w:val="33E7A70A"/>
    <w:rsid w:val="33EFF049"/>
    <w:rsid w:val="33F056EC"/>
    <w:rsid w:val="3401B35A"/>
    <w:rsid w:val="34153E5F"/>
    <w:rsid w:val="341564AB"/>
    <w:rsid w:val="3423C7FF"/>
    <w:rsid w:val="342C7888"/>
    <w:rsid w:val="34354A07"/>
    <w:rsid w:val="343C8DB7"/>
    <w:rsid w:val="343DD89A"/>
    <w:rsid w:val="3441A155"/>
    <w:rsid w:val="34420023"/>
    <w:rsid w:val="344E1C4F"/>
    <w:rsid w:val="345353EF"/>
    <w:rsid w:val="34622CCA"/>
    <w:rsid w:val="3462EC85"/>
    <w:rsid w:val="34633EED"/>
    <w:rsid w:val="34649EF4"/>
    <w:rsid w:val="34702C45"/>
    <w:rsid w:val="3470EC6B"/>
    <w:rsid w:val="34735785"/>
    <w:rsid w:val="3473A303"/>
    <w:rsid w:val="34748ACA"/>
    <w:rsid w:val="3474DEF6"/>
    <w:rsid w:val="3476109D"/>
    <w:rsid w:val="347FDA57"/>
    <w:rsid w:val="34803235"/>
    <w:rsid w:val="3483BA19"/>
    <w:rsid w:val="348709B3"/>
    <w:rsid w:val="348C0013"/>
    <w:rsid w:val="34994296"/>
    <w:rsid w:val="34A20DFB"/>
    <w:rsid w:val="34BED05A"/>
    <w:rsid w:val="34C06A70"/>
    <w:rsid w:val="34C4AF4B"/>
    <w:rsid w:val="34D2123A"/>
    <w:rsid w:val="34D261DC"/>
    <w:rsid w:val="34D8BC84"/>
    <w:rsid w:val="34E0436D"/>
    <w:rsid w:val="34E4618C"/>
    <w:rsid w:val="34ED5512"/>
    <w:rsid w:val="34F79B94"/>
    <w:rsid w:val="34FDC1E2"/>
    <w:rsid w:val="34FF2971"/>
    <w:rsid w:val="350126F9"/>
    <w:rsid w:val="3505FC94"/>
    <w:rsid w:val="35067197"/>
    <w:rsid w:val="35095B54"/>
    <w:rsid w:val="350D6231"/>
    <w:rsid w:val="350DC20A"/>
    <w:rsid w:val="351FF602"/>
    <w:rsid w:val="352504F7"/>
    <w:rsid w:val="35271C31"/>
    <w:rsid w:val="3527D8AF"/>
    <w:rsid w:val="3535EE09"/>
    <w:rsid w:val="35381280"/>
    <w:rsid w:val="353BCCAB"/>
    <w:rsid w:val="353D8E76"/>
    <w:rsid w:val="353E5483"/>
    <w:rsid w:val="3542ADFC"/>
    <w:rsid w:val="3549080C"/>
    <w:rsid w:val="35498C65"/>
    <w:rsid w:val="354B8F19"/>
    <w:rsid w:val="3554C41F"/>
    <w:rsid w:val="3561A438"/>
    <w:rsid w:val="3564116D"/>
    <w:rsid w:val="35647409"/>
    <w:rsid w:val="356EE8F9"/>
    <w:rsid w:val="3575E027"/>
    <w:rsid w:val="35817890"/>
    <w:rsid w:val="3582D925"/>
    <w:rsid w:val="3588A907"/>
    <w:rsid w:val="35899537"/>
    <w:rsid w:val="358B269F"/>
    <w:rsid w:val="358B4044"/>
    <w:rsid w:val="3595148C"/>
    <w:rsid w:val="3595856B"/>
    <w:rsid w:val="35973918"/>
    <w:rsid w:val="359839FB"/>
    <w:rsid w:val="359C4FDF"/>
    <w:rsid w:val="359D8E66"/>
    <w:rsid w:val="35A061AE"/>
    <w:rsid w:val="35A3BAAB"/>
    <w:rsid w:val="35A5D92E"/>
    <w:rsid w:val="35ABC467"/>
    <w:rsid w:val="35AD5016"/>
    <w:rsid w:val="35B3B934"/>
    <w:rsid w:val="35CCA79B"/>
    <w:rsid w:val="35D2412E"/>
    <w:rsid w:val="35D364B1"/>
    <w:rsid w:val="35E23AA5"/>
    <w:rsid w:val="35E2537C"/>
    <w:rsid w:val="35F16D83"/>
    <w:rsid w:val="35F3AE4A"/>
    <w:rsid w:val="35F865CB"/>
    <w:rsid w:val="35F8A9DF"/>
    <w:rsid w:val="35F8E557"/>
    <w:rsid w:val="35FD2A0E"/>
    <w:rsid w:val="3602555D"/>
    <w:rsid w:val="3608140C"/>
    <w:rsid w:val="360AAB6A"/>
    <w:rsid w:val="360E1832"/>
    <w:rsid w:val="361DFA0B"/>
    <w:rsid w:val="3622E302"/>
    <w:rsid w:val="3623E1C7"/>
    <w:rsid w:val="36340DDE"/>
    <w:rsid w:val="36393B43"/>
    <w:rsid w:val="363A8C56"/>
    <w:rsid w:val="363F2894"/>
    <w:rsid w:val="3649AD3C"/>
    <w:rsid w:val="364FD357"/>
    <w:rsid w:val="36568444"/>
    <w:rsid w:val="365B825E"/>
    <w:rsid w:val="365E7106"/>
    <w:rsid w:val="36621E4B"/>
    <w:rsid w:val="3662451E"/>
    <w:rsid w:val="366471C6"/>
    <w:rsid w:val="36791DCE"/>
    <w:rsid w:val="3679B66D"/>
    <w:rsid w:val="367F48B8"/>
    <w:rsid w:val="368070B9"/>
    <w:rsid w:val="36816E63"/>
    <w:rsid w:val="3683C96A"/>
    <w:rsid w:val="36846376"/>
    <w:rsid w:val="3686A52F"/>
    <w:rsid w:val="36875167"/>
    <w:rsid w:val="368910DE"/>
    <w:rsid w:val="3689E43A"/>
    <w:rsid w:val="36960DC5"/>
    <w:rsid w:val="3696A0EE"/>
    <w:rsid w:val="3699A34B"/>
    <w:rsid w:val="36A5F507"/>
    <w:rsid w:val="36AB21B4"/>
    <w:rsid w:val="36B2C0F6"/>
    <w:rsid w:val="36B5692C"/>
    <w:rsid w:val="36BAA7E4"/>
    <w:rsid w:val="36BC511A"/>
    <w:rsid w:val="36CC2C6C"/>
    <w:rsid w:val="36D6AF1C"/>
    <w:rsid w:val="36DBC054"/>
    <w:rsid w:val="36E072FE"/>
    <w:rsid w:val="36E2ABF7"/>
    <w:rsid w:val="36EC9932"/>
    <w:rsid w:val="36F49FD9"/>
    <w:rsid w:val="36F62643"/>
    <w:rsid w:val="36FE8976"/>
    <w:rsid w:val="37037961"/>
    <w:rsid w:val="370B7848"/>
    <w:rsid w:val="370C5E8B"/>
    <w:rsid w:val="370F9992"/>
    <w:rsid w:val="37238424"/>
    <w:rsid w:val="37280E13"/>
    <w:rsid w:val="372A6428"/>
    <w:rsid w:val="372B0A44"/>
    <w:rsid w:val="37323ECC"/>
    <w:rsid w:val="37348F03"/>
    <w:rsid w:val="373C0F3A"/>
    <w:rsid w:val="373DEEF8"/>
    <w:rsid w:val="373F4229"/>
    <w:rsid w:val="3740B98F"/>
    <w:rsid w:val="37448598"/>
    <w:rsid w:val="3744FBB5"/>
    <w:rsid w:val="3746F53C"/>
    <w:rsid w:val="374A130A"/>
    <w:rsid w:val="374C8772"/>
    <w:rsid w:val="374CE667"/>
    <w:rsid w:val="375260E4"/>
    <w:rsid w:val="3758C62A"/>
    <w:rsid w:val="375DCFCB"/>
    <w:rsid w:val="37722EEA"/>
    <w:rsid w:val="377D6B15"/>
    <w:rsid w:val="3781A9E9"/>
    <w:rsid w:val="3797BFC5"/>
    <w:rsid w:val="37984381"/>
    <w:rsid w:val="37B3B890"/>
    <w:rsid w:val="37BAA8D7"/>
    <w:rsid w:val="37C1F9B2"/>
    <w:rsid w:val="37C52E2B"/>
    <w:rsid w:val="37C55CA5"/>
    <w:rsid w:val="37D32FAD"/>
    <w:rsid w:val="37D6F181"/>
    <w:rsid w:val="37DD5389"/>
    <w:rsid w:val="37E20D9B"/>
    <w:rsid w:val="37E4AA4C"/>
    <w:rsid w:val="37EB778C"/>
    <w:rsid w:val="37ECCF61"/>
    <w:rsid w:val="38015F6A"/>
    <w:rsid w:val="3804E4B6"/>
    <w:rsid w:val="38061198"/>
    <w:rsid w:val="3817A319"/>
    <w:rsid w:val="38264D54"/>
    <w:rsid w:val="382692F1"/>
    <w:rsid w:val="38314333"/>
    <w:rsid w:val="3831CDD5"/>
    <w:rsid w:val="3834E7A1"/>
    <w:rsid w:val="384012E6"/>
    <w:rsid w:val="38465B4E"/>
    <w:rsid w:val="3853909C"/>
    <w:rsid w:val="385CEECE"/>
    <w:rsid w:val="3861E417"/>
    <w:rsid w:val="3863E2FA"/>
    <w:rsid w:val="3869B3C5"/>
    <w:rsid w:val="386AE24A"/>
    <w:rsid w:val="386E37E1"/>
    <w:rsid w:val="386EE134"/>
    <w:rsid w:val="387CA262"/>
    <w:rsid w:val="3881E067"/>
    <w:rsid w:val="389193F0"/>
    <w:rsid w:val="389EE937"/>
    <w:rsid w:val="38A44EB9"/>
    <w:rsid w:val="38AE3799"/>
    <w:rsid w:val="38B141E4"/>
    <w:rsid w:val="38B403DE"/>
    <w:rsid w:val="38B5105E"/>
    <w:rsid w:val="38B6FBC2"/>
    <w:rsid w:val="38C1E772"/>
    <w:rsid w:val="38C23CAF"/>
    <w:rsid w:val="38DF21BE"/>
    <w:rsid w:val="38E6A9E1"/>
    <w:rsid w:val="38F6555F"/>
    <w:rsid w:val="38F77279"/>
    <w:rsid w:val="38F92492"/>
    <w:rsid w:val="38FCE499"/>
    <w:rsid w:val="3900392B"/>
    <w:rsid w:val="390047E6"/>
    <w:rsid w:val="39022FE4"/>
    <w:rsid w:val="3902BFE2"/>
    <w:rsid w:val="39271B8D"/>
    <w:rsid w:val="392DE37D"/>
    <w:rsid w:val="393DD97E"/>
    <w:rsid w:val="39440931"/>
    <w:rsid w:val="3949DC69"/>
    <w:rsid w:val="394FA3F9"/>
    <w:rsid w:val="395012D1"/>
    <w:rsid w:val="395155B2"/>
    <w:rsid w:val="3954D2E7"/>
    <w:rsid w:val="39558A0A"/>
    <w:rsid w:val="395D0485"/>
    <w:rsid w:val="3962D08B"/>
    <w:rsid w:val="396B4D02"/>
    <w:rsid w:val="396ED6E8"/>
    <w:rsid w:val="3976635F"/>
    <w:rsid w:val="3978163C"/>
    <w:rsid w:val="39822849"/>
    <w:rsid w:val="3983B971"/>
    <w:rsid w:val="3983BD09"/>
    <w:rsid w:val="3986B615"/>
    <w:rsid w:val="39875CDC"/>
    <w:rsid w:val="398E7A35"/>
    <w:rsid w:val="3995AE6B"/>
    <w:rsid w:val="3996A864"/>
    <w:rsid w:val="39976119"/>
    <w:rsid w:val="399D3A61"/>
    <w:rsid w:val="399DEDFB"/>
    <w:rsid w:val="39A1E706"/>
    <w:rsid w:val="39A7B1AD"/>
    <w:rsid w:val="39AD27DC"/>
    <w:rsid w:val="39B69DB2"/>
    <w:rsid w:val="39B6C4FF"/>
    <w:rsid w:val="39C425EC"/>
    <w:rsid w:val="39C9CAB4"/>
    <w:rsid w:val="39D18C46"/>
    <w:rsid w:val="39D5931C"/>
    <w:rsid w:val="39D5AC08"/>
    <w:rsid w:val="39DC859A"/>
    <w:rsid w:val="39DD264B"/>
    <w:rsid w:val="39E007E5"/>
    <w:rsid w:val="39E42D4F"/>
    <w:rsid w:val="39F27BEE"/>
    <w:rsid w:val="39F77621"/>
    <w:rsid w:val="3A005CEC"/>
    <w:rsid w:val="3A0936D8"/>
    <w:rsid w:val="3A0D0269"/>
    <w:rsid w:val="3A2246CB"/>
    <w:rsid w:val="3A26217D"/>
    <w:rsid w:val="3A5B68DE"/>
    <w:rsid w:val="3A6859AD"/>
    <w:rsid w:val="3A6B3778"/>
    <w:rsid w:val="3A6D733D"/>
    <w:rsid w:val="3A739F1D"/>
    <w:rsid w:val="3A784429"/>
    <w:rsid w:val="3A7D88E7"/>
    <w:rsid w:val="3A7EFCAE"/>
    <w:rsid w:val="3A808010"/>
    <w:rsid w:val="3A88580F"/>
    <w:rsid w:val="3A9576E7"/>
    <w:rsid w:val="3A9C74AA"/>
    <w:rsid w:val="3A9DB663"/>
    <w:rsid w:val="3AA06FD9"/>
    <w:rsid w:val="3AA4E03F"/>
    <w:rsid w:val="3AA9183D"/>
    <w:rsid w:val="3AABDF0D"/>
    <w:rsid w:val="3AADCB1D"/>
    <w:rsid w:val="3AB04170"/>
    <w:rsid w:val="3AB28B12"/>
    <w:rsid w:val="3AB2FF8E"/>
    <w:rsid w:val="3AB35CF8"/>
    <w:rsid w:val="3AB4731E"/>
    <w:rsid w:val="3AB48086"/>
    <w:rsid w:val="3AB97D41"/>
    <w:rsid w:val="3ABD7DD4"/>
    <w:rsid w:val="3AC08AEC"/>
    <w:rsid w:val="3AC1E47A"/>
    <w:rsid w:val="3AC3F90A"/>
    <w:rsid w:val="3AD50E15"/>
    <w:rsid w:val="3ADE24C6"/>
    <w:rsid w:val="3AE217FF"/>
    <w:rsid w:val="3AE54791"/>
    <w:rsid w:val="3AE69B30"/>
    <w:rsid w:val="3AE7971C"/>
    <w:rsid w:val="3AEFDA2E"/>
    <w:rsid w:val="3AF27EB5"/>
    <w:rsid w:val="3AF52F94"/>
    <w:rsid w:val="3AF58796"/>
    <w:rsid w:val="3AF89ECD"/>
    <w:rsid w:val="3B07ABC3"/>
    <w:rsid w:val="3B0C2AEE"/>
    <w:rsid w:val="3B0FEA7A"/>
    <w:rsid w:val="3B102688"/>
    <w:rsid w:val="3B245EEE"/>
    <w:rsid w:val="3B269E05"/>
    <w:rsid w:val="3B304AC0"/>
    <w:rsid w:val="3B310392"/>
    <w:rsid w:val="3B32A899"/>
    <w:rsid w:val="3B35DED6"/>
    <w:rsid w:val="3B49FE5D"/>
    <w:rsid w:val="3B4A8227"/>
    <w:rsid w:val="3B4D8EAA"/>
    <w:rsid w:val="3B4F31D5"/>
    <w:rsid w:val="3B59844E"/>
    <w:rsid w:val="3B76DAF9"/>
    <w:rsid w:val="3B7FDDD6"/>
    <w:rsid w:val="3B812C37"/>
    <w:rsid w:val="3B86CF95"/>
    <w:rsid w:val="3B9034BC"/>
    <w:rsid w:val="3B91A6AB"/>
    <w:rsid w:val="3B978609"/>
    <w:rsid w:val="3BA84C01"/>
    <w:rsid w:val="3BAEEAFC"/>
    <w:rsid w:val="3BC4E328"/>
    <w:rsid w:val="3BD2C4AE"/>
    <w:rsid w:val="3BE7C237"/>
    <w:rsid w:val="3BF3C33D"/>
    <w:rsid w:val="3BF55DFF"/>
    <w:rsid w:val="3BF5830C"/>
    <w:rsid w:val="3BF66204"/>
    <w:rsid w:val="3BFD68B8"/>
    <w:rsid w:val="3C05C104"/>
    <w:rsid w:val="3C097894"/>
    <w:rsid w:val="3C0C06F6"/>
    <w:rsid w:val="3C0CA350"/>
    <w:rsid w:val="3C0FB3BD"/>
    <w:rsid w:val="3C12749F"/>
    <w:rsid w:val="3C1765E4"/>
    <w:rsid w:val="3C20E417"/>
    <w:rsid w:val="3C24DD64"/>
    <w:rsid w:val="3C33166B"/>
    <w:rsid w:val="3C3F9C78"/>
    <w:rsid w:val="3C467E30"/>
    <w:rsid w:val="3C596CF3"/>
    <w:rsid w:val="3C74BCDC"/>
    <w:rsid w:val="3C76F8CC"/>
    <w:rsid w:val="3C888922"/>
    <w:rsid w:val="3C97DBB6"/>
    <w:rsid w:val="3CA4744B"/>
    <w:rsid w:val="3CB14197"/>
    <w:rsid w:val="3CBC1B9B"/>
    <w:rsid w:val="3CBE828F"/>
    <w:rsid w:val="3CC09907"/>
    <w:rsid w:val="3CC142F7"/>
    <w:rsid w:val="3CD61430"/>
    <w:rsid w:val="3CE2A894"/>
    <w:rsid w:val="3CE7956F"/>
    <w:rsid w:val="3CEFB27D"/>
    <w:rsid w:val="3CF0839F"/>
    <w:rsid w:val="3CF3A81C"/>
    <w:rsid w:val="3D0A5420"/>
    <w:rsid w:val="3D0C9447"/>
    <w:rsid w:val="3D0F6E2B"/>
    <w:rsid w:val="3D12F933"/>
    <w:rsid w:val="3D153220"/>
    <w:rsid w:val="3D15A949"/>
    <w:rsid w:val="3D16704D"/>
    <w:rsid w:val="3D1970EB"/>
    <w:rsid w:val="3D1A3B5D"/>
    <w:rsid w:val="3D1ADF6F"/>
    <w:rsid w:val="3D25D8A3"/>
    <w:rsid w:val="3D2A8B9D"/>
    <w:rsid w:val="3D2C1BE0"/>
    <w:rsid w:val="3D2CB023"/>
    <w:rsid w:val="3D2E9F51"/>
    <w:rsid w:val="3D3A6110"/>
    <w:rsid w:val="3D4308C2"/>
    <w:rsid w:val="3D49EFC0"/>
    <w:rsid w:val="3D505C23"/>
    <w:rsid w:val="3D529BD2"/>
    <w:rsid w:val="3D54B15B"/>
    <w:rsid w:val="3D5BEBC3"/>
    <w:rsid w:val="3D61CEB0"/>
    <w:rsid w:val="3D626119"/>
    <w:rsid w:val="3D68FDEC"/>
    <w:rsid w:val="3D6CCC56"/>
    <w:rsid w:val="3D6E8B3D"/>
    <w:rsid w:val="3D6F9D3C"/>
    <w:rsid w:val="3D7420DE"/>
    <w:rsid w:val="3D7CA562"/>
    <w:rsid w:val="3D85A66C"/>
    <w:rsid w:val="3D8C25F8"/>
    <w:rsid w:val="3D90F161"/>
    <w:rsid w:val="3D99C83B"/>
    <w:rsid w:val="3D9CCDCD"/>
    <w:rsid w:val="3D9FA424"/>
    <w:rsid w:val="3DA10727"/>
    <w:rsid w:val="3DA29232"/>
    <w:rsid w:val="3DA6857F"/>
    <w:rsid w:val="3DB1438E"/>
    <w:rsid w:val="3DB71473"/>
    <w:rsid w:val="3DBCFCF7"/>
    <w:rsid w:val="3DBE6471"/>
    <w:rsid w:val="3DC3EB78"/>
    <w:rsid w:val="3DCE575E"/>
    <w:rsid w:val="3DD6AB3A"/>
    <w:rsid w:val="3DD6BA65"/>
    <w:rsid w:val="3DD702BD"/>
    <w:rsid w:val="3DD9BB0D"/>
    <w:rsid w:val="3DD9DCE2"/>
    <w:rsid w:val="3DD9F1D9"/>
    <w:rsid w:val="3DE5130F"/>
    <w:rsid w:val="3DE769FA"/>
    <w:rsid w:val="3DEAB225"/>
    <w:rsid w:val="3DEB24C1"/>
    <w:rsid w:val="3DF0125F"/>
    <w:rsid w:val="3DF098EE"/>
    <w:rsid w:val="3DF6BFF1"/>
    <w:rsid w:val="3DFAD953"/>
    <w:rsid w:val="3DFDCAD0"/>
    <w:rsid w:val="3E0BAEAF"/>
    <w:rsid w:val="3E119291"/>
    <w:rsid w:val="3E1BC288"/>
    <w:rsid w:val="3E1FE2F1"/>
    <w:rsid w:val="3E27A6F0"/>
    <w:rsid w:val="3E2AEC4D"/>
    <w:rsid w:val="3E345C3D"/>
    <w:rsid w:val="3E37F131"/>
    <w:rsid w:val="3E395BF4"/>
    <w:rsid w:val="3E39C1F1"/>
    <w:rsid w:val="3E3D9901"/>
    <w:rsid w:val="3E436106"/>
    <w:rsid w:val="3E473249"/>
    <w:rsid w:val="3E5017E7"/>
    <w:rsid w:val="3E51A38E"/>
    <w:rsid w:val="3E54F944"/>
    <w:rsid w:val="3E5633CA"/>
    <w:rsid w:val="3E5C8453"/>
    <w:rsid w:val="3E5F8851"/>
    <w:rsid w:val="3E6BCCD9"/>
    <w:rsid w:val="3E6FC7BD"/>
    <w:rsid w:val="3E706FA3"/>
    <w:rsid w:val="3E766A40"/>
    <w:rsid w:val="3E855CB4"/>
    <w:rsid w:val="3E926228"/>
    <w:rsid w:val="3E940B66"/>
    <w:rsid w:val="3E9939C5"/>
    <w:rsid w:val="3E9E1E9B"/>
    <w:rsid w:val="3EA0E635"/>
    <w:rsid w:val="3EAFD6F1"/>
    <w:rsid w:val="3EB31541"/>
    <w:rsid w:val="3EB77EEB"/>
    <w:rsid w:val="3EB81703"/>
    <w:rsid w:val="3EB8940F"/>
    <w:rsid w:val="3EBC0FE4"/>
    <w:rsid w:val="3EC38E49"/>
    <w:rsid w:val="3EDDE6E7"/>
    <w:rsid w:val="3EE0FD91"/>
    <w:rsid w:val="3EE2C0B5"/>
    <w:rsid w:val="3EE7FFD4"/>
    <w:rsid w:val="3EF9058C"/>
    <w:rsid w:val="3EFD293A"/>
    <w:rsid w:val="3EFE39CA"/>
    <w:rsid w:val="3F027C67"/>
    <w:rsid w:val="3F05BDA9"/>
    <w:rsid w:val="3F0AB2B6"/>
    <w:rsid w:val="3F0ECCE7"/>
    <w:rsid w:val="3F1160F0"/>
    <w:rsid w:val="3F13A273"/>
    <w:rsid w:val="3F1891C9"/>
    <w:rsid w:val="3F1903E9"/>
    <w:rsid w:val="3F1B7326"/>
    <w:rsid w:val="3F27F834"/>
    <w:rsid w:val="3F2A89AB"/>
    <w:rsid w:val="3F341A4C"/>
    <w:rsid w:val="3F3535AA"/>
    <w:rsid w:val="3F4158E6"/>
    <w:rsid w:val="3F465855"/>
    <w:rsid w:val="3F480733"/>
    <w:rsid w:val="3F515C9A"/>
    <w:rsid w:val="3F658AC1"/>
    <w:rsid w:val="3F666F51"/>
    <w:rsid w:val="3F66EC37"/>
    <w:rsid w:val="3F74D47D"/>
    <w:rsid w:val="3F7DCD1F"/>
    <w:rsid w:val="3F806CCA"/>
    <w:rsid w:val="3F8B22A8"/>
    <w:rsid w:val="3F9233CF"/>
    <w:rsid w:val="3F9D2CD7"/>
    <w:rsid w:val="3F9F1CD4"/>
    <w:rsid w:val="3FA47CFC"/>
    <w:rsid w:val="3FB3E689"/>
    <w:rsid w:val="3FBE8C2D"/>
    <w:rsid w:val="3FDC30D8"/>
    <w:rsid w:val="3FDDEAEF"/>
    <w:rsid w:val="3FE05371"/>
    <w:rsid w:val="3FE22EB9"/>
    <w:rsid w:val="3FE23735"/>
    <w:rsid w:val="3FE4FC6C"/>
    <w:rsid w:val="3FEEC04C"/>
    <w:rsid w:val="3FF8E752"/>
    <w:rsid w:val="3FFF1D3D"/>
    <w:rsid w:val="4009740F"/>
    <w:rsid w:val="40144653"/>
    <w:rsid w:val="40174B1B"/>
    <w:rsid w:val="401A3687"/>
    <w:rsid w:val="401A9FB9"/>
    <w:rsid w:val="401E9FB1"/>
    <w:rsid w:val="40256143"/>
    <w:rsid w:val="4030B0A9"/>
    <w:rsid w:val="403C4EEB"/>
    <w:rsid w:val="404606D6"/>
    <w:rsid w:val="40490655"/>
    <w:rsid w:val="404B8861"/>
    <w:rsid w:val="404DCD0E"/>
    <w:rsid w:val="404E0A4A"/>
    <w:rsid w:val="40530495"/>
    <w:rsid w:val="405520DF"/>
    <w:rsid w:val="4059D227"/>
    <w:rsid w:val="4064BFF0"/>
    <w:rsid w:val="406F6C75"/>
    <w:rsid w:val="4071812C"/>
    <w:rsid w:val="407B3FA4"/>
    <w:rsid w:val="407C6EC3"/>
    <w:rsid w:val="40817F6E"/>
    <w:rsid w:val="4084A4FD"/>
    <w:rsid w:val="408ED397"/>
    <w:rsid w:val="409D2A7C"/>
    <w:rsid w:val="40A672BE"/>
    <w:rsid w:val="40B10658"/>
    <w:rsid w:val="40C12FF2"/>
    <w:rsid w:val="40C80128"/>
    <w:rsid w:val="40C8A8C8"/>
    <w:rsid w:val="40C94847"/>
    <w:rsid w:val="40CE3CC2"/>
    <w:rsid w:val="40CF74FA"/>
    <w:rsid w:val="40D146CD"/>
    <w:rsid w:val="40D1B7D8"/>
    <w:rsid w:val="40D4CF19"/>
    <w:rsid w:val="40DF4BFA"/>
    <w:rsid w:val="40DF8F57"/>
    <w:rsid w:val="40E30894"/>
    <w:rsid w:val="40E5B3FB"/>
    <w:rsid w:val="40EB92C3"/>
    <w:rsid w:val="40EBD054"/>
    <w:rsid w:val="410912F6"/>
    <w:rsid w:val="41099E71"/>
    <w:rsid w:val="410D542D"/>
    <w:rsid w:val="41169AEA"/>
    <w:rsid w:val="4118EEB9"/>
    <w:rsid w:val="411A9D40"/>
    <w:rsid w:val="4125966C"/>
    <w:rsid w:val="4128D1E0"/>
    <w:rsid w:val="4136EDA9"/>
    <w:rsid w:val="41380537"/>
    <w:rsid w:val="413FCF92"/>
    <w:rsid w:val="41476433"/>
    <w:rsid w:val="4150F2AE"/>
    <w:rsid w:val="4151414B"/>
    <w:rsid w:val="415B1617"/>
    <w:rsid w:val="4164433B"/>
    <w:rsid w:val="417E8947"/>
    <w:rsid w:val="41821D52"/>
    <w:rsid w:val="4187B6D4"/>
    <w:rsid w:val="418F052C"/>
    <w:rsid w:val="41A4897E"/>
    <w:rsid w:val="41B4C659"/>
    <w:rsid w:val="41B52E2F"/>
    <w:rsid w:val="41B6CFFE"/>
    <w:rsid w:val="41B9D8FB"/>
    <w:rsid w:val="41C15A78"/>
    <w:rsid w:val="41C55131"/>
    <w:rsid w:val="41C7F849"/>
    <w:rsid w:val="41C9E5F9"/>
    <w:rsid w:val="41CA0E84"/>
    <w:rsid w:val="41D59C2B"/>
    <w:rsid w:val="41DCEEE2"/>
    <w:rsid w:val="41E3A0F7"/>
    <w:rsid w:val="41E87B91"/>
    <w:rsid w:val="41EF9DF4"/>
    <w:rsid w:val="41F4806D"/>
    <w:rsid w:val="41FB0391"/>
    <w:rsid w:val="4206D47C"/>
    <w:rsid w:val="4208EE1C"/>
    <w:rsid w:val="4215BFFE"/>
    <w:rsid w:val="4215D28C"/>
    <w:rsid w:val="42164F1B"/>
    <w:rsid w:val="42187D26"/>
    <w:rsid w:val="421ACC53"/>
    <w:rsid w:val="422A1BF3"/>
    <w:rsid w:val="4231CB55"/>
    <w:rsid w:val="4241ED8E"/>
    <w:rsid w:val="424868A0"/>
    <w:rsid w:val="4249F43F"/>
    <w:rsid w:val="424D8F89"/>
    <w:rsid w:val="4256AC29"/>
    <w:rsid w:val="425A755C"/>
    <w:rsid w:val="425A8FE3"/>
    <w:rsid w:val="4263A9ED"/>
    <w:rsid w:val="4263AC3E"/>
    <w:rsid w:val="4263EE4F"/>
    <w:rsid w:val="426496FD"/>
    <w:rsid w:val="4278FF9A"/>
    <w:rsid w:val="427FDA4A"/>
    <w:rsid w:val="42825C5A"/>
    <w:rsid w:val="4287286A"/>
    <w:rsid w:val="428E602F"/>
    <w:rsid w:val="428E9C83"/>
    <w:rsid w:val="42910795"/>
    <w:rsid w:val="42912CCD"/>
    <w:rsid w:val="42974A77"/>
    <w:rsid w:val="4297583E"/>
    <w:rsid w:val="42B052FD"/>
    <w:rsid w:val="42B5F561"/>
    <w:rsid w:val="42BD78FC"/>
    <w:rsid w:val="42CEEA3D"/>
    <w:rsid w:val="42D410C8"/>
    <w:rsid w:val="42D9887B"/>
    <w:rsid w:val="42D9F56F"/>
    <w:rsid w:val="42E01822"/>
    <w:rsid w:val="42E1EAD0"/>
    <w:rsid w:val="42E3327D"/>
    <w:rsid w:val="42EE4ED5"/>
    <w:rsid w:val="42F292A9"/>
    <w:rsid w:val="4303E1DF"/>
    <w:rsid w:val="430635C4"/>
    <w:rsid w:val="430B8E7B"/>
    <w:rsid w:val="430FB990"/>
    <w:rsid w:val="431E1BC8"/>
    <w:rsid w:val="43241132"/>
    <w:rsid w:val="43252A34"/>
    <w:rsid w:val="432D995C"/>
    <w:rsid w:val="4332DE3C"/>
    <w:rsid w:val="433B24D4"/>
    <w:rsid w:val="433D0600"/>
    <w:rsid w:val="433D966A"/>
    <w:rsid w:val="434CCA4E"/>
    <w:rsid w:val="434DD192"/>
    <w:rsid w:val="434EB599"/>
    <w:rsid w:val="43508480"/>
    <w:rsid w:val="435ABCCF"/>
    <w:rsid w:val="436253CB"/>
    <w:rsid w:val="436441BA"/>
    <w:rsid w:val="43724DFB"/>
    <w:rsid w:val="43767EFD"/>
    <w:rsid w:val="43832425"/>
    <w:rsid w:val="43840D9E"/>
    <w:rsid w:val="4385C8B2"/>
    <w:rsid w:val="438FA818"/>
    <w:rsid w:val="439D7AEB"/>
    <w:rsid w:val="439E15DC"/>
    <w:rsid w:val="439F8086"/>
    <w:rsid w:val="43A043E0"/>
    <w:rsid w:val="43A49D32"/>
    <w:rsid w:val="43A9B7E9"/>
    <w:rsid w:val="43AAE3ED"/>
    <w:rsid w:val="43ADF829"/>
    <w:rsid w:val="43B0137E"/>
    <w:rsid w:val="43B3CC10"/>
    <w:rsid w:val="43B66029"/>
    <w:rsid w:val="43B84B60"/>
    <w:rsid w:val="43B85A0A"/>
    <w:rsid w:val="43BC3B03"/>
    <w:rsid w:val="43BCC712"/>
    <w:rsid w:val="43C3F99C"/>
    <w:rsid w:val="43E2D2A6"/>
    <w:rsid w:val="43E574DB"/>
    <w:rsid w:val="43E674B5"/>
    <w:rsid w:val="43EE7D73"/>
    <w:rsid w:val="43F4AB88"/>
    <w:rsid w:val="43FA4D30"/>
    <w:rsid w:val="4400D1AC"/>
    <w:rsid w:val="440636BD"/>
    <w:rsid w:val="44094219"/>
    <w:rsid w:val="440CF170"/>
    <w:rsid w:val="440DEA55"/>
    <w:rsid w:val="4410E686"/>
    <w:rsid w:val="4416999C"/>
    <w:rsid w:val="441FF443"/>
    <w:rsid w:val="4420F583"/>
    <w:rsid w:val="44229CF3"/>
    <w:rsid w:val="4424D971"/>
    <w:rsid w:val="44263893"/>
    <w:rsid w:val="442C8961"/>
    <w:rsid w:val="4432547A"/>
    <w:rsid w:val="443343DD"/>
    <w:rsid w:val="44363F11"/>
    <w:rsid w:val="4442684A"/>
    <w:rsid w:val="44554E5F"/>
    <w:rsid w:val="4455B56F"/>
    <w:rsid w:val="445CE495"/>
    <w:rsid w:val="446461F6"/>
    <w:rsid w:val="446D9D49"/>
    <w:rsid w:val="44741BC4"/>
    <w:rsid w:val="4476C508"/>
    <w:rsid w:val="4480886E"/>
    <w:rsid w:val="4485065A"/>
    <w:rsid w:val="448FCB4A"/>
    <w:rsid w:val="44986415"/>
    <w:rsid w:val="449DAB1C"/>
    <w:rsid w:val="44A2D3DE"/>
    <w:rsid w:val="44AD7F65"/>
    <w:rsid w:val="44AEE1D5"/>
    <w:rsid w:val="44AFFB6F"/>
    <w:rsid w:val="44B10914"/>
    <w:rsid w:val="44B3D40C"/>
    <w:rsid w:val="44B47A17"/>
    <w:rsid w:val="44B7A83F"/>
    <w:rsid w:val="44B92C3C"/>
    <w:rsid w:val="44C37D9D"/>
    <w:rsid w:val="44C4119A"/>
    <w:rsid w:val="44C4AE43"/>
    <w:rsid w:val="44C828E6"/>
    <w:rsid w:val="44DB750D"/>
    <w:rsid w:val="44E10AD5"/>
    <w:rsid w:val="44E3B5B0"/>
    <w:rsid w:val="44E4D0BD"/>
    <w:rsid w:val="44E4E5A1"/>
    <w:rsid w:val="44E5C9DE"/>
    <w:rsid w:val="44EB9F5D"/>
    <w:rsid w:val="44EFDD64"/>
    <w:rsid w:val="44F5F5A3"/>
    <w:rsid w:val="44F6754D"/>
    <w:rsid w:val="4509E5DC"/>
    <w:rsid w:val="450B88F5"/>
    <w:rsid w:val="450EF079"/>
    <w:rsid w:val="451423CF"/>
    <w:rsid w:val="45290548"/>
    <w:rsid w:val="452F6EDC"/>
    <w:rsid w:val="4532EEAC"/>
    <w:rsid w:val="453F6B4B"/>
    <w:rsid w:val="45437AFE"/>
    <w:rsid w:val="4545CB22"/>
    <w:rsid w:val="454C5BC5"/>
    <w:rsid w:val="45557D47"/>
    <w:rsid w:val="455F8E19"/>
    <w:rsid w:val="4564B832"/>
    <w:rsid w:val="4567C93A"/>
    <w:rsid w:val="456ACB65"/>
    <w:rsid w:val="456B974F"/>
    <w:rsid w:val="456ECD9B"/>
    <w:rsid w:val="4575FE43"/>
    <w:rsid w:val="457951F1"/>
    <w:rsid w:val="458B299A"/>
    <w:rsid w:val="4590BCF5"/>
    <w:rsid w:val="4595D232"/>
    <w:rsid w:val="459ACE8B"/>
    <w:rsid w:val="459DCCD2"/>
    <w:rsid w:val="459F005F"/>
    <w:rsid w:val="45B94912"/>
    <w:rsid w:val="45BFB3F1"/>
    <w:rsid w:val="45C5B3FF"/>
    <w:rsid w:val="45D5316E"/>
    <w:rsid w:val="45DE4366"/>
    <w:rsid w:val="45DF7207"/>
    <w:rsid w:val="45E53096"/>
    <w:rsid w:val="45E80445"/>
    <w:rsid w:val="45E817B2"/>
    <w:rsid w:val="45F3B8B4"/>
    <w:rsid w:val="45FAFFA8"/>
    <w:rsid w:val="4600F7B0"/>
    <w:rsid w:val="46034717"/>
    <w:rsid w:val="46039F49"/>
    <w:rsid w:val="4605ACA9"/>
    <w:rsid w:val="460602A9"/>
    <w:rsid w:val="46075C58"/>
    <w:rsid w:val="4610C604"/>
    <w:rsid w:val="4610F55F"/>
    <w:rsid w:val="46142956"/>
    <w:rsid w:val="461449E7"/>
    <w:rsid w:val="4614C6D0"/>
    <w:rsid w:val="461BCE66"/>
    <w:rsid w:val="461FDD21"/>
    <w:rsid w:val="4623FF01"/>
    <w:rsid w:val="4635F57F"/>
    <w:rsid w:val="4636D672"/>
    <w:rsid w:val="4639ED2E"/>
    <w:rsid w:val="46414101"/>
    <w:rsid w:val="4642D1B9"/>
    <w:rsid w:val="464747B3"/>
    <w:rsid w:val="46520874"/>
    <w:rsid w:val="4656099D"/>
    <w:rsid w:val="4659AB5B"/>
    <w:rsid w:val="4665884D"/>
    <w:rsid w:val="466A5709"/>
    <w:rsid w:val="466B6540"/>
    <w:rsid w:val="466D0464"/>
    <w:rsid w:val="466F072C"/>
    <w:rsid w:val="4672A64D"/>
    <w:rsid w:val="46771549"/>
    <w:rsid w:val="4677E0D0"/>
    <w:rsid w:val="467A19BF"/>
    <w:rsid w:val="467C860C"/>
    <w:rsid w:val="4680311C"/>
    <w:rsid w:val="4681CFB2"/>
    <w:rsid w:val="4684E874"/>
    <w:rsid w:val="468C6E97"/>
    <w:rsid w:val="4690D124"/>
    <w:rsid w:val="4693B5DD"/>
    <w:rsid w:val="4696B14D"/>
    <w:rsid w:val="469F9302"/>
    <w:rsid w:val="46A298C1"/>
    <w:rsid w:val="46A61237"/>
    <w:rsid w:val="46A8FFA7"/>
    <w:rsid w:val="46ABAB20"/>
    <w:rsid w:val="46B2382D"/>
    <w:rsid w:val="46B34E35"/>
    <w:rsid w:val="46B4CE9F"/>
    <w:rsid w:val="46C3CC76"/>
    <w:rsid w:val="46CB9111"/>
    <w:rsid w:val="46CFCCF1"/>
    <w:rsid w:val="46EB7ACD"/>
    <w:rsid w:val="46ED0A92"/>
    <w:rsid w:val="46EEB6D8"/>
    <w:rsid w:val="46F07AB0"/>
    <w:rsid w:val="46F2FEDC"/>
    <w:rsid w:val="4705CBBB"/>
    <w:rsid w:val="47067AEE"/>
    <w:rsid w:val="4706CAB0"/>
    <w:rsid w:val="470C4F89"/>
    <w:rsid w:val="470F9AB7"/>
    <w:rsid w:val="471E36C7"/>
    <w:rsid w:val="47262D43"/>
    <w:rsid w:val="47310154"/>
    <w:rsid w:val="4734330B"/>
    <w:rsid w:val="473A47FF"/>
    <w:rsid w:val="47442324"/>
    <w:rsid w:val="47519916"/>
    <w:rsid w:val="47520A6C"/>
    <w:rsid w:val="4754AC7E"/>
    <w:rsid w:val="47561038"/>
    <w:rsid w:val="4759EC59"/>
    <w:rsid w:val="475A09C8"/>
    <w:rsid w:val="4767E0F1"/>
    <w:rsid w:val="47737AFA"/>
    <w:rsid w:val="477587A6"/>
    <w:rsid w:val="47779CFA"/>
    <w:rsid w:val="477A5EAD"/>
    <w:rsid w:val="477C1C79"/>
    <w:rsid w:val="477ED29C"/>
    <w:rsid w:val="4788ABF0"/>
    <w:rsid w:val="478BA5F1"/>
    <w:rsid w:val="4792C0D3"/>
    <w:rsid w:val="47AABE8C"/>
    <w:rsid w:val="47ACD011"/>
    <w:rsid w:val="47B27BD4"/>
    <w:rsid w:val="47BB490B"/>
    <w:rsid w:val="47BC303A"/>
    <w:rsid w:val="47BEDB16"/>
    <w:rsid w:val="47D0AF43"/>
    <w:rsid w:val="47D22A2A"/>
    <w:rsid w:val="47D37E0A"/>
    <w:rsid w:val="47DA82FC"/>
    <w:rsid w:val="47DF5ACC"/>
    <w:rsid w:val="47E86F7B"/>
    <w:rsid w:val="47EA33B6"/>
    <w:rsid w:val="47EBA87D"/>
    <w:rsid w:val="47F14AA4"/>
    <w:rsid w:val="47FCA86E"/>
    <w:rsid w:val="47FF6D79"/>
    <w:rsid w:val="4812BBEE"/>
    <w:rsid w:val="48136978"/>
    <w:rsid w:val="48140F58"/>
    <w:rsid w:val="4819C112"/>
    <w:rsid w:val="481D13F3"/>
    <w:rsid w:val="48266B60"/>
    <w:rsid w:val="48302883"/>
    <w:rsid w:val="48340F4A"/>
    <w:rsid w:val="48445535"/>
    <w:rsid w:val="48499E42"/>
    <w:rsid w:val="484C2615"/>
    <w:rsid w:val="4850AC82"/>
    <w:rsid w:val="4852D831"/>
    <w:rsid w:val="4856C59E"/>
    <w:rsid w:val="4856EF86"/>
    <w:rsid w:val="48572453"/>
    <w:rsid w:val="4858525D"/>
    <w:rsid w:val="48629669"/>
    <w:rsid w:val="486A98C9"/>
    <w:rsid w:val="486B8D91"/>
    <w:rsid w:val="486C0AB9"/>
    <w:rsid w:val="486D384F"/>
    <w:rsid w:val="48719AB4"/>
    <w:rsid w:val="487816E8"/>
    <w:rsid w:val="488B5537"/>
    <w:rsid w:val="488B9865"/>
    <w:rsid w:val="488CDF70"/>
    <w:rsid w:val="48977493"/>
    <w:rsid w:val="489BA914"/>
    <w:rsid w:val="48AE8806"/>
    <w:rsid w:val="48B3B44E"/>
    <w:rsid w:val="48B8490A"/>
    <w:rsid w:val="48BBAB85"/>
    <w:rsid w:val="48C38E3D"/>
    <w:rsid w:val="48C4E023"/>
    <w:rsid w:val="48DAE391"/>
    <w:rsid w:val="48E7BD62"/>
    <w:rsid w:val="48EC3D16"/>
    <w:rsid w:val="48F11EEC"/>
    <w:rsid w:val="48F1600B"/>
    <w:rsid w:val="48FDFCB9"/>
    <w:rsid w:val="48FE0BFD"/>
    <w:rsid w:val="4915556B"/>
    <w:rsid w:val="491673F4"/>
    <w:rsid w:val="4918D3A8"/>
    <w:rsid w:val="491977C3"/>
    <w:rsid w:val="4925C771"/>
    <w:rsid w:val="49323339"/>
    <w:rsid w:val="4935C719"/>
    <w:rsid w:val="4938CA31"/>
    <w:rsid w:val="4939C166"/>
    <w:rsid w:val="493CECF6"/>
    <w:rsid w:val="49442741"/>
    <w:rsid w:val="49553AF6"/>
    <w:rsid w:val="495795DB"/>
    <w:rsid w:val="495D6DA9"/>
    <w:rsid w:val="49622074"/>
    <w:rsid w:val="496DFCC4"/>
    <w:rsid w:val="4970C920"/>
    <w:rsid w:val="497BB227"/>
    <w:rsid w:val="498BE4B3"/>
    <w:rsid w:val="498CCE5F"/>
    <w:rsid w:val="499B28E7"/>
    <w:rsid w:val="49A6535D"/>
    <w:rsid w:val="49A91501"/>
    <w:rsid w:val="49BB914A"/>
    <w:rsid w:val="49C81A6B"/>
    <w:rsid w:val="49C96AA8"/>
    <w:rsid w:val="49CCCABF"/>
    <w:rsid w:val="49CCF42E"/>
    <w:rsid w:val="49CE4AAE"/>
    <w:rsid w:val="49CF283F"/>
    <w:rsid w:val="49CF48F1"/>
    <w:rsid w:val="49D0C5B4"/>
    <w:rsid w:val="49D5CE5C"/>
    <w:rsid w:val="49D6AE0C"/>
    <w:rsid w:val="49E512A3"/>
    <w:rsid w:val="49EA5155"/>
    <w:rsid w:val="49ED0B58"/>
    <w:rsid w:val="49F25041"/>
    <w:rsid w:val="4A037663"/>
    <w:rsid w:val="4A05B573"/>
    <w:rsid w:val="4A061F00"/>
    <w:rsid w:val="4A0A7FBE"/>
    <w:rsid w:val="4A239EAD"/>
    <w:rsid w:val="4A26FD22"/>
    <w:rsid w:val="4A2B29BB"/>
    <w:rsid w:val="4A2C26D1"/>
    <w:rsid w:val="4A378ECF"/>
    <w:rsid w:val="4A3C57DE"/>
    <w:rsid w:val="4A4BBC68"/>
    <w:rsid w:val="4A4F2331"/>
    <w:rsid w:val="4A54D485"/>
    <w:rsid w:val="4A727EA4"/>
    <w:rsid w:val="4A79487F"/>
    <w:rsid w:val="4A7E1C7E"/>
    <w:rsid w:val="4A87D5A0"/>
    <w:rsid w:val="4A8BABD3"/>
    <w:rsid w:val="4A8EB293"/>
    <w:rsid w:val="4A97CD1F"/>
    <w:rsid w:val="4AA56F47"/>
    <w:rsid w:val="4AA720B4"/>
    <w:rsid w:val="4AAAFA1F"/>
    <w:rsid w:val="4AB6D182"/>
    <w:rsid w:val="4AB8F490"/>
    <w:rsid w:val="4ABE81E6"/>
    <w:rsid w:val="4AD314F9"/>
    <w:rsid w:val="4ADAFAB4"/>
    <w:rsid w:val="4ADBB1F8"/>
    <w:rsid w:val="4AE1775A"/>
    <w:rsid w:val="4AE65286"/>
    <w:rsid w:val="4AFB0EC5"/>
    <w:rsid w:val="4B086249"/>
    <w:rsid w:val="4B1AAD72"/>
    <w:rsid w:val="4B1FC920"/>
    <w:rsid w:val="4B228FCD"/>
    <w:rsid w:val="4B2BCD08"/>
    <w:rsid w:val="4B3490E9"/>
    <w:rsid w:val="4B3C6024"/>
    <w:rsid w:val="4B3D7263"/>
    <w:rsid w:val="4B479B15"/>
    <w:rsid w:val="4B637009"/>
    <w:rsid w:val="4B75A2FE"/>
    <w:rsid w:val="4B782CF3"/>
    <w:rsid w:val="4B7F3D8E"/>
    <w:rsid w:val="4B825AAF"/>
    <w:rsid w:val="4B86829A"/>
    <w:rsid w:val="4B915E5A"/>
    <w:rsid w:val="4B9AD980"/>
    <w:rsid w:val="4BB51D09"/>
    <w:rsid w:val="4BBC0BB0"/>
    <w:rsid w:val="4BD579F7"/>
    <w:rsid w:val="4BD5FD94"/>
    <w:rsid w:val="4BD69E75"/>
    <w:rsid w:val="4BD7E45F"/>
    <w:rsid w:val="4BDBE1A1"/>
    <w:rsid w:val="4BE67AD3"/>
    <w:rsid w:val="4BEC323F"/>
    <w:rsid w:val="4BF1DFB1"/>
    <w:rsid w:val="4BF55C8D"/>
    <w:rsid w:val="4BF75635"/>
    <w:rsid w:val="4C03C9B7"/>
    <w:rsid w:val="4C0EC08F"/>
    <w:rsid w:val="4C0FFF7C"/>
    <w:rsid w:val="4C1021DD"/>
    <w:rsid w:val="4C105BD9"/>
    <w:rsid w:val="4C1966B1"/>
    <w:rsid w:val="4C1E7419"/>
    <w:rsid w:val="4C1E9460"/>
    <w:rsid w:val="4C219BEE"/>
    <w:rsid w:val="4C24B0F5"/>
    <w:rsid w:val="4C2C9F21"/>
    <w:rsid w:val="4C3253F9"/>
    <w:rsid w:val="4C33F9A8"/>
    <w:rsid w:val="4C39F638"/>
    <w:rsid w:val="4C3D9357"/>
    <w:rsid w:val="4C5E203D"/>
    <w:rsid w:val="4C62115A"/>
    <w:rsid w:val="4C640579"/>
    <w:rsid w:val="4C6433EE"/>
    <w:rsid w:val="4C65D35A"/>
    <w:rsid w:val="4C67A763"/>
    <w:rsid w:val="4C69A9BE"/>
    <w:rsid w:val="4C6D4347"/>
    <w:rsid w:val="4C79DA0E"/>
    <w:rsid w:val="4C7A1072"/>
    <w:rsid w:val="4C7A26DE"/>
    <w:rsid w:val="4C7ADA59"/>
    <w:rsid w:val="4C7F158C"/>
    <w:rsid w:val="4C8AF65C"/>
    <w:rsid w:val="4C8B250B"/>
    <w:rsid w:val="4C8B6AE8"/>
    <w:rsid w:val="4C91BDA9"/>
    <w:rsid w:val="4C96F324"/>
    <w:rsid w:val="4C9C0159"/>
    <w:rsid w:val="4C9C556E"/>
    <w:rsid w:val="4C9F7CE0"/>
    <w:rsid w:val="4CA3E30B"/>
    <w:rsid w:val="4CB534CD"/>
    <w:rsid w:val="4CB79411"/>
    <w:rsid w:val="4CC928B4"/>
    <w:rsid w:val="4CCCACFF"/>
    <w:rsid w:val="4CDD991E"/>
    <w:rsid w:val="4CE55841"/>
    <w:rsid w:val="4CE5E84E"/>
    <w:rsid w:val="4CE7120F"/>
    <w:rsid w:val="4CE9C453"/>
    <w:rsid w:val="4CF1B0DF"/>
    <w:rsid w:val="4CF2AA7D"/>
    <w:rsid w:val="4CF963D7"/>
    <w:rsid w:val="4CF9CF6A"/>
    <w:rsid w:val="4CFAA1EB"/>
    <w:rsid w:val="4D0092ED"/>
    <w:rsid w:val="4D04B87B"/>
    <w:rsid w:val="4D14A3F3"/>
    <w:rsid w:val="4D1E4D10"/>
    <w:rsid w:val="4D1E54F2"/>
    <w:rsid w:val="4D227D9A"/>
    <w:rsid w:val="4D3739EA"/>
    <w:rsid w:val="4D3B7DB9"/>
    <w:rsid w:val="4D3C211F"/>
    <w:rsid w:val="4D40DC62"/>
    <w:rsid w:val="4D4FD6B1"/>
    <w:rsid w:val="4D5C1188"/>
    <w:rsid w:val="4D5E59A4"/>
    <w:rsid w:val="4D6C3C0A"/>
    <w:rsid w:val="4D717143"/>
    <w:rsid w:val="4D793D98"/>
    <w:rsid w:val="4D80AB3F"/>
    <w:rsid w:val="4D8ED23E"/>
    <w:rsid w:val="4D924057"/>
    <w:rsid w:val="4D93BE3D"/>
    <w:rsid w:val="4D99E77A"/>
    <w:rsid w:val="4D9C7973"/>
    <w:rsid w:val="4D9CE9FE"/>
    <w:rsid w:val="4DA289E9"/>
    <w:rsid w:val="4DA4807C"/>
    <w:rsid w:val="4DA4A302"/>
    <w:rsid w:val="4DAD71B5"/>
    <w:rsid w:val="4DB50DDF"/>
    <w:rsid w:val="4DB73C5C"/>
    <w:rsid w:val="4DB9CFD3"/>
    <w:rsid w:val="4DBB39AC"/>
    <w:rsid w:val="4DBC1C12"/>
    <w:rsid w:val="4DBD169A"/>
    <w:rsid w:val="4DBF20BB"/>
    <w:rsid w:val="4DC75947"/>
    <w:rsid w:val="4DCBC247"/>
    <w:rsid w:val="4DD0A1D5"/>
    <w:rsid w:val="4DD1ECF7"/>
    <w:rsid w:val="4DDC4983"/>
    <w:rsid w:val="4DE5AE2F"/>
    <w:rsid w:val="4DEB280B"/>
    <w:rsid w:val="4DF8959A"/>
    <w:rsid w:val="4E09A232"/>
    <w:rsid w:val="4E0E5546"/>
    <w:rsid w:val="4E1057B8"/>
    <w:rsid w:val="4E116E3E"/>
    <w:rsid w:val="4E1DF63C"/>
    <w:rsid w:val="4E21B341"/>
    <w:rsid w:val="4E24D070"/>
    <w:rsid w:val="4E26021E"/>
    <w:rsid w:val="4E2708EA"/>
    <w:rsid w:val="4E35EFE8"/>
    <w:rsid w:val="4E376DC2"/>
    <w:rsid w:val="4E38D48F"/>
    <w:rsid w:val="4E39B5A4"/>
    <w:rsid w:val="4E40E72C"/>
    <w:rsid w:val="4E4F8248"/>
    <w:rsid w:val="4E518370"/>
    <w:rsid w:val="4E5759F9"/>
    <w:rsid w:val="4E584D6E"/>
    <w:rsid w:val="4E7C4A6E"/>
    <w:rsid w:val="4E8EE117"/>
    <w:rsid w:val="4E951785"/>
    <w:rsid w:val="4E97BB50"/>
    <w:rsid w:val="4E99A307"/>
    <w:rsid w:val="4E9A14C8"/>
    <w:rsid w:val="4EA013BE"/>
    <w:rsid w:val="4EA1D110"/>
    <w:rsid w:val="4EA8C629"/>
    <w:rsid w:val="4EA9451F"/>
    <w:rsid w:val="4EA9E47C"/>
    <w:rsid w:val="4EACC4EB"/>
    <w:rsid w:val="4EADD251"/>
    <w:rsid w:val="4EB48F96"/>
    <w:rsid w:val="4EBA0399"/>
    <w:rsid w:val="4EC64766"/>
    <w:rsid w:val="4EC763B8"/>
    <w:rsid w:val="4EC942BE"/>
    <w:rsid w:val="4EC9E2F2"/>
    <w:rsid w:val="4ECDE181"/>
    <w:rsid w:val="4ECE7152"/>
    <w:rsid w:val="4ED6AFB3"/>
    <w:rsid w:val="4ED871F4"/>
    <w:rsid w:val="4EDBE822"/>
    <w:rsid w:val="4EDD73F4"/>
    <w:rsid w:val="4EE58A24"/>
    <w:rsid w:val="4EEB0DC3"/>
    <w:rsid w:val="4EF05DD2"/>
    <w:rsid w:val="4F00B6A0"/>
    <w:rsid w:val="4F022246"/>
    <w:rsid w:val="4F06480B"/>
    <w:rsid w:val="4F0D80CA"/>
    <w:rsid w:val="4F0E3CB5"/>
    <w:rsid w:val="4F17BFB6"/>
    <w:rsid w:val="4F1C00C3"/>
    <w:rsid w:val="4F28AC58"/>
    <w:rsid w:val="4F2A9057"/>
    <w:rsid w:val="4F325232"/>
    <w:rsid w:val="4F328F26"/>
    <w:rsid w:val="4F32B7CA"/>
    <w:rsid w:val="4F3D44AB"/>
    <w:rsid w:val="4F3D563F"/>
    <w:rsid w:val="4F4C383E"/>
    <w:rsid w:val="4F58FB1C"/>
    <w:rsid w:val="4F68357E"/>
    <w:rsid w:val="4F6B6BF1"/>
    <w:rsid w:val="4F760D89"/>
    <w:rsid w:val="4F8553C4"/>
    <w:rsid w:val="4F855A49"/>
    <w:rsid w:val="4F8DA518"/>
    <w:rsid w:val="4F95E838"/>
    <w:rsid w:val="4F997D46"/>
    <w:rsid w:val="4FA3EB59"/>
    <w:rsid w:val="4FADA19F"/>
    <w:rsid w:val="4FB1F7C5"/>
    <w:rsid w:val="4FBEB462"/>
    <w:rsid w:val="4FC8C449"/>
    <w:rsid w:val="4FC9CF1D"/>
    <w:rsid w:val="4FE7304B"/>
    <w:rsid w:val="4FEF6A4A"/>
    <w:rsid w:val="4FF7D493"/>
    <w:rsid w:val="4FFAF2B1"/>
    <w:rsid w:val="500BED45"/>
    <w:rsid w:val="500FE5CC"/>
    <w:rsid w:val="50170A48"/>
    <w:rsid w:val="50195149"/>
    <w:rsid w:val="5025EF33"/>
    <w:rsid w:val="50288901"/>
    <w:rsid w:val="502C39CD"/>
    <w:rsid w:val="5030073D"/>
    <w:rsid w:val="50317B65"/>
    <w:rsid w:val="5036E0AF"/>
    <w:rsid w:val="5048B13A"/>
    <w:rsid w:val="504B48D9"/>
    <w:rsid w:val="50589D95"/>
    <w:rsid w:val="5062A28A"/>
    <w:rsid w:val="506307AF"/>
    <w:rsid w:val="5063429A"/>
    <w:rsid w:val="50669088"/>
    <w:rsid w:val="5088FD86"/>
    <w:rsid w:val="508BE469"/>
    <w:rsid w:val="508EE3BB"/>
    <w:rsid w:val="50900DF5"/>
    <w:rsid w:val="509C2B8F"/>
    <w:rsid w:val="509EFEB9"/>
    <w:rsid w:val="50A64575"/>
    <w:rsid w:val="50AC94D6"/>
    <w:rsid w:val="50B49945"/>
    <w:rsid w:val="50C1C3F0"/>
    <w:rsid w:val="50C5B9F2"/>
    <w:rsid w:val="50C9675A"/>
    <w:rsid w:val="50D0AF8F"/>
    <w:rsid w:val="50D610DE"/>
    <w:rsid w:val="50DA9C28"/>
    <w:rsid w:val="50DB50B1"/>
    <w:rsid w:val="50DD79A5"/>
    <w:rsid w:val="50DE42BD"/>
    <w:rsid w:val="50DFD01B"/>
    <w:rsid w:val="50EF304B"/>
    <w:rsid w:val="50F05349"/>
    <w:rsid w:val="50F51356"/>
    <w:rsid w:val="50FB43CC"/>
    <w:rsid w:val="50FC7F15"/>
    <w:rsid w:val="5101A195"/>
    <w:rsid w:val="5101E9DF"/>
    <w:rsid w:val="5103F0AD"/>
    <w:rsid w:val="5108C34A"/>
    <w:rsid w:val="5110D659"/>
    <w:rsid w:val="511A5C8A"/>
    <w:rsid w:val="511CB6F5"/>
    <w:rsid w:val="51203F0C"/>
    <w:rsid w:val="51283B46"/>
    <w:rsid w:val="512BED73"/>
    <w:rsid w:val="513011FC"/>
    <w:rsid w:val="51382A23"/>
    <w:rsid w:val="513CED71"/>
    <w:rsid w:val="51413B91"/>
    <w:rsid w:val="51427075"/>
    <w:rsid w:val="5144AD60"/>
    <w:rsid w:val="514A2BAD"/>
    <w:rsid w:val="515DE661"/>
    <w:rsid w:val="5164C277"/>
    <w:rsid w:val="5169F137"/>
    <w:rsid w:val="516FA8D5"/>
    <w:rsid w:val="5172AB48"/>
    <w:rsid w:val="5172E2FA"/>
    <w:rsid w:val="5182D8BE"/>
    <w:rsid w:val="5189757A"/>
    <w:rsid w:val="518DAE5C"/>
    <w:rsid w:val="5193C4F9"/>
    <w:rsid w:val="5196A16F"/>
    <w:rsid w:val="5199053E"/>
    <w:rsid w:val="51A135A7"/>
    <w:rsid w:val="51AACE22"/>
    <w:rsid w:val="51B288A5"/>
    <w:rsid w:val="51B2B049"/>
    <w:rsid w:val="51BBBFDD"/>
    <w:rsid w:val="51BC5760"/>
    <w:rsid w:val="51C4E038"/>
    <w:rsid w:val="51CD7CE2"/>
    <w:rsid w:val="51D3D0DB"/>
    <w:rsid w:val="51DBCA5A"/>
    <w:rsid w:val="51DCCF26"/>
    <w:rsid w:val="51E32F45"/>
    <w:rsid w:val="51E39AFA"/>
    <w:rsid w:val="51E483D5"/>
    <w:rsid w:val="51EAC3F9"/>
    <w:rsid w:val="51F4057F"/>
    <w:rsid w:val="51F675DD"/>
    <w:rsid w:val="51F8BEA9"/>
    <w:rsid w:val="51FE4111"/>
    <w:rsid w:val="5201DD21"/>
    <w:rsid w:val="5207CC15"/>
    <w:rsid w:val="5218C9EA"/>
    <w:rsid w:val="521B1878"/>
    <w:rsid w:val="521C04D1"/>
    <w:rsid w:val="521F10C4"/>
    <w:rsid w:val="52251A77"/>
    <w:rsid w:val="5225774C"/>
    <w:rsid w:val="522D6382"/>
    <w:rsid w:val="523145F6"/>
    <w:rsid w:val="52362FC6"/>
    <w:rsid w:val="5236E509"/>
    <w:rsid w:val="523878F6"/>
    <w:rsid w:val="523A3B24"/>
    <w:rsid w:val="523ADD34"/>
    <w:rsid w:val="523DBD39"/>
    <w:rsid w:val="5240A8EF"/>
    <w:rsid w:val="524A6910"/>
    <w:rsid w:val="524CFCD8"/>
    <w:rsid w:val="5251BACC"/>
    <w:rsid w:val="5255BED2"/>
    <w:rsid w:val="5260B208"/>
    <w:rsid w:val="5260E240"/>
    <w:rsid w:val="52618141"/>
    <w:rsid w:val="52665FE2"/>
    <w:rsid w:val="526B6313"/>
    <w:rsid w:val="526C4DBC"/>
    <w:rsid w:val="52709E68"/>
    <w:rsid w:val="5278211B"/>
    <w:rsid w:val="52865694"/>
    <w:rsid w:val="52870D02"/>
    <w:rsid w:val="52876EDA"/>
    <w:rsid w:val="528D28A1"/>
    <w:rsid w:val="5292E46A"/>
    <w:rsid w:val="52947FAA"/>
    <w:rsid w:val="52969989"/>
    <w:rsid w:val="52A0269F"/>
    <w:rsid w:val="52AEBCFF"/>
    <w:rsid w:val="52B24045"/>
    <w:rsid w:val="52B56220"/>
    <w:rsid w:val="52BE0D67"/>
    <w:rsid w:val="52BFD404"/>
    <w:rsid w:val="52D10624"/>
    <w:rsid w:val="52D8625F"/>
    <w:rsid w:val="52E70976"/>
    <w:rsid w:val="52F12E6A"/>
    <w:rsid w:val="52F274BD"/>
    <w:rsid w:val="52F3C4E1"/>
    <w:rsid w:val="52F6042F"/>
    <w:rsid w:val="53120F82"/>
    <w:rsid w:val="53224334"/>
    <w:rsid w:val="5325C1AD"/>
    <w:rsid w:val="5325C2C0"/>
    <w:rsid w:val="532CB458"/>
    <w:rsid w:val="532CFF2E"/>
    <w:rsid w:val="532FBD4B"/>
    <w:rsid w:val="5332CF04"/>
    <w:rsid w:val="53347BBF"/>
    <w:rsid w:val="533723C4"/>
    <w:rsid w:val="533B373A"/>
    <w:rsid w:val="533DCF90"/>
    <w:rsid w:val="533E060A"/>
    <w:rsid w:val="53422833"/>
    <w:rsid w:val="53560A39"/>
    <w:rsid w:val="535C75DD"/>
    <w:rsid w:val="535C8E58"/>
    <w:rsid w:val="536A9F3E"/>
    <w:rsid w:val="536BE6C9"/>
    <w:rsid w:val="536CD8BE"/>
    <w:rsid w:val="5373B946"/>
    <w:rsid w:val="53756F70"/>
    <w:rsid w:val="537B2B50"/>
    <w:rsid w:val="537FDEE5"/>
    <w:rsid w:val="5380C9FC"/>
    <w:rsid w:val="5395CE24"/>
    <w:rsid w:val="539A1EAD"/>
    <w:rsid w:val="539D0943"/>
    <w:rsid w:val="53A90660"/>
    <w:rsid w:val="53B20CAA"/>
    <w:rsid w:val="53B60B0B"/>
    <w:rsid w:val="53B82546"/>
    <w:rsid w:val="53C30384"/>
    <w:rsid w:val="53CC1D55"/>
    <w:rsid w:val="53CEF0F8"/>
    <w:rsid w:val="53D04F14"/>
    <w:rsid w:val="53D0A6F0"/>
    <w:rsid w:val="53D12343"/>
    <w:rsid w:val="53EB8479"/>
    <w:rsid w:val="53F45654"/>
    <w:rsid w:val="53F91857"/>
    <w:rsid w:val="53FD74F3"/>
    <w:rsid w:val="54062A57"/>
    <w:rsid w:val="54074306"/>
    <w:rsid w:val="5408BF4C"/>
    <w:rsid w:val="540A1E05"/>
    <w:rsid w:val="540CBE81"/>
    <w:rsid w:val="5415DEED"/>
    <w:rsid w:val="5417C2EF"/>
    <w:rsid w:val="541A44FF"/>
    <w:rsid w:val="541F0624"/>
    <w:rsid w:val="542BEFA7"/>
    <w:rsid w:val="542FE382"/>
    <w:rsid w:val="5431306B"/>
    <w:rsid w:val="5437F380"/>
    <w:rsid w:val="543DAEF0"/>
    <w:rsid w:val="54412DBF"/>
    <w:rsid w:val="54462B69"/>
    <w:rsid w:val="5449FEF5"/>
    <w:rsid w:val="54513116"/>
    <w:rsid w:val="5451F34B"/>
    <w:rsid w:val="5455A37E"/>
    <w:rsid w:val="545BE31E"/>
    <w:rsid w:val="545C61A5"/>
    <w:rsid w:val="54603FAC"/>
    <w:rsid w:val="54666F19"/>
    <w:rsid w:val="546E05BC"/>
    <w:rsid w:val="5470D528"/>
    <w:rsid w:val="5472EB03"/>
    <w:rsid w:val="5474C959"/>
    <w:rsid w:val="547AA453"/>
    <w:rsid w:val="547D084B"/>
    <w:rsid w:val="547E2C65"/>
    <w:rsid w:val="549509C2"/>
    <w:rsid w:val="5495BFBF"/>
    <w:rsid w:val="54A74155"/>
    <w:rsid w:val="54A8AF00"/>
    <w:rsid w:val="54A8D7B8"/>
    <w:rsid w:val="54AA8052"/>
    <w:rsid w:val="54B2659E"/>
    <w:rsid w:val="54B281FF"/>
    <w:rsid w:val="54B5BE50"/>
    <w:rsid w:val="54C5A8CD"/>
    <w:rsid w:val="54C625F8"/>
    <w:rsid w:val="54CE0860"/>
    <w:rsid w:val="54CF794D"/>
    <w:rsid w:val="54D3AABC"/>
    <w:rsid w:val="54D7DDAD"/>
    <w:rsid w:val="54D7EA4F"/>
    <w:rsid w:val="54D95778"/>
    <w:rsid w:val="54DE8DB8"/>
    <w:rsid w:val="54E74C93"/>
    <w:rsid w:val="54F28EFA"/>
    <w:rsid w:val="5503B379"/>
    <w:rsid w:val="55161D39"/>
    <w:rsid w:val="551B50B6"/>
    <w:rsid w:val="55205950"/>
    <w:rsid w:val="552A4AE6"/>
    <w:rsid w:val="552F1B82"/>
    <w:rsid w:val="553031B9"/>
    <w:rsid w:val="553DCACD"/>
    <w:rsid w:val="553E47F7"/>
    <w:rsid w:val="55419999"/>
    <w:rsid w:val="5542AF37"/>
    <w:rsid w:val="55470CBA"/>
    <w:rsid w:val="5551FF90"/>
    <w:rsid w:val="555C3DCF"/>
    <w:rsid w:val="555C897D"/>
    <w:rsid w:val="556097D0"/>
    <w:rsid w:val="5561D75E"/>
    <w:rsid w:val="556D0F93"/>
    <w:rsid w:val="556E5D06"/>
    <w:rsid w:val="556FB7D3"/>
    <w:rsid w:val="557D04DC"/>
    <w:rsid w:val="557D3EE7"/>
    <w:rsid w:val="557DB908"/>
    <w:rsid w:val="558C9B22"/>
    <w:rsid w:val="558D50AF"/>
    <w:rsid w:val="55923EAD"/>
    <w:rsid w:val="55977F8D"/>
    <w:rsid w:val="55999F73"/>
    <w:rsid w:val="55A180F9"/>
    <w:rsid w:val="55A3529B"/>
    <w:rsid w:val="55A361A3"/>
    <w:rsid w:val="55A93ED1"/>
    <w:rsid w:val="55AAEB28"/>
    <w:rsid w:val="55B8A96D"/>
    <w:rsid w:val="55BBDB45"/>
    <w:rsid w:val="55C4ABA3"/>
    <w:rsid w:val="55C4F507"/>
    <w:rsid w:val="55CD4055"/>
    <w:rsid w:val="55CE9F41"/>
    <w:rsid w:val="55DCDF9B"/>
    <w:rsid w:val="55E4BD2A"/>
    <w:rsid w:val="55E60A98"/>
    <w:rsid w:val="55EC74E4"/>
    <w:rsid w:val="55F16370"/>
    <w:rsid w:val="55F834D8"/>
    <w:rsid w:val="55FC314C"/>
    <w:rsid w:val="56020585"/>
    <w:rsid w:val="5605CD29"/>
    <w:rsid w:val="561425F8"/>
    <w:rsid w:val="561C6E89"/>
    <w:rsid w:val="5626B014"/>
    <w:rsid w:val="562E230B"/>
    <w:rsid w:val="562ED5F8"/>
    <w:rsid w:val="562F1B74"/>
    <w:rsid w:val="563B539E"/>
    <w:rsid w:val="563D3299"/>
    <w:rsid w:val="564320C6"/>
    <w:rsid w:val="56445C8C"/>
    <w:rsid w:val="56470B12"/>
    <w:rsid w:val="564A138E"/>
    <w:rsid w:val="5655A16D"/>
    <w:rsid w:val="566061ED"/>
    <w:rsid w:val="5660906E"/>
    <w:rsid w:val="566151CF"/>
    <w:rsid w:val="56628271"/>
    <w:rsid w:val="56692A80"/>
    <w:rsid w:val="566D5E48"/>
    <w:rsid w:val="5684F9BE"/>
    <w:rsid w:val="56880445"/>
    <w:rsid w:val="568852A5"/>
    <w:rsid w:val="568B24C6"/>
    <w:rsid w:val="568C420F"/>
    <w:rsid w:val="568F3F27"/>
    <w:rsid w:val="56903E2E"/>
    <w:rsid w:val="569D9CAE"/>
    <w:rsid w:val="56A7388C"/>
    <w:rsid w:val="56AAC4F9"/>
    <w:rsid w:val="56BBE195"/>
    <w:rsid w:val="56C08C15"/>
    <w:rsid w:val="56C0FEAE"/>
    <w:rsid w:val="56C41286"/>
    <w:rsid w:val="56CC2D02"/>
    <w:rsid w:val="56D577D9"/>
    <w:rsid w:val="56DC09DF"/>
    <w:rsid w:val="56E90FAD"/>
    <w:rsid w:val="56F25943"/>
    <w:rsid w:val="56FB2EFF"/>
    <w:rsid w:val="56FC438C"/>
    <w:rsid w:val="56FDA7C4"/>
    <w:rsid w:val="5708B8EA"/>
    <w:rsid w:val="5711331F"/>
    <w:rsid w:val="57122A87"/>
    <w:rsid w:val="57124FBF"/>
    <w:rsid w:val="5716EE01"/>
    <w:rsid w:val="571D9716"/>
    <w:rsid w:val="571EEC27"/>
    <w:rsid w:val="57353D72"/>
    <w:rsid w:val="574397DC"/>
    <w:rsid w:val="57505784"/>
    <w:rsid w:val="5753C7CD"/>
    <w:rsid w:val="5758567F"/>
    <w:rsid w:val="57592E64"/>
    <w:rsid w:val="57654E63"/>
    <w:rsid w:val="576CD58B"/>
    <w:rsid w:val="57774290"/>
    <w:rsid w:val="577AA162"/>
    <w:rsid w:val="577C26B2"/>
    <w:rsid w:val="5786CD4A"/>
    <w:rsid w:val="578E3458"/>
    <w:rsid w:val="5794038D"/>
    <w:rsid w:val="57990355"/>
    <w:rsid w:val="579D64EC"/>
    <w:rsid w:val="57A07F6D"/>
    <w:rsid w:val="57A24BE2"/>
    <w:rsid w:val="57A45D2E"/>
    <w:rsid w:val="57B0F350"/>
    <w:rsid w:val="57B20259"/>
    <w:rsid w:val="57B301FA"/>
    <w:rsid w:val="57BC517F"/>
    <w:rsid w:val="57C21486"/>
    <w:rsid w:val="57C25B1C"/>
    <w:rsid w:val="57C2B2E0"/>
    <w:rsid w:val="57CAFA5B"/>
    <w:rsid w:val="57CF81D4"/>
    <w:rsid w:val="57D1E4FC"/>
    <w:rsid w:val="57D97333"/>
    <w:rsid w:val="57DAFB73"/>
    <w:rsid w:val="57DC8ABF"/>
    <w:rsid w:val="57E1FDF1"/>
    <w:rsid w:val="57E2C539"/>
    <w:rsid w:val="57E735CD"/>
    <w:rsid w:val="57E85893"/>
    <w:rsid w:val="57EBCC25"/>
    <w:rsid w:val="57EDE26D"/>
    <w:rsid w:val="57FA7BFF"/>
    <w:rsid w:val="57FD10D4"/>
    <w:rsid w:val="58098C97"/>
    <w:rsid w:val="580A5739"/>
    <w:rsid w:val="580ACAB9"/>
    <w:rsid w:val="582C416E"/>
    <w:rsid w:val="582D0EAE"/>
    <w:rsid w:val="58375575"/>
    <w:rsid w:val="5838E660"/>
    <w:rsid w:val="583B4D55"/>
    <w:rsid w:val="583D0A94"/>
    <w:rsid w:val="584A16F9"/>
    <w:rsid w:val="58530FC8"/>
    <w:rsid w:val="585CCA66"/>
    <w:rsid w:val="5860F6CC"/>
    <w:rsid w:val="5861076F"/>
    <w:rsid w:val="5873ED1C"/>
    <w:rsid w:val="587ACB73"/>
    <w:rsid w:val="587F358A"/>
    <w:rsid w:val="5880A38E"/>
    <w:rsid w:val="58864400"/>
    <w:rsid w:val="588C599F"/>
    <w:rsid w:val="589AA027"/>
    <w:rsid w:val="589FE685"/>
    <w:rsid w:val="58A4A95B"/>
    <w:rsid w:val="58A6D50B"/>
    <w:rsid w:val="58AFB726"/>
    <w:rsid w:val="58C4C5D8"/>
    <w:rsid w:val="58D12A83"/>
    <w:rsid w:val="58D37D63"/>
    <w:rsid w:val="58D480D4"/>
    <w:rsid w:val="58DD82E4"/>
    <w:rsid w:val="58E16682"/>
    <w:rsid w:val="58E4A90B"/>
    <w:rsid w:val="58E6A218"/>
    <w:rsid w:val="58EA6B45"/>
    <w:rsid w:val="58FBD7EF"/>
    <w:rsid w:val="58FD6EE4"/>
    <w:rsid w:val="58FDB43D"/>
    <w:rsid w:val="59025964"/>
    <w:rsid w:val="5903C7FA"/>
    <w:rsid w:val="590C3A79"/>
    <w:rsid w:val="59101DD6"/>
    <w:rsid w:val="5913CD60"/>
    <w:rsid w:val="59166029"/>
    <w:rsid w:val="591C5AF5"/>
    <w:rsid w:val="591C7F5D"/>
    <w:rsid w:val="591E188C"/>
    <w:rsid w:val="5929EE25"/>
    <w:rsid w:val="592B906C"/>
    <w:rsid w:val="592CC1FB"/>
    <w:rsid w:val="592FE335"/>
    <w:rsid w:val="5937923C"/>
    <w:rsid w:val="5943596E"/>
    <w:rsid w:val="594924EB"/>
    <w:rsid w:val="594953B0"/>
    <w:rsid w:val="594F4D44"/>
    <w:rsid w:val="595B4DB7"/>
    <w:rsid w:val="595E741B"/>
    <w:rsid w:val="596CCF52"/>
    <w:rsid w:val="5977EBA4"/>
    <w:rsid w:val="597D3536"/>
    <w:rsid w:val="597D618C"/>
    <w:rsid w:val="597E36CA"/>
    <w:rsid w:val="598DD103"/>
    <w:rsid w:val="598F1260"/>
    <w:rsid w:val="59915017"/>
    <w:rsid w:val="59951713"/>
    <w:rsid w:val="59956280"/>
    <w:rsid w:val="599745EA"/>
    <w:rsid w:val="599C246A"/>
    <w:rsid w:val="59A1032D"/>
    <w:rsid w:val="59A3F094"/>
    <w:rsid w:val="59A6A5B2"/>
    <w:rsid w:val="59B098A2"/>
    <w:rsid w:val="59B668F5"/>
    <w:rsid w:val="59C496F3"/>
    <w:rsid w:val="59C6F1CE"/>
    <w:rsid w:val="59C859E3"/>
    <w:rsid w:val="59D14B32"/>
    <w:rsid w:val="59D30B90"/>
    <w:rsid w:val="59E00E8A"/>
    <w:rsid w:val="59E77ABA"/>
    <w:rsid w:val="59EF59A1"/>
    <w:rsid w:val="59F3B9F1"/>
    <w:rsid w:val="59F8EF51"/>
    <w:rsid w:val="5A02B0DC"/>
    <w:rsid w:val="5A09B4F6"/>
    <w:rsid w:val="5A0C5C32"/>
    <w:rsid w:val="5A10AA7F"/>
    <w:rsid w:val="5A185544"/>
    <w:rsid w:val="5A21CCFB"/>
    <w:rsid w:val="5A23456A"/>
    <w:rsid w:val="5A2CD1DD"/>
    <w:rsid w:val="5A3D1222"/>
    <w:rsid w:val="5A4C24DC"/>
    <w:rsid w:val="5A5010E3"/>
    <w:rsid w:val="5A54A585"/>
    <w:rsid w:val="5A54F4B1"/>
    <w:rsid w:val="5A568CC7"/>
    <w:rsid w:val="5A648E79"/>
    <w:rsid w:val="5A6685D3"/>
    <w:rsid w:val="5A6C4A46"/>
    <w:rsid w:val="5A7003C6"/>
    <w:rsid w:val="5A707080"/>
    <w:rsid w:val="5A7361C3"/>
    <w:rsid w:val="5A7776ED"/>
    <w:rsid w:val="5A78D335"/>
    <w:rsid w:val="5A814B28"/>
    <w:rsid w:val="5A821CA5"/>
    <w:rsid w:val="5A8F6AC6"/>
    <w:rsid w:val="5A98EB0A"/>
    <w:rsid w:val="5A9AC7C9"/>
    <w:rsid w:val="5A9E845F"/>
    <w:rsid w:val="5AA10B24"/>
    <w:rsid w:val="5AA56271"/>
    <w:rsid w:val="5AA944C2"/>
    <w:rsid w:val="5AAC4BB5"/>
    <w:rsid w:val="5AAF62D5"/>
    <w:rsid w:val="5ABF0275"/>
    <w:rsid w:val="5AC0FA62"/>
    <w:rsid w:val="5AC1E2B1"/>
    <w:rsid w:val="5AC4D00F"/>
    <w:rsid w:val="5ACB7D2F"/>
    <w:rsid w:val="5AD6D666"/>
    <w:rsid w:val="5AD78E1D"/>
    <w:rsid w:val="5ADDEB2E"/>
    <w:rsid w:val="5AE33B52"/>
    <w:rsid w:val="5AE5A240"/>
    <w:rsid w:val="5AEF34F1"/>
    <w:rsid w:val="5AF1DAA1"/>
    <w:rsid w:val="5AFF595C"/>
    <w:rsid w:val="5B011BD9"/>
    <w:rsid w:val="5B02FF6E"/>
    <w:rsid w:val="5B0307B0"/>
    <w:rsid w:val="5B0429A9"/>
    <w:rsid w:val="5B056B72"/>
    <w:rsid w:val="5B061D2C"/>
    <w:rsid w:val="5B07B5E3"/>
    <w:rsid w:val="5B0ED087"/>
    <w:rsid w:val="5B137790"/>
    <w:rsid w:val="5B1809D7"/>
    <w:rsid w:val="5B1A71C8"/>
    <w:rsid w:val="5B22DBE2"/>
    <w:rsid w:val="5B254EB9"/>
    <w:rsid w:val="5B33F00A"/>
    <w:rsid w:val="5B3774D0"/>
    <w:rsid w:val="5B39B970"/>
    <w:rsid w:val="5B469329"/>
    <w:rsid w:val="5B4D33E6"/>
    <w:rsid w:val="5B5074DC"/>
    <w:rsid w:val="5B563204"/>
    <w:rsid w:val="5B620403"/>
    <w:rsid w:val="5B639D71"/>
    <w:rsid w:val="5B692AF0"/>
    <w:rsid w:val="5B6DA608"/>
    <w:rsid w:val="5B71F373"/>
    <w:rsid w:val="5B78E50B"/>
    <w:rsid w:val="5B8C702D"/>
    <w:rsid w:val="5B8FC785"/>
    <w:rsid w:val="5B913495"/>
    <w:rsid w:val="5B96F442"/>
    <w:rsid w:val="5B9AAC09"/>
    <w:rsid w:val="5B9C8B21"/>
    <w:rsid w:val="5B9FE687"/>
    <w:rsid w:val="5BAFD5EC"/>
    <w:rsid w:val="5BB45631"/>
    <w:rsid w:val="5BB7F4D1"/>
    <w:rsid w:val="5BBAACBF"/>
    <w:rsid w:val="5BC32019"/>
    <w:rsid w:val="5BC38AF9"/>
    <w:rsid w:val="5BD2CBE7"/>
    <w:rsid w:val="5BD57E45"/>
    <w:rsid w:val="5BD6692A"/>
    <w:rsid w:val="5BDE3EDA"/>
    <w:rsid w:val="5BDE544D"/>
    <w:rsid w:val="5BE63D1E"/>
    <w:rsid w:val="5BE90354"/>
    <w:rsid w:val="5BE9FF3A"/>
    <w:rsid w:val="5BF35E11"/>
    <w:rsid w:val="5C001DB9"/>
    <w:rsid w:val="5C0412D0"/>
    <w:rsid w:val="5C0EF7F4"/>
    <w:rsid w:val="5C2B959E"/>
    <w:rsid w:val="5C2E35C9"/>
    <w:rsid w:val="5C2E629F"/>
    <w:rsid w:val="5C2EFFA9"/>
    <w:rsid w:val="5C302999"/>
    <w:rsid w:val="5C372F5B"/>
    <w:rsid w:val="5C40321B"/>
    <w:rsid w:val="5C43E013"/>
    <w:rsid w:val="5C472CBC"/>
    <w:rsid w:val="5C4D886F"/>
    <w:rsid w:val="5C53948D"/>
    <w:rsid w:val="5C700F67"/>
    <w:rsid w:val="5C70D090"/>
    <w:rsid w:val="5C76F413"/>
    <w:rsid w:val="5C79CAD6"/>
    <w:rsid w:val="5C7D8C1D"/>
    <w:rsid w:val="5C8947D0"/>
    <w:rsid w:val="5C8B12A1"/>
    <w:rsid w:val="5C8D30BE"/>
    <w:rsid w:val="5C8E2499"/>
    <w:rsid w:val="5C941B3C"/>
    <w:rsid w:val="5C962F4A"/>
    <w:rsid w:val="5C9DC40D"/>
    <w:rsid w:val="5C9E4BC6"/>
    <w:rsid w:val="5CA091E8"/>
    <w:rsid w:val="5CA32035"/>
    <w:rsid w:val="5CA54DA2"/>
    <w:rsid w:val="5CAF17C3"/>
    <w:rsid w:val="5CB0701A"/>
    <w:rsid w:val="5CBB9978"/>
    <w:rsid w:val="5CC13807"/>
    <w:rsid w:val="5CC91735"/>
    <w:rsid w:val="5CDE16EF"/>
    <w:rsid w:val="5CE0A8B3"/>
    <w:rsid w:val="5CE0D3E3"/>
    <w:rsid w:val="5CE16E0F"/>
    <w:rsid w:val="5CF3C690"/>
    <w:rsid w:val="5CFDA768"/>
    <w:rsid w:val="5D014B10"/>
    <w:rsid w:val="5D01B8C0"/>
    <w:rsid w:val="5D04B153"/>
    <w:rsid w:val="5D0981A1"/>
    <w:rsid w:val="5D09D290"/>
    <w:rsid w:val="5D0BC542"/>
    <w:rsid w:val="5D0DED8A"/>
    <w:rsid w:val="5D0FA1BF"/>
    <w:rsid w:val="5D0FC981"/>
    <w:rsid w:val="5D16FEA5"/>
    <w:rsid w:val="5D18E6D6"/>
    <w:rsid w:val="5D2BF6EE"/>
    <w:rsid w:val="5D2D06FB"/>
    <w:rsid w:val="5D386D40"/>
    <w:rsid w:val="5D3E3062"/>
    <w:rsid w:val="5D42E95F"/>
    <w:rsid w:val="5D4C511E"/>
    <w:rsid w:val="5D573BE4"/>
    <w:rsid w:val="5D5DC578"/>
    <w:rsid w:val="5D5DF1B0"/>
    <w:rsid w:val="5D60CFB8"/>
    <w:rsid w:val="5D67BCD1"/>
    <w:rsid w:val="5D6DA3B4"/>
    <w:rsid w:val="5D6E456A"/>
    <w:rsid w:val="5D6E4658"/>
    <w:rsid w:val="5D6F8197"/>
    <w:rsid w:val="5D9C5596"/>
    <w:rsid w:val="5D9DF54C"/>
    <w:rsid w:val="5DA663A1"/>
    <w:rsid w:val="5DA902EF"/>
    <w:rsid w:val="5DBA9D32"/>
    <w:rsid w:val="5DBAEC50"/>
    <w:rsid w:val="5DBBA03F"/>
    <w:rsid w:val="5DC95572"/>
    <w:rsid w:val="5DC990D7"/>
    <w:rsid w:val="5DCAD99D"/>
    <w:rsid w:val="5DCC707A"/>
    <w:rsid w:val="5DD003E9"/>
    <w:rsid w:val="5DD3104A"/>
    <w:rsid w:val="5DDC627C"/>
    <w:rsid w:val="5DDF3636"/>
    <w:rsid w:val="5DE8C829"/>
    <w:rsid w:val="5DF29872"/>
    <w:rsid w:val="5DF9723D"/>
    <w:rsid w:val="5DFD08EE"/>
    <w:rsid w:val="5E0AEACB"/>
    <w:rsid w:val="5E0C8B4B"/>
    <w:rsid w:val="5E134FDF"/>
    <w:rsid w:val="5E160A7F"/>
    <w:rsid w:val="5E187EFD"/>
    <w:rsid w:val="5E22F3FC"/>
    <w:rsid w:val="5E275A76"/>
    <w:rsid w:val="5E38392B"/>
    <w:rsid w:val="5E55E747"/>
    <w:rsid w:val="5E5BF1CF"/>
    <w:rsid w:val="5E5E62E8"/>
    <w:rsid w:val="5E5FD114"/>
    <w:rsid w:val="5E6A4812"/>
    <w:rsid w:val="5E6C84C1"/>
    <w:rsid w:val="5E6CDF09"/>
    <w:rsid w:val="5E7060E3"/>
    <w:rsid w:val="5E766211"/>
    <w:rsid w:val="5E7ECB71"/>
    <w:rsid w:val="5E82BA14"/>
    <w:rsid w:val="5E8BA51B"/>
    <w:rsid w:val="5E92A749"/>
    <w:rsid w:val="5E955EAF"/>
    <w:rsid w:val="5E963276"/>
    <w:rsid w:val="5EA4182C"/>
    <w:rsid w:val="5EA691AE"/>
    <w:rsid w:val="5EA730AC"/>
    <w:rsid w:val="5EA9B3BB"/>
    <w:rsid w:val="5EAE1521"/>
    <w:rsid w:val="5EAE2BDE"/>
    <w:rsid w:val="5EAF4CB6"/>
    <w:rsid w:val="5EB1A732"/>
    <w:rsid w:val="5EB49AB9"/>
    <w:rsid w:val="5EBB40DE"/>
    <w:rsid w:val="5EBBD998"/>
    <w:rsid w:val="5EBCF733"/>
    <w:rsid w:val="5EC2B747"/>
    <w:rsid w:val="5EC2EED4"/>
    <w:rsid w:val="5EC40F42"/>
    <w:rsid w:val="5ECC0744"/>
    <w:rsid w:val="5ECD9882"/>
    <w:rsid w:val="5ED72CFB"/>
    <w:rsid w:val="5EDD8973"/>
    <w:rsid w:val="5EDDF830"/>
    <w:rsid w:val="5EDEDB99"/>
    <w:rsid w:val="5EE2EDA7"/>
    <w:rsid w:val="5EFBEFD0"/>
    <w:rsid w:val="5F0246D3"/>
    <w:rsid w:val="5F062365"/>
    <w:rsid w:val="5F0C5BF7"/>
    <w:rsid w:val="5F209959"/>
    <w:rsid w:val="5F255D4A"/>
    <w:rsid w:val="5F2FFEFA"/>
    <w:rsid w:val="5F314EBA"/>
    <w:rsid w:val="5F31BDE1"/>
    <w:rsid w:val="5F31CA8D"/>
    <w:rsid w:val="5F369EBC"/>
    <w:rsid w:val="5F36F99D"/>
    <w:rsid w:val="5F385DFA"/>
    <w:rsid w:val="5F3DFA51"/>
    <w:rsid w:val="5F43D2D9"/>
    <w:rsid w:val="5F47C037"/>
    <w:rsid w:val="5F55FE34"/>
    <w:rsid w:val="5F57E651"/>
    <w:rsid w:val="5F5B15B0"/>
    <w:rsid w:val="5F60A407"/>
    <w:rsid w:val="5F62F0FE"/>
    <w:rsid w:val="5F6EA04B"/>
    <w:rsid w:val="5F74BFFF"/>
    <w:rsid w:val="5F7BB218"/>
    <w:rsid w:val="5F7BE4D4"/>
    <w:rsid w:val="5F7FF592"/>
    <w:rsid w:val="5F8DF37F"/>
    <w:rsid w:val="5F916621"/>
    <w:rsid w:val="5F92F5DB"/>
    <w:rsid w:val="5F953C98"/>
    <w:rsid w:val="5F97C94D"/>
    <w:rsid w:val="5F9B6083"/>
    <w:rsid w:val="5FA51B5E"/>
    <w:rsid w:val="5FA86A25"/>
    <w:rsid w:val="5FAA9636"/>
    <w:rsid w:val="5FAD5A48"/>
    <w:rsid w:val="5FAE1E8B"/>
    <w:rsid w:val="5FBD65D3"/>
    <w:rsid w:val="5FC8F18B"/>
    <w:rsid w:val="5FCEB28C"/>
    <w:rsid w:val="5FD5A1FE"/>
    <w:rsid w:val="5FD5BE93"/>
    <w:rsid w:val="5FE5B593"/>
    <w:rsid w:val="5FEA1F41"/>
    <w:rsid w:val="5FEB2917"/>
    <w:rsid w:val="5FF3C117"/>
    <w:rsid w:val="5FF7FAD2"/>
    <w:rsid w:val="5FF87EB2"/>
    <w:rsid w:val="600AEC5F"/>
    <w:rsid w:val="600C3671"/>
    <w:rsid w:val="600C96EE"/>
    <w:rsid w:val="600DE724"/>
    <w:rsid w:val="600F7B51"/>
    <w:rsid w:val="60161387"/>
    <w:rsid w:val="601AA426"/>
    <w:rsid w:val="602267CB"/>
    <w:rsid w:val="60258B3C"/>
    <w:rsid w:val="60352E2E"/>
    <w:rsid w:val="6035F8A3"/>
    <w:rsid w:val="60380DBD"/>
    <w:rsid w:val="603FA2EB"/>
    <w:rsid w:val="6048D839"/>
    <w:rsid w:val="6048EBA2"/>
    <w:rsid w:val="604F5C70"/>
    <w:rsid w:val="605038CA"/>
    <w:rsid w:val="605CAA8D"/>
    <w:rsid w:val="606968AF"/>
    <w:rsid w:val="607104D1"/>
    <w:rsid w:val="60763BC8"/>
    <w:rsid w:val="60784753"/>
    <w:rsid w:val="6080B871"/>
    <w:rsid w:val="6089C6EB"/>
    <w:rsid w:val="608DD7F5"/>
    <w:rsid w:val="60924CFB"/>
    <w:rsid w:val="6093F741"/>
    <w:rsid w:val="60962F46"/>
    <w:rsid w:val="60985B30"/>
    <w:rsid w:val="60A6FD4B"/>
    <w:rsid w:val="60A74C1F"/>
    <w:rsid w:val="60A9AB2C"/>
    <w:rsid w:val="60AB06E8"/>
    <w:rsid w:val="60BD0F79"/>
    <w:rsid w:val="60C17A8E"/>
    <w:rsid w:val="60CBDBE4"/>
    <w:rsid w:val="60CC7EB9"/>
    <w:rsid w:val="60CCEBBA"/>
    <w:rsid w:val="60D6C24E"/>
    <w:rsid w:val="60E17AD2"/>
    <w:rsid w:val="60EB68C9"/>
    <w:rsid w:val="60F1AB8B"/>
    <w:rsid w:val="60FCD5BF"/>
    <w:rsid w:val="6101836D"/>
    <w:rsid w:val="6102A987"/>
    <w:rsid w:val="610999EC"/>
    <w:rsid w:val="610AC63F"/>
    <w:rsid w:val="610BCA5D"/>
    <w:rsid w:val="610E048E"/>
    <w:rsid w:val="611A608A"/>
    <w:rsid w:val="611D800C"/>
    <w:rsid w:val="611FF342"/>
    <w:rsid w:val="612C3E14"/>
    <w:rsid w:val="612F46F7"/>
    <w:rsid w:val="6134AD5C"/>
    <w:rsid w:val="6138FD66"/>
    <w:rsid w:val="613D260F"/>
    <w:rsid w:val="613F3073"/>
    <w:rsid w:val="61424D82"/>
    <w:rsid w:val="61442051"/>
    <w:rsid w:val="6144F0BD"/>
    <w:rsid w:val="614DB4D7"/>
    <w:rsid w:val="614DE880"/>
    <w:rsid w:val="61525836"/>
    <w:rsid w:val="616A6095"/>
    <w:rsid w:val="61787720"/>
    <w:rsid w:val="6178D530"/>
    <w:rsid w:val="617C2E35"/>
    <w:rsid w:val="617DD618"/>
    <w:rsid w:val="61875ED9"/>
    <w:rsid w:val="6188DC5D"/>
    <w:rsid w:val="6198E4D6"/>
    <w:rsid w:val="619FE8AD"/>
    <w:rsid w:val="61A3A01F"/>
    <w:rsid w:val="61B05656"/>
    <w:rsid w:val="61B06AC3"/>
    <w:rsid w:val="61B3F7D2"/>
    <w:rsid w:val="61BAC2ED"/>
    <w:rsid w:val="61BC180F"/>
    <w:rsid w:val="61BC75F5"/>
    <w:rsid w:val="61C6C127"/>
    <w:rsid w:val="61D0D705"/>
    <w:rsid w:val="61DB4D3E"/>
    <w:rsid w:val="61EEC525"/>
    <w:rsid w:val="61EF4F51"/>
    <w:rsid w:val="61F2CE04"/>
    <w:rsid w:val="62000AEA"/>
    <w:rsid w:val="6201ED0A"/>
    <w:rsid w:val="62083E6C"/>
    <w:rsid w:val="620D9B81"/>
    <w:rsid w:val="6210E305"/>
    <w:rsid w:val="6228B98C"/>
    <w:rsid w:val="623470C8"/>
    <w:rsid w:val="623CDFD6"/>
    <w:rsid w:val="624034F4"/>
    <w:rsid w:val="624073C8"/>
    <w:rsid w:val="6240E5C6"/>
    <w:rsid w:val="62432610"/>
    <w:rsid w:val="624CAA3D"/>
    <w:rsid w:val="625C4462"/>
    <w:rsid w:val="625DCD59"/>
    <w:rsid w:val="626B2CE1"/>
    <w:rsid w:val="62768365"/>
    <w:rsid w:val="62772E76"/>
    <w:rsid w:val="628E07BF"/>
    <w:rsid w:val="62940DC6"/>
    <w:rsid w:val="62A3DFF7"/>
    <w:rsid w:val="62AB1171"/>
    <w:rsid w:val="62ABD9FE"/>
    <w:rsid w:val="62B3E357"/>
    <w:rsid w:val="62B8D7EA"/>
    <w:rsid w:val="62BB4A1D"/>
    <w:rsid w:val="62C079DE"/>
    <w:rsid w:val="62CA5DE1"/>
    <w:rsid w:val="62CD1347"/>
    <w:rsid w:val="62CD528D"/>
    <w:rsid w:val="62CD6A6C"/>
    <w:rsid w:val="62CF2DE1"/>
    <w:rsid w:val="62D6F8F9"/>
    <w:rsid w:val="62D7B35A"/>
    <w:rsid w:val="62D871AE"/>
    <w:rsid w:val="62DAA9A1"/>
    <w:rsid w:val="62DD5F4E"/>
    <w:rsid w:val="62E32F94"/>
    <w:rsid w:val="62E4D229"/>
    <w:rsid w:val="62E5BEFF"/>
    <w:rsid w:val="62E88B8A"/>
    <w:rsid w:val="62EC5343"/>
    <w:rsid w:val="62F05946"/>
    <w:rsid w:val="62F0A705"/>
    <w:rsid w:val="62FF01B0"/>
    <w:rsid w:val="63099A21"/>
    <w:rsid w:val="630F3071"/>
    <w:rsid w:val="631A567E"/>
    <w:rsid w:val="631C26C7"/>
    <w:rsid w:val="63227C09"/>
    <w:rsid w:val="632A6B8F"/>
    <w:rsid w:val="632F410F"/>
    <w:rsid w:val="633D7DBF"/>
    <w:rsid w:val="6350DB2C"/>
    <w:rsid w:val="63550FE8"/>
    <w:rsid w:val="635F44A0"/>
    <w:rsid w:val="6373C60C"/>
    <w:rsid w:val="638F5FDF"/>
    <w:rsid w:val="6392A7E5"/>
    <w:rsid w:val="6395D07B"/>
    <w:rsid w:val="63A14F5E"/>
    <w:rsid w:val="63B79549"/>
    <w:rsid w:val="63C0D191"/>
    <w:rsid w:val="63D4C733"/>
    <w:rsid w:val="63DEB227"/>
    <w:rsid w:val="63E3E32E"/>
    <w:rsid w:val="63E7A0C1"/>
    <w:rsid w:val="63E839AA"/>
    <w:rsid w:val="63ECB3F4"/>
    <w:rsid w:val="63F139D8"/>
    <w:rsid w:val="63F29A70"/>
    <w:rsid w:val="63F2C853"/>
    <w:rsid w:val="63F9EF78"/>
    <w:rsid w:val="640755DC"/>
    <w:rsid w:val="640AB39A"/>
    <w:rsid w:val="640C32C2"/>
    <w:rsid w:val="640CE9F9"/>
    <w:rsid w:val="642C7597"/>
    <w:rsid w:val="6436E2A1"/>
    <w:rsid w:val="64381B08"/>
    <w:rsid w:val="644FD1CB"/>
    <w:rsid w:val="64527111"/>
    <w:rsid w:val="64559B63"/>
    <w:rsid w:val="64631563"/>
    <w:rsid w:val="64631E2B"/>
    <w:rsid w:val="64695485"/>
    <w:rsid w:val="647256AD"/>
    <w:rsid w:val="6476E324"/>
    <w:rsid w:val="6477D8F9"/>
    <w:rsid w:val="6477F83C"/>
    <w:rsid w:val="647BC6F0"/>
    <w:rsid w:val="6486C7A3"/>
    <w:rsid w:val="6487791D"/>
    <w:rsid w:val="649C57EE"/>
    <w:rsid w:val="649CCD87"/>
    <w:rsid w:val="64C04679"/>
    <w:rsid w:val="64C364FB"/>
    <w:rsid w:val="64C5F846"/>
    <w:rsid w:val="64CA4192"/>
    <w:rsid w:val="64CFCF7E"/>
    <w:rsid w:val="64D145D5"/>
    <w:rsid w:val="64DACB3B"/>
    <w:rsid w:val="64E17DF9"/>
    <w:rsid w:val="64EA056D"/>
    <w:rsid w:val="64EF608B"/>
    <w:rsid w:val="64F1602A"/>
    <w:rsid w:val="64F32349"/>
    <w:rsid w:val="65029696"/>
    <w:rsid w:val="6507734A"/>
    <w:rsid w:val="6508DBE2"/>
    <w:rsid w:val="6509DED2"/>
    <w:rsid w:val="6515904D"/>
    <w:rsid w:val="651958C2"/>
    <w:rsid w:val="652552A7"/>
    <w:rsid w:val="6528FC50"/>
    <w:rsid w:val="652B25B7"/>
    <w:rsid w:val="652BF841"/>
    <w:rsid w:val="653174CA"/>
    <w:rsid w:val="65520082"/>
    <w:rsid w:val="6552CDD0"/>
    <w:rsid w:val="65530DFB"/>
    <w:rsid w:val="655D2072"/>
    <w:rsid w:val="65601B5F"/>
    <w:rsid w:val="65708BFC"/>
    <w:rsid w:val="6575A6D6"/>
    <w:rsid w:val="6577CEA7"/>
    <w:rsid w:val="6582FF40"/>
    <w:rsid w:val="6592A6CB"/>
    <w:rsid w:val="659544A3"/>
    <w:rsid w:val="6596354A"/>
    <w:rsid w:val="659B3B8A"/>
    <w:rsid w:val="659C8DA7"/>
    <w:rsid w:val="659EDADB"/>
    <w:rsid w:val="659F5108"/>
    <w:rsid w:val="65B3B856"/>
    <w:rsid w:val="65B4959A"/>
    <w:rsid w:val="65BDE1F8"/>
    <w:rsid w:val="65C0CCFE"/>
    <w:rsid w:val="65C6A219"/>
    <w:rsid w:val="65C892E8"/>
    <w:rsid w:val="65CB0BC7"/>
    <w:rsid w:val="65DDC914"/>
    <w:rsid w:val="65FBDF5A"/>
    <w:rsid w:val="65FD4723"/>
    <w:rsid w:val="660F0569"/>
    <w:rsid w:val="661072A4"/>
    <w:rsid w:val="6610EF0B"/>
    <w:rsid w:val="6614E6CB"/>
    <w:rsid w:val="661D57F4"/>
    <w:rsid w:val="66225E18"/>
    <w:rsid w:val="662B98FD"/>
    <w:rsid w:val="6640E8FA"/>
    <w:rsid w:val="6644E87A"/>
    <w:rsid w:val="66461681"/>
    <w:rsid w:val="66489332"/>
    <w:rsid w:val="66507D63"/>
    <w:rsid w:val="66571CF0"/>
    <w:rsid w:val="66606C27"/>
    <w:rsid w:val="6665FB2A"/>
    <w:rsid w:val="666F4AA0"/>
    <w:rsid w:val="667DE82E"/>
    <w:rsid w:val="667EA411"/>
    <w:rsid w:val="66821121"/>
    <w:rsid w:val="668B2254"/>
    <w:rsid w:val="66949850"/>
    <w:rsid w:val="66A44021"/>
    <w:rsid w:val="66AC5133"/>
    <w:rsid w:val="66B80D1F"/>
    <w:rsid w:val="66BA2DC5"/>
    <w:rsid w:val="66BC1883"/>
    <w:rsid w:val="66BDB987"/>
    <w:rsid w:val="66C14352"/>
    <w:rsid w:val="66C1E411"/>
    <w:rsid w:val="66C7F881"/>
    <w:rsid w:val="66CCCB48"/>
    <w:rsid w:val="66D43FB4"/>
    <w:rsid w:val="66D4E719"/>
    <w:rsid w:val="66D83F6F"/>
    <w:rsid w:val="66D97517"/>
    <w:rsid w:val="66DE7454"/>
    <w:rsid w:val="66DFC19D"/>
    <w:rsid w:val="66E0A925"/>
    <w:rsid w:val="66E18089"/>
    <w:rsid w:val="66E44EDF"/>
    <w:rsid w:val="66E4FB22"/>
    <w:rsid w:val="66EAFCAE"/>
    <w:rsid w:val="66EC351C"/>
    <w:rsid w:val="66F38229"/>
    <w:rsid w:val="66F9BA9A"/>
    <w:rsid w:val="66FBA64A"/>
    <w:rsid w:val="66FCB08A"/>
    <w:rsid w:val="66FCB733"/>
    <w:rsid w:val="66FEEFDA"/>
    <w:rsid w:val="66FFC8D8"/>
    <w:rsid w:val="670365C3"/>
    <w:rsid w:val="670FA992"/>
    <w:rsid w:val="671373A2"/>
    <w:rsid w:val="67151B58"/>
    <w:rsid w:val="671723CB"/>
    <w:rsid w:val="671908B8"/>
    <w:rsid w:val="672798A5"/>
    <w:rsid w:val="6737C982"/>
    <w:rsid w:val="673ACF85"/>
    <w:rsid w:val="673C9C9A"/>
    <w:rsid w:val="673E9498"/>
    <w:rsid w:val="6742FAC2"/>
    <w:rsid w:val="67492169"/>
    <w:rsid w:val="6752A0A5"/>
    <w:rsid w:val="67583974"/>
    <w:rsid w:val="675CB5EE"/>
    <w:rsid w:val="675F54CC"/>
    <w:rsid w:val="676754DE"/>
    <w:rsid w:val="676B7553"/>
    <w:rsid w:val="676D368C"/>
    <w:rsid w:val="676DDF22"/>
    <w:rsid w:val="6777A66F"/>
    <w:rsid w:val="677C96FE"/>
    <w:rsid w:val="67823A87"/>
    <w:rsid w:val="6794DB60"/>
    <w:rsid w:val="67950111"/>
    <w:rsid w:val="6798AADE"/>
    <w:rsid w:val="67995BAD"/>
    <w:rsid w:val="67B403DF"/>
    <w:rsid w:val="67B72F9B"/>
    <w:rsid w:val="67BABC98"/>
    <w:rsid w:val="67BD6436"/>
    <w:rsid w:val="67C1F355"/>
    <w:rsid w:val="67C660CE"/>
    <w:rsid w:val="67CDEF32"/>
    <w:rsid w:val="67CF8122"/>
    <w:rsid w:val="67D13366"/>
    <w:rsid w:val="67D4910B"/>
    <w:rsid w:val="67F2025B"/>
    <w:rsid w:val="67F2612C"/>
    <w:rsid w:val="67F2ACC1"/>
    <w:rsid w:val="67F56CAD"/>
    <w:rsid w:val="67F7F5E0"/>
    <w:rsid w:val="67F91FC4"/>
    <w:rsid w:val="67FAAE0C"/>
    <w:rsid w:val="680ACB11"/>
    <w:rsid w:val="680D8509"/>
    <w:rsid w:val="680DA740"/>
    <w:rsid w:val="681385BA"/>
    <w:rsid w:val="6820EC70"/>
    <w:rsid w:val="68210513"/>
    <w:rsid w:val="68240BD9"/>
    <w:rsid w:val="6825A2BC"/>
    <w:rsid w:val="68275732"/>
    <w:rsid w:val="6837712F"/>
    <w:rsid w:val="683CD468"/>
    <w:rsid w:val="6846DE31"/>
    <w:rsid w:val="68495639"/>
    <w:rsid w:val="6854EF70"/>
    <w:rsid w:val="68596491"/>
    <w:rsid w:val="685EA691"/>
    <w:rsid w:val="68610CA4"/>
    <w:rsid w:val="68638B78"/>
    <w:rsid w:val="68679A6C"/>
    <w:rsid w:val="686B4C24"/>
    <w:rsid w:val="68710D19"/>
    <w:rsid w:val="68716029"/>
    <w:rsid w:val="687A9017"/>
    <w:rsid w:val="6888FDA7"/>
    <w:rsid w:val="6891D5EA"/>
    <w:rsid w:val="6894C862"/>
    <w:rsid w:val="689A6DC1"/>
    <w:rsid w:val="68A1F111"/>
    <w:rsid w:val="68A3991C"/>
    <w:rsid w:val="68A9B679"/>
    <w:rsid w:val="68A9BD9F"/>
    <w:rsid w:val="68AAA3B6"/>
    <w:rsid w:val="68B2DF1A"/>
    <w:rsid w:val="68C12C3D"/>
    <w:rsid w:val="68C969FB"/>
    <w:rsid w:val="68D246C3"/>
    <w:rsid w:val="68D272D1"/>
    <w:rsid w:val="68E8F311"/>
    <w:rsid w:val="68EB59AD"/>
    <w:rsid w:val="68ECBB9F"/>
    <w:rsid w:val="68F8189D"/>
    <w:rsid w:val="6901CC21"/>
    <w:rsid w:val="690281F9"/>
    <w:rsid w:val="690DEB8E"/>
    <w:rsid w:val="690F8035"/>
    <w:rsid w:val="6910D037"/>
    <w:rsid w:val="6917C702"/>
    <w:rsid w:val="691EC5F7"/>
    <w:rsid w:val="692172CE"/>
    <w:rsid w:val="6925F180"/>
    <w:rsid w:val="692BA7AF"/>
    <w:rsid w:val="692FAE91"/>
    <w:rsid w:val="69340337"/>
    <w:rsid w:val="694D2193"/>
    <w:rsid w:val="69509DF3"/>
    <w:rsid w:val="69551D43"/>
    <w:rsid w:val="69587428"/>
    <w:rsid w:val="69619DAC"/>
    <w:rsid w:val="69769805"/>
    <w:rsid w:val="697C0F6F"/>
    <w:rsid w:val="6982B635"/>
    <w:rsid w:val="6988D41F"/>
    <w:rsid w:val="698A16D9"/>
    <w:rsid w:val="698B8DC2"/>
    <w:rsid w:val="698FE7F6"/>
    <w:rsid w:val="69942019"/>
    <w:rsid w:val="699826B8"/>
    <w:rsid w:val="699A566E"/>
    <w:rsid w:val="69A235FA"/>
    <w:rsid w:val="69AC44FA"/>
    <w:rsid w:val="69B03292"/>
    <w:rsid w:val="69B8AFF0"/>
    <w:rsid w:val="69BB2453"/>
    <w:rsid w:val="69CEDEB6"/>
    <w:rsid w:val="69D731C1"/>
    <w:rsid w:val="69DAD153"/>
    <w:rsid w:val="69DB78FD"/>
    <w:rsid w:val="69DF1AB6"/>
    <w:rsid w:val="69E11033"/>
    <w:rsid w:val="69E839B8"/>
    <w:rsid w:val="69F261EF"/>
    <w:rsid w:val="69F5F86C"/>
    <w:rsid w:val="6A05F14D"/>
    <w:rsid w:val="6A08F0C3"/>
    <w:rsid w:val="6A0B9293"/>
    <w:rsid w:val="6A13EA9F"/>
    <w:rsid w:val="6A215DCA"/>
    <w:rsid w:val="6A27F01C"/>
    <w:rsid w:val="6A3F9D9C"/>
    <w:rsid w:val="6A41E580"/>
    <w:rsid w:val="6A436ACE"/>
    <w:rsid w:val="6A45C979"/>
    <w:rsid w:val="6A46767E"/>
    <w:rsid w:val="6A4F5039"/>
    <w:rsid w:val="6A597BA9"/>
    <w:rsid w:val="6A62E493"/>
    <w:rsid w:val="6A67B890"/>
    <w:rsid w:val="6A6A40A3"/>
    <w:rsid w:val="6A712F52"/>
    <w:rsid w:val="6A727976"/>
    <w:rsid w:val="6A77A5BA"/>
    <w:rsid w:val="6A79F250"/>
    <w:rsid w:val="6A7CD83B"/>
    <w:rsid w:val="6A860BB3"/>
    <w:rsid w:val="6A8BA63A"/>
    <w:rsid w:val="6A8DFADB"/>
    <w:rsid w:val="6A8E94FC"/>
    <w:rsid w:val="6A90EA99"/>
    <w:rsid w:val="6A914F82"/>
    <w:rsid w:val="6A9355D9"/>
    <w:rsid w:val="6A990DC7"/>
    <w:rsid w:val="6A99698C"/>
    <w:rsid w:val="6A9B65B0"/>
    <w:rsid w:val="6A9D8ECC"/>
    <w:rsid w:val="6A9E7737"/>
    <w:rsid w:val="6A9FAFAF"/>
    <w:rsid w:val="6AA19945"/>
    <w:rsid w:val="6AA4EB60"/>
    <w:rsid w:val="6AA6874D"/>
    <w:rsid w:val="6AAECACB"/>
    <w:rsid w:val="6ABCCF32"/>
    <w:rsid w:val="6AC0E87F"/>
    <w:rsid w:val="6AC89D8C"/>
    <w:rsid w:val="6AC90F5C"/>
    <w:rsid w:val="6ACEBD77"/>
    <w:rsid w:val="6AD4FCCA"/>
    <w:rsid w:val="6AD5550D"/>
    <w:rsid w:val="6AD9D669"/>
    <w:rsid w:val="6ADE4CA5"/>
    <w:rsid w:val="6AEFB697"/>
    <w:rsid w:val="6AF4CED1"/>
    <w:rsid w:val="6AF7B61F"/>
    <w:rsid w:val="6AFBC848"/>
    <w:rsid w:val="6B03E217"/>
    <w:rsid w:val="6B117339"/>
    <w:rsid w:val="6B1343EC"/>
    <w:rsid w:val="6B1767A9"/>
    <w:rsid w:val="6B188700"/>
    <w:rsid w:val="6B1C5279"/>
    <w:rsid w:val="6B202C4B"/>
    <w:rsid w:val="6B237D87"/>
    <w:rsid w:val="6B267158"/>
    <w:rsid w:val="6B2CC18D"/>
    <w:rsid w:val="6B3677CD"/>
    <w:rsid w:val="6B393996"/>
    <w:rsid w:val="6B3B747C"/>
    <w:rsid w:val="6B43B0B8"/>
    <w:rsid w:val="6B43C857"/>
    <w:rsid w:val="6B4FEE65"/>
    <w:rsid w:val="6B5F7B5C"/>
    <w:rsid w:val="6B640FAB"/>
    <w:rsid w:val="6B65A9BE"/>
    <w:rsid w:val="6B66B5CE"/>
    <w:rsid w:val="6B6C598F"/>
    <w:rsid w:val="6B6C5CB9"/>
    <w:rsid w:val="6B716402"/>
    <w:rsid w:val="6B71F5C8"/>
    <w:rsid w:val="6B721542"/>
    <w:rsid w:val="6B77DAED"/>
    <w:rsid w:val="6B85222E"/>
    <w:rsid w:val="6B92B318"/>
    <w:rsid w:val="6B938C2A"/>
    <w:rsid w:val="6B946986"/>
    <w:rsid w:val="6B9F6F43"/>
    <w:rsid w:val="6BA52131"/>
    <w:rsid w:val="6BA8380D"/>
    <w:rsid w:val="6BB01324"/>
    <w:rsid w:val="6BBECC58"/>
    <w:rsid w:val="6BC507CC"/>
    <w:rsid w:val="6BCAD353"/>
    <w:rsid w:val="6BCD389C"/>
    <w:rsid w:val="6BCF1719"/>
    <w:rsid w:val="6BD04D85"/>
    <w:rsid w:val="6BD384A4"/>
    <w:rsid w:val="6BD6D0D2"/>
    <w:rsid w:val="6BDA7F79"/>
    <w:rsid w:val="6C037E63"/>
    <w:rsid w:val="6C05703B"/>
    <w:rsid w:val="6C0D521F"/>
    <w:rsid w:val="6C0F9860"/>
    <w:rsid w:val="6C10BC95"/>
    <w:rsid w:val="6C1ED653"/>
    <w:rsid w:val="6C28C166"/>
    <w:rsid w:val="6C31F454"/>
    <w:rsid w:val="6C32F669"/>
    <w:rsid w:val="6C34BB94"/>
    <w:rsid w:val="6C379724"/>
    <w:rsid w:val="6C450076"/>
    <w:rsid w:val="6C513BA3"/>
    <w:rsid w:val="6C52A0B9"/>
    <w:rsid w:val="6C53E60B"/>
    <w:rsid w:val="6C551C74"/>
    <w:rsid w:val="6C5574D7"/>
    <w:rsid w:val="6C584180"/>
    <w:rsid w:val="6C5BA15E"/>
    <w:rsid w:val="6C5F5721"/>
    <w:rsid w:val="6C67E63E"/>
    <w:rsid w:val="6C6E0E75"/>
    <w:rsid w:val="6C862EE7"/>
    <w:rsid w:val="6C8F2F46"/>
    <w:rsid w:val="6C90E34B"/>
    <w:rsid w:val="6C95BCF1"/>
    <w:rsid w:val="6C9A1F8E"/>
    <w:rsid w:val="6C9A7C8D"/>
    <w:rsid w:val="6C9A7F97"/>
    <w:rsid w:val="6C9B7E2A"/>
    <w:rsid w:val="6CA232E2"/>
    <w:rsid w:val="6CA527C0"/>
    <w:rsid w:val="6CA75E4E"/>
    <w:rsid w:val="6CB0CD0A"/>
    <w:rsid w:val="6CB3FAED"/>
    <w:rsid w:val="6CBAB616"/>
    <w:rsid w:val="6CC4E4DA"/>
    <w:rsid w:val="6CC7E677"/>
    <w:rsid w:val="6CCAF791"/>
    <w:rsid w:val="6CCC400C"/>
    <w:rsid w:val="6CD44191"/>
    <w:rsid w:val="6CD56009"/>
    <w:rsid w:val="6CD72856"/>
    <w:rsid w:val="6CDB2DBB"/>
    <w:rsid w:val="6CDB857C"/>
    <w:rsid w:val="6CDC3D2C"/>
    <w:rsid w:val="6CE1FB44"/>
    <w:rsid w:val="6CEB551C"/>
    <w:rsid w:val="6CF7AE23"/>
    <w:rsid w:val="6CF7B01E"/>
    <w:rsid w:val="6D061074"/>
    <w:rsid w:val="6D0CC26B"/>
    <w:rsid w:val="6D0E0A83"/>
    <w:rsid w:val="6D0FF75D"/>
    <w:rsid w:val="6D1171E6"/>
    <w:rsid w:val="6D12BA52"/>
    <w:rsid w:val="6D145E0B"/>
    <w:rsid w:val="6D16FB1B"/>
    <w:rsid w:val="6D17FCFC"/>
    <w:rsid w:val="6D1AB344"/>
    <w:rsid w:val="6D1E5E93"/>
    <w:rsid w:val="6D214B9D"/>
    <w:rsid w:val="6D27FBB5"/>
    <w:rsid w:val="6D28DA37"/>
    <w:rsid w:val="6D345233"/>
    <w:rsid w:val="6D3B1BC7"/>
    <w:rsid w:val="6D3E72B9"/>
    <w:rsid w:val="6D4D545C"/>
    <w:rsid w:val="6D52D8BF"/>
    <w:rsid w:val="6D58B982"/>
    <w:rsid w:val="6D5C9972"/>
    <w:rsid w:val="6D64F5DE"/>
    <w:rsid w:val="6D6AFDDC"/>
    <w:rsid w:val="6D6FB0A0"/>
    <w:rsid w:val="6D71AD49"/>
    <w:rsid w:val="6D72A60C"/>
    <w:rsid w:val="6D745530"/>
    <w:rsid w:val="6D86C70B"/>
    <w:rsid w:val="6D8DB5A1"/>
    <w:rsid w:val="6D9217EE"/>
    <w:rsid w:val="6D9B1194"/>
    <w:rsid w:val="6DA490ED"/>
    <w:rsid w:val="6DAFA7AC"/>
    <w:rsid w:val="6DC38743"/>
    <w:rsid w:val="6DC58678"/>
    <w:rsid w:val="6DD53C8A"/>
    <w:rsid w:val="6DDB2DA2"/>
    <w:rsid w:val="6DE8E8F9"/>
    <w:rsid w:val="6DE934FE"/>
    <w:rsid w:val="6DFEA459"/>
    <w:rsid w:val="6E0234FE"/>
    <w:rsid w:val="6E0A9158"/>
    <w:rsid w:val="6E0E58EA"/>
    <w:rsid w:val="6E146CC4"/>
    <w:rsid w:val="6E174D6D"/>
    <w:rsid w:val="6E1998B6"/>
    <w:rsid w:val="6E2649B6"/>
    <w:rsid w:val="6E32E7EB"/>
    <w:rsid w:val="6E35D0DB"/>
    <w:rsid w:val="6E362E0F"/>
    <w:rsid w:val="6E3AAE7A"/>
    <w:rsid w:val="6E3D291F"/>
    <w:rsid w:val="6E4853E0"/>
    <w:rsid w:val="6E4A34C4"/>
    <w:rsid w:val="6E5558BE"/>
    <w:rsid w:val="6E559F96"/>
    <w:rsid w:val="6E5C5754"/>
    <w:rsid w:val="6E69839B"/>
    <w:rsid w:val="6E6D984E"/>
    <w:rsid w:val="6E70626B"/>
    <w:rsid w:val="6E72E59F"/>
    <w:rsid w:val="6E7601A5"/>
    <w:rsid w:val="6E76E489"/>
    <w:rsid w:val="6E7887C8"/>
    <w:rsid w:val="6E79C9FD"/>
    <w:rsid w:val="6E7CFBE2"/>
    <w:rsid w:val="6E7F81E9"/>
    <w:rsid w:val="6E8566B4"/>
    <w:rsid w:val="6E89E083"/>
    <w:rsid w:val="6E8C391A"/>
    <w:rsid w:val="6E92EB7E"/>
    <w:rsid w:val="6E9C950E"/>
    <w:rsid w:val="6E9D34B1"/>
    <w:rsid w:val="6EA64016"/>
    <w:rsid w:val="6EB36497"/>
    <w:rsid w:val="6EB52903"/>
    <w:rsid w:val="6EC19DBD"/>
    <w:rsid w:val="6EC7B8C2"/>
    <w:rsid w:val="6ECF774F"/>
    <w:rsid w:val="6EDBC3C6"/>
    <w:rsid w:val="6EDC4EC8"/>
    <w:rsid w:val="6EE3773E"/>
    <w:rsid w:val="6EE3B75C"/>
    <w:rsid w:val="6EE88C96"/>
    <w:rsid w:val="6EE8F364"/>
    <w:rsid w:val="6EED9627"/>
    <w:rsid w:val="6EEF9271"/>
    <w:rsid w:val="6EF15606"/>
    <w:rsid w:val="6EF22118"/>
    <w:rsid w:val="6EFAED57"/>
    <w:rsid w:val="6F017C5E"/>
    <w:rsid w:val="6F01CF96"/>
    <w:rsid w:val="6F060694"/>
    <w:rsid w:val="6F0AC669"/>
    <w:rsid w:val="6F0EA0E4"/>
    <w:rsid w:val="6F213D4F"/>
    <w:rsid w:val="6F224485"/>
    <w:rsid w:val="6F231BDD"/>
    <w:rsid w:val="6F2A16E2"/>
    <w:rsid w:val="6F309228"/>
    <w:rsid w:val="6F3258C7"/>
    <w:rsid w:val="6F3455AC"/>
    <w:rsid w:val="6F39C94C"/>
    <w:rsid w:val="6F4E8C9D"/>
    <w:rsid w:val="6F5AE25D"/>
    <w:rsid w:val="6F613656"/>
    <w:rsid w:val="6F66948F"/>
    <w:rsid w:val="6F697EB3"/>
    <w:rsid w:val="6F798415"/>
    <w:rsid w:val="6F79CD8B"/>
    <w:rsid w:val="6F8B8C9E"/>
    <w:rsid w:val="6F97D237"/>
    <w:rsid w:val="6FA3AA76"/>
    <w:rsid w:val="6FA4E9C5"/>
    <w:rsid w:val="6FA638B7"/>
    <w:rsid w:val="6FA640C2"/>
    <w:rsid w:val="6FAD1124"/>
    <w:rsid w:val="6FAD2BB7"/>
    <w:rsid w:val="6FB050F2"/>
    <w:rsid w:val="6FB5AA78"/>
    <w:rsid w:val="6FB95B77"/>
    <w:rsid w:val="6FB98E61"/>
    <w:rsid w:val="6FC665D1"/>
    <w:rsid w:val="6FCD84A5"/>
    <w:rsid w:val="6FD075EF"/>
    <w:rsid w:val="6FD29E5A"/>
    <w:rsid w:val="6FD3E69F"/>
    <w:rsid w:val="6FD9AC0F"/>
    <w:rsid w:val="6FDB2E7B"/>
    <w:rsid w:val="6FDD26A5"/>
    <w:rsid w:val="6FDF3648"/>
    <w:rsid w:val="6FDF4BCE"/>
    <w:rsid w:val="6FE2D537"/>
    <w:rsid w:val="6FE6ACF8"/>
    <w:rsid w:val="6FEAE692"/>
    <w:rsid w:val="6FECB548"/>
    <w:rsid w:val="6FF008B9"/>
    <w:rsid w:val="6FF2BCEA"/>
    <w:rsid w:val="6FFF8D57"/>
    <w:rsid w:val="70051DE3"/>
    <w:rsid w:val="70064B8A"/>
    <w:rsid w:val="70090045"/>
    <w:rsid w:val="70094E06"/>
    <w:rsid w:val="700B44B6"/>
    <w:rsid w:val="701DE628"/>
    <w:rsid w:val="701E3B8B"/>
    <w:rsid w:val="7025BD84"/>
    <w:rsid w:val="702959BF"/>
    <w:rsid w:val="7031AC31"/>
    <w:rsid w:val="70327F65"/>
    <w:rsid w:val="703788EA"/>
    <w:rsid w:val="7039A137"/>
    <w:rsid w:val="703E9BF2"/>
    <w:rsid w:val="704507E0"/>
    <w:rsid w:val="70555928"/>
    <w:rsid w:val="7060329A"/>
    <w:rsid w:val="706D890F"/>
    <w:rsid w:val="7073045D"/>
    <w:rsid w:val="7073B7D7"/>
    <w:rsid w:val="7076DF6F"/>
    <w:rsid w:val="707936A1"/>
    <w:rsid w:val="70853413"/>
    <w:rsid w:val="70860067"/>
    <w:rsid w:val="70868E99"/>
    <w:rsid w:val="708ADE78"/>
    <w:rsid w:val="708DC29F"/>
    <w:rsid w:val="70921048"/>
    <w:rsid w:val="70932043"/>
    <w:rsid w:val="70952EE9"/>
    <w:rsid w:val="70BE0902"/>
    <w:rsid w:val="70C5C9A4"/>
    <w:rsid w:val="70CE29EA"/>
    <w:rsid w:val="70DE8329"/>
    <w:rsid w:val="70E4CE56"/>
    <w:rsid w:val="70E583E8"/>
    <w:rsid w:val="70EA0384"/>
    <w:rsid w:val="70F1B25E"/>
    <w:rsid w:val="70F68A0D"/>
    <w:rsid w:val="70F9901B"/>
    <w:rsid w:val="7102AE0F"/>
    <w:rsid w:val="7115E325"/>
    <w:rsid w:val="711C60C9"/>
    <w:rsid w:val="7122F56F"/>
    <w:rsid w:val="7124F597"/>
    <w:rsid w:val="713286A5"/>
    <w:rsid w:val="71440FE8"/>
    <w:rsid w:val="71457EF8"/>
    <w:rsid w:val="7146A48B"/>
    <w:rsid w:val="71492895"/>
    <w:rsid w:val="71496F55"/>
    <w:rsid w:val="714E56F5"/>
    <w:rsid w:val="715D3989"/>
    <w:rsid w:val="715D9E44"/>
    <w:rsid w:val="715F3962"/>
    <w:rsid w:val="7162CF61"/>
    <w:rsid w:val="716423E9"/>
    <w:rsid w:val="7166CD53"/>
    <w:rsid w:val="7170BF11"/>
    <w:rsid w:val="7177ECFF"/>
    <w:rsid w:val="71786AE4"/>
    <w:rsid w:val="718AD4C6"/>
    <w:rsid w:val="718F40C6"/>
    <w:rsid w:val="71927FC2"/>
    <w:rsid w:val="7197E60F"/>
    <w:rsid w:val="71981F57"/>
    <w:rsid w:val="71A0A1BF"/>
    <w:rsid w:val="71A5A6D4"/>
    <w:rsid w:val="71AF2BCD"/>
    <w:rsid w:val="71B1BE4D"/>
    <w:rsid w:val="71B62E05"/>
    <w:rsid w:val="71CC7C8C"/>
    <w:rsid w:val="71CDE3FD"/>
    <w:rsid w:val="71D26CEC"/>
    <w:rsid w:val="71D4850A"/>
    <w:rsid w:val="71D9CE24"/>
    <w:rsid w:val="71DC1308"/>
    <w:rsid w:val="71E07EE2"/>
    <w:rsid w:val="71E5D748"/>
    <w:rsid w:val="71E9B835"/>
    <w:rsid w:val="7210F677"/>
    <w:rsid w:val="72128234"/>
    <w:rsid w:val="721DB145"/>
    <w:rsid w:val="7229E1CC"/>
    <w:rsid w:val="722DC560"/>
    <w:rsid w:val="723826EE"/>
    <w:rsid w:val="7238BCFC"/>
    <w:rsid w:val="723FBC4D"/>
    <w:rsid w:val="724378DE"/>
    <w:rsid w:val="72571AA6"/>
    <w:rsid w:val="7259C385"/>
    <w:rsid w:val="72604269"/>
    <w:rsid w:val="726F3E4B"/>
    <w:rsid w:val="727248E8"/>
    <w:rsid w:val="727CF168"/>
    <w:rsid w:val="727DFE5A"/>
    <w:rsid w:val="728BD6D7"/>
    <w:rsid w:val="7294EF9A"/>
    <w:rsid w:val="729C40AB"/>
    <w:rsid w:val="72A920A0"/>
    <w:rsid w:val="72ADE198"/>
    <w:rsid w:val="72B83054"/>
    <w:rsid w:val="72BB36A5"/>
    <w:rsid w:val="72BB50B6"/>
    <w:rsid w:val="72BDC718"/>
    <w:rsid w:val="72C363E7"/>
    <w:rsid w:val="72C5D21A"/>
    <w:rsid w:val="72CCC954"/>
    <w:rsid w:val="72D5620C"/>
    <w:rsid w:val="72D7F414"/>
    <w:rsid w:val="72D9E642"/>
    <w:rsid w:val="72E42E27"/>
    <w:rsid w:val="72F45F18"/>
    <w:rsid w:val="72F62617"/>
    <w:rsid w:val="72F755DC"/>
    <w:rsid w:val="72FBD790"/>
    <w:rsid w:val="73042181"/>
    <w:rsid w:val="73049BF5"/>
    <w:rsid w:val="730E8980"/>
    <w:rsid w:val="730ECC4E"/>
    <w:rsid w:val="730F0809"/>
    <w:rsid w:val="73130655"/>
    <w:rsid w:val="731956EF"/>
    <w:rsid w:val="7319CFCB"/>
    <w:rsid w:val="7327827F"/>
    <w:rsid w:val="732C7033"/>
    <w:rsid w:val="73326151"/>
    <w:rsid w:val="733A0F67"/>
    <w:rsid w:val="733DAEF4"/>
    <w:rsid w:val="7341AFDD"/>
    <w:rsid w:val="734649DD"/>
    <w:rsid w:val="734FE778"/>
    <w:rsid w:val="735463D2"/>
    <w:rsid w:val="7354C7B7"/>
    <w:rsid w:val="73593330"/>
    <w:rsid w:val="7360E892"/>
    <w:rsid w:val="73733DEC"/>
    <w:rsid w:val="7383826D"/>
    <w:rsid w:val="7395C70C"/>
    <w:rsid w:val="739627A1"/>
    <w:rsid w:val="73A059FB"/>
    <w:rsid w:val="73A515DB"/>
    <w:rsid w:val="73A5CC21"/>
    <w:rsid w:val="73A6889B"/>
    <w:rsid w:val="73B4C40B"/>
    <w:rsid w:val="73B4EBC4"/>
    <w:rsid w:val="73B929E6"/>
    <w:rsid w:val="73BFB31A"/>
    <w:rsid w:val="73C8597D"/>
    <w:rsid w:val="73CD89EA"/>
    <w:rsid w:val="73DD52B4"/>
    <w:rsid w:val="73E4E881"/>
    <w:rsid w:val="73EA96F1"/>
    <w:rsid w:val="73EF136A"/>
    <w:rsid w:val="73F19892"/>
    <w:rsid w:val="73FBA936"/>
    <w:rsid w:val="74003FA6"/>
    <w:rsid w:val="740293DB"/>
    <w:rsid w:val="7404C355"/>
    <w:rsid w:val="7405722A"/>
    <w:rsid w:val="7407D0D3"/>
    <w:rsid w:val="742C8DA5"/>
    <w:rsid w:val="743D544A"/>
    <w:rsid w:val="7442BFE4"/>
    <w:rsid w:val="744365CC"/>
    <w:rsid w:val="744742FB"/>
    <w:rsid w:val="744CA387"/>
    <w:rsid w:val="744E54FC"/>
    <w:rsid w:val="744E6B68"/>
    <w:rsid w:val="744FF444"/>
    <w:rsid w:val="7478472F"/>
    <w:rsid w:val="748B5ADE"/>
    <w:rsid w:val="748DD2F4"/>
    <w:rsid w:val="7490A3D0"/>
    <w:rsid w:val="749266A7"/>
    <w:rsid w:val="749E2197"/>
    <w:rsid w:val="749F418E"/>
    <w:rsid w:val="74A4AD8F"/>
    <w:rsid w:val="74A6FACE"/>
    <w:rsid w:val="74ACD173"/>
    <w:rsid w:val="74AEB3D2"/>
    <w:rsid w:val="74BA301B"/>
    <w:rsid w:val="74BA9CDA"/>
    <w:rsid w:val="74BDFE25"/>
    <w:rsid w:val="74CBD98C"/>
    <w:rsid w:val="74CD9623"/>
    <w:rsid w:val="74D3EDD8"/>
    <w:rsid w:val="74D7C02E"/>
    <w:rsid w:val="74F89ABC"/>
    <w:rsid w:val="74FAE469"/>
    <w:rsid w:val="74FBC6EB"/>
    <w:rsid w:val="74FE7489"/>
    <w:rsid w:val="75007A05"/>
    <w:rsid w:val="7505A835"/>
    <w:rsid w:val="751494A2"/>
    <w:rsid w:val="751650BD"/>
    <w:rsid w:val="751ECAD4"/>
    <w:rsid w:val="752EE336"/>
    <w:rsid w:val="753DE01F"/>
    <w:rsid w:val="75422F4A"/>
    <w:rsid w:val="7542D8B1"/>
    <w:rsid w:val="754FAD84"/>
    <w:rsid w:val="7553CD5B"/>
    <w:rsid w:val="7558D93A"/>
    <w:rsid w:val="755B46DF"/>
    <w:rsid w:val="755E2685"/>
    <w:rsid w:val="7567532E"/>
    <w:rsid w:val="756939BC"/>
    <w:rsid w:val="756AD140"/>
    <w:rsid w:val="757827C0"/>
    <w:rsid w:val="7578C3F4"/>
    <w:rsid w:val="7584C4DF"/>
    <w:rsid w:val="7588C0AC"/>
    <w:rsid w:val="75913D2F"/>
    <w:rsid w:val="75940D94"/>
    <w:rsid w:val="75963B96"/>
    <w:rsid w:val="75993408"/>
    <w:rsid w:val="759E1C8F"/>
    <w:rsid w:val="75A11500"/>
    <w:rsid w:val="75A3A890"/>
    <w:rsid w:val="75A3B425"/>
    <w:rsid w:val="75ADA683"/>
    <w:rsid w:val="75B3A51F"/>
    <w:rsid w:val="75B559B9"/>
    <w:rsid w:val="75B56333"/>
    <w:rsid w:val="75B66F78"/>
    <w:rsid w:val="75B68718"/>
    <w:rsid w:val="75B9F395"/>
    <w:rsid w:val="75BBCC05"/>
    <w:rsid w:val="75C447CA"/>
    <w:rsid w:val="75CAF846"/>
    <w:rsid w:val="75CE831C"/>
    <w:rsid w:val="75D65CAF"/>
    <w:rsid w:val="75DB1841"/>
    <w:rsid w:val="75DED1A0"/>
    <w:rsid w:val="75E32609"/>
    <w:rsid w:val="75E3CB90"/>
    <w:rsid w:val="75E4A539"/>
    <w:rsid w:val="75E727E0"/>
    <w:rsid w:val="75E8B177"/>
    <w:rsid w:val="75EC94C6"/>
    <w:rsid w:val="75F54AC6"/>
    <w:rsid w:val="760552CE"/>
    <w:rsid w:val="760671BE"/>
    <w:rsid w:val="760F4FCB"/>
    <w:rsid w:val="7613D6F5"/>
    <w:rsid w:val="761831DF"/>
    <w:rsid w:val="761CA489"/>
    <w:rsid w:val="76287881"/>
    <w:rsid w:val="7645AC3D"/>
    <w:rsid w:val="76476CFD"/>
    <w:rsid w:val="764C3F48"/>
    <w:rsid w:val="76511DA3"/>
    <w:rsid w:val="7653800F"/>
    <w:rsid w:val="7654F006"/>
    <w:rsid w:val="76550034"/>
    <w:rsid w:val="765A5AE9"/>
    <w:rsid w:val="765DC500"/>
    <w:rsid w:val="766A34B7"/>
    <w:rsid w:val="766C032D"/>
    <w:rsid w:val="766EDDEE"/>
    <w:rsid w:val="7671A7FA"/>
    <w:rsid w:val="7674D5DA"/>
    <w:rsid w:val="7677164A"/>
    <w:rsid w:val="7677C9EF"/>
    <w:rsid w:val="76787E3A"/>
    <w:rsid w:val="767930DE"/>
    <w:rsid w:val="768374C4"/>
    <w:rsid w:val="7683E609"/>
    <w:rsid w:val="76856B41"/>
    <w:rsid w:val="76867948"/>
    <w:rsid w:val="7686FF74"/>
    <w:rsid w:val="7688EA14"/>
    <w:rsid w:val="768D8834"/>
    <w:rsid w:val="76903FA1"/>
    <w:rsid w:val="769A2730"/>
    <w:rsid w:val="769D103E"/>
    <w:rsid w:val="76A17FD2"/>
    <w:rsid w:val="76A5812F"/>
    <w:rsid w:val="76A7CED4"/>
    <w:rsid w:val="76A8B349"/>
    <w:rsid w:val="76AB51FD"/>
    <w:rsid w:val="76AF19CE"/>
    <w:rsid w:val="76C104C0"/>
    <w:rsid w:val="76CDCA30"/>
    <w:rsid w:val="76D0BDB4"/>
    <w:rsid w:val="76D3AAE8"/>
    <w:rsid w:val="76D5CCBD"/>
    <w:rsid w:val="76DB7D5A"/>
    <w:rsid w:val="76E9E495"/>
    <w:rsid w:val="76EE4138"/>
    <w:rsid w:val="76F60D22"/>
    <w:rsid w:val="76F76FD6"/>
    <w:rsid w:val="7700FB26"/>
    <w:rsid w:val="77057A1F"/>
    <w:rsid w:val="7711BF30"/>
    <w:rsid w:val="7713E120"/>
    <w:rsid w:val="771ABB17"/>
    <w:rsid w:val="7727DF64"/>
    <w:rsid w:val="772CE0C6"/>
    <w:rsid w:val="77359482"/>
    <w:rsid w:val="7736939F"/>
    <w:rsid w:val="7737D861"/>
    <w:rsid w:val="77393C9E"/>
    <w:rsid w:val="7739C635"/>
    <w:rsid w:val="774CD40E"/>
    <w:rsid w:val="7752B2C4"/>
    <w:rsid w:val="7752CD01"/>
    <w:rsid w:val="7757563C"/>
    <w:rsid w:val="775E3F39"/>
    <w:rsid w:val="775EC29D"/>
    <w:rsid w:val="77677471"/>
    <w:rsid w:val="776791EB"/>
    <w:rsid w:val="777ECFBA"/>
    <w:rsid w:val="777F6B12"/>
    <w:rsid w:val="7781F192"/>
    <w:rsid w:val="778B3D97"/>
    <w:rsid w:val="77A57A5D"/>
    <w:rsid w:val="77A7237F"/>
    <w:rsid w:val="77B026A4"/>
    <w:rsid w:val="77C92153"/>
    <w:rsid w:val="77D27E7C"/>
    <w:rsid w:val="77D3FF30"/>
    <w:rsid w:val="77DBE96A"/>
    <w:rsid w:val="77DEAB12"/>
    <w:rsid w:val="77F2C0AE"/>
    <w:rsid w:val="77F75FC0"/>
    <w:rsid w:val="77FC61F4"/>
    <w:rsid w:val="78079080"/>
    <w:rsid w:val="780DA115"/>
    <w:rsid w:val="780E6571"/>
    <w:rsid w:val="780ECDA3"/>
    <w:rsid w:val="7814F2C2"/>
    <w:rsid w:val="78213EFC"/>
    <w:rsid w:val="782A6027"/>
    <w:rsid w:val="782F14F9"/>
    <w:rsid w:val="783768CA"/>
    <w:rsid w:val="78491731"/>
    <w:rsid w:val="784D1F26"/>
    <w:rsid w:val="785052F0"/>
    <w:rsid w:val="7857A321"/>
    <w:rsid w:val="7859AACC"/>
    <w:rsid w:val="785A466F"/>
    <w:rsid w:val="785B43BC"/>
    <w:rsid w:val="7869663C"/>
    <w:rsid w:val="786A9CCC"/>
    <w:rsid w:val="7871CC54"/>
    <w:rsid w:val="78780EC4"/>
    <w:rsid w:val="787D0FDB"/>
    <w:rsid w:val="787D6967"/>
    <w:rsid w:val="7887A5FD"/>
    <w:rsid w:val="788B85E9"/>
    <w:rsid w:val="788C7B26"/>
    <w:rsid w:val="78921A68"/>
    <w:rsid w:val="7896D771"/>
    <w:rsid w:val="78A16729"/>
    <w:rsid w:val="78A38E9C"/>
    <w:rsid w:val="78AA6F2B"/>
    <w:rsid w:val="78B20E35"/>
    <w:rsid w:val="78B5D872"/>
    <w:rsid w:val="78C09B02"/>
    <w:rsid w:val="78C3E453"/>
    <w:rsid w:val="78C674ED"/>
    <w:rsid w:val="78C94DCE"/>
    <w:rsid w:val="78D1D3A9"/>
    <w:rsid w:val="78DCD4BC"/>
    <w:rsid w:val="78E3166E"/>
    <w:rsid w:val="78F73AC7"/>
    <w:rsid w:val="78FD7AA9"/>
    <w:rsid w:val="78FE07B7"/>
    <w:rsid w:val="79028641"/>
    <w:rsid w:val="79061BCE"/>
    <w:rsid w:val="7906B75F"/>
    <w:rsid w:val="7909FF94"/>
    <w:rsid w:val="79126CF4"/>
    <w:rsid w:val="7913C825"/>
    <w:rsid w:val="7917FBC1"/>
    <w:rsid w:val="791D1C16"/>
    <w:rsid w:val="791E343E"/>
    <w:rsid w:val="79291B52"/>
    <w:rsid w:val="792BFE77"/>
    <w:rsid w:val="7934B15F"/>
    <w:rsid w:val="7937E974"/>
    <w:rsid w:val="793AE397"/>
    <w:rsid w:val="794397A0"/>
    <w:rsid w:val="7948E546"/>
    <w:rsid w:val="794C2F8C"/>
    <w:rsid w:val="794D8006"/>
    <w:rsid w:val="794EFEA6"/>
    <w:rsid w:val="7957900F"/>
    <w:rsid w:val="79620775"/>
    <w:rsid w:val="79663960"/>
    <w:rsid w:val="79760607"/>
    <w:rsid w:val="79813AF8"/>
    <w:rsid w:val="798293FC"/>
    <w:rsid w:val="7983D28A"/>
    <w:rsid w:val="79852E86"/>
    <w:rsid w:val="798D5B76"/>
    <w:rsid w:val="79936023"/>
    <w:rsid w:val="799C5F6E"/>
    <w:rsid w:val="799C62E6"/>
    <w:rsid w:val="79A3B367"/>
    <w:rsid w:val="79A3BC52"/>
    <w:rsid w:val="79B0F238"/>
    <w:rsid w:val="79BA0181"/>
    <w:rsid w:val="79D97C38"/>
    <w:rsid w:val="79E17E24"/>
    <w:rsid w:val="79E8D542"/>
    <w:rsid w:val="79F2701E"/>
    <w:rsid w:val="79FCF778"/>
    <w:rsid w:val="79FDCB74"/>
    <w:rsid w:val="79FF5B66"/>
    <w:rsid w:val="7A093324"/>
    <w:rsid w:val="7A0BAA34"/>
    <w:rsid w:val="7A10B684"/>
    <w:rsid w:val="7A2DEB09"/>
    <w:rsid w:val="7A30420B"/>
    <w:rsid w:val="7A34C492"/>
    <w:rsid w:val="7A35D50A"/>
    <w:rsid w:val="7A37C88B"/>
    <w:rsid w:val="7A3C7559"/>
    <w:rsid w:val="7A4300D0"/>
    <w:rsid w:val="7A4627D5"/>
    <w:rsid w:val="7A503096"/>
    <w:rsid w:val="7A532775"/>
    <w:rsid w:val="7A657911"/>
    <w:rsid w:val="7A6C2AF1"/>
    <w:rsid w:val="7A7901A7"/>
    <w:rsid w:val="7A7FE1A0"/>
    <w:rsid w:val="7A85AE5C"/>
    <w:rsid w:val="7A92234E"/>
    <w:rsid w:val="7A95F6A1"/>
    <w:rsid w:val="7A9ED16D"/>
    <w:rsid w:val="7AA22F87"/>
    <w:rsid w:val="7AA522BE"/>
    <w:rsid w:val="7AA64016"/>
    <w:rsid w:val="7AA93587"/>
    <w:rsid w:val="7AB7F3EA"/>
    <w:rsid w:val="7AB80A9D"/>
    <w:rsid w:val="7AB934B7"/>
    <w:rsid w:val="7ABA6D00"/>
    <w:rsid w:val="7AC46A0A"/>
    <w:rsid w:val="7ACAAF60"/>
    <w:rsid w:val="7ACDD6E3"/>
    <w:rsid w:val="7AD0D7D0"/>
    <w:rsid w:val="7AD1D985"/>
    <w:rsid w:val="7ADEE257"/>
    <w:rsid w:val="7AE42737"/>
    <w:rsid w:val="7AE7A6BF"/>
    <w:rsid w:val="7AEEEF5A"/>
    <w:rsid w:val="7AEF6A6A"/>
    <w:rsid w:val="7B01E3B7"/>
    <w:rsid w:val="7B18959A"/>
    <w:rsid w:val="7B1A20BF"/>
    <w:rsid w:val="7B1B6219"/>
    <w:rsid w:val="7B222A93"/>
    <w:rsid w:val="7B2AA013"/>
    <w:rsid w:val="7B2FEBB9"/>
    <w:rsid w:val="7B32190F"/>
    <w:rsid w:val="7B334153"/>
    <w:rsid w:val="7B3A15BB"/>
    <w:rsid w:val="7B481448"/>
    <w:rsid w:val="7B5337D5"/>
    <w:rsid w:val="7B5A13EF"/>
    <w:rsid w:val="7B5AA929"/>
    <w:rsid w:val="7B75FC3A"/>
    <w:rsid w:val="7B78E36D"/>
    <w:rsid w:val="7B881D90"/>
    <w:rsid w:val="7B90A764"/>
    <w:rsid w:val="7B90AA45"/>
    <w:rsid w:val="7B91F24E"/>
    <w:rsid w:val="7B93D39D"/>
    <w:rsid w:val="7B9777AB"/>
    <w:rsid w:val="7B9785B2"/>
    <w:rsid w:val="7B9D5868"/>
    <w:rsid w:val="7BA6530C"/>
    <w:rsid w:val="7BB4DAD2"/>
    <w:rsid w:val="7BB6892B"/>
    <w:rsid w:val="7BC26DBE"/>
    <w:rsid w:val="7BD1E357"/>
    <w:rsid w:val="7BD30E70"/>
    <w:rsid w:val="7BD6BE72"/>
    <w:rsid w:val="7BDE6377"/>
    <w:rsid w:val="7BE2AF57"/>
    <w:rsid w:val="7BE31D4A"/>
    <w:rsid w:val="7BF5DA89"/>
    <w:rsid w:val="7BFDF1C6"/>
    <w:rsid w:val="7C14B217"/>
    <w:rsid w:val="7C245B13"/>
    <w:rsid w:val="7C2C7B3C"/>
    <w:rsid w:val="7C2EDDE1"/>
    <w:rsid w:val="7C3AAD63"/>
    <w:rsid w:val="7C3B50B3"/>
    <w:rsid w:val="7C5F59A3"/>
    <w:rsid w:val="7C6BC3CF"/>
    <w:rsid w:val="7C6CC5B7"/>
    <w:rsid w:val="7C6FB089"/>
    <w:rsid w:val="7C700D2D"/>
    <w:rsid w:val="7C713DDB"/>
    <w:rsid w:val="7C722BDE"/>
    <w:rsid w:val="7C73FF78"/>
    <w:rsid w:val="7C7C9D0E"/>
    <w:rsid w:val="7C838DE4"/>
    <w:rsid w:val="7C83BFDD"/>
    <w:rsid w:val="7C8ADB8E"/>
    <w:rsid w:val="7C96F4DA"/>
    <w:rsid w:val="7C9A4870"/>
    <w:rsid w:val="7C9AD71E"/>
    <w:rsid w:val="7C9D0D1F"/>
    <w:rsid w:val="7CA2A117"/>
    <w:rsid w:val="7CA4C0BC"/>
    <w:rsid w:val="7CB0DF40"/>
    <w:rsid w:val="7CB68FD1"/>
    <w:rsid w:val="7CBD54A6"/>
    <w:rsid w:val="7CC4AA0B"/>
    <w:rsid w:val="7CE088A0"/>
    <w:rsid w:val="7CE24BF1"/>
    <w:rsid w:val="7CE6ECC6"/>
    <w:rsid w:val="7CE9ECE7"/>
    <w:rsid w:val="7CEA846D"/>
    <w:rsid w:val="7CEAB277"/>
    <w:rsid w:val="7CEC60FB"/>
    <w:rsid w:val="7CED8836"/>
    <w:rsid w:val="7CEEFFE8"/>
    <w:rsid w:val="7D086D01"/>
    <w:rsid w:val="7D0F1590"/>
    <w:rsid w:val="7D10EDCB"/>
    <w:rsid w:val="7D138B9D"/>
    <w:rsid w:val="7D14AA89"/>
    <w:rsid w:val="7D186078"/>
    <w:rsid w:val="7D22FCBC"/>
    <w:rsid w:val="7D321247"/>
    <w:rsid w:val="7D373CCF"/>
    <w:rsid w:val="7D3903A2"/>
    <w:rsid w:val="7D3F2CE8"/>
    <w:rsid w:val="7D40559E"/>
    <w:rsid w:val="7D40B8CE"/>
    <w:rsid w:val="7D4154AE"/>
    <w:rsid w:val="7D416162"/>
    <w:rsid w:val="7D431382"/>
    <w:rsid w:val="7D4409FC"/>
    <w:rsid w:val="7D4EA014"/>
    <w:rsid w:val="7D528231"/>
    <w:rsid w:val="7D594863"/>
    <w:rsid w:val="7D5D6E84"/>
    <w:rsid w:val="7D68C2C1"/>
    <w:rsid w:val="7D69DD6F"/>
    <w:rsid w:val="7D69E542"/>
    <w:rsid w:val="7D6D65AB"/>
    <w:rsid w:val="7D6DEA29"/>
    <w:rsid w:val="7D753873"/>
    <w:rsid w:val="7D778267"/>
    <w:rsid w:val="7D86C01F"/>
    <w:rsid w:val="7D931A06"/>
    <w:rsid w:val="7D9A7864"/>
    <w:rsid w:val="7D9D7E5C"/>
    <w:rsid w:val="7D9F9B32"/>
    <w:rsid w:val="7DA891FB"/>
    <w:rsid w:val="7DAE096D"/>
    <w:rsid w:val="7DAE949D"/>
    <w:rsid w:val="7DAEBBF7"/>
    <w:rsid w:val="7DAF450B"/>
    <w:rsid w:val="7DB0C9D4"/>
    <w:rsid w:val="7DB179CD"/>
    <w:rsid w:val="7DB187B8"/>
    <w:rsid w:val="7DC0BA77"/>
    <w:rsid w:val="7DC3DD45"/>
    <w:rsid w:val="7DC70E2F"/>
    <w:rsid w:val="7DCAD72E"/>
    <w:rsid w:val="7DDB7CBE"/>
    <w:rsid w:val="7DE02676"/>
    <w:rsid w:val="7DE235D2"/>
    <w:rsid w:val="7DE6B8C9"/>
    <w:rsid w:val="7DEC6322"/>
    <w:rsid w:val="7DECAE39"/>
    <w:rsid w:val="7DEDA13B"/>
    <w:rsid w:val="7DF64B9E"/>
    <w:rsid w:val="7DF72E3E"/>
    <w:rsid w:val="7DF9818C"/>
    <w:rsid w:val="7DFAFEA2"/>
    <w:rsid w:val="7E09D2EC"/>
    <w:rsid w:val="7E0AFA75"/>
    <w:rsid w:val="7E1FB810"/>
    <w:rsid w:val="7E2098CD"/>
    <w:rsid w:val="7E2D4841"/>
    <w:rsid w:val="7E301DCB"/>
    <w:rsid w:val="7E344DE9"/>
    <w:rsid w:val="7E3B5A0D"/>
    <w:rsid w:val="7E50CE36"/>
    <w:rsid w:val="7E59E933"/>
    <w:rsid w:val="7E5D2DDE"/>
    <w:rsid w:val="7E5E0B09"/>
    <w:rsid w:val="7E6658F9"/>
    <w:rsid w:val="7E7D9EF7"/>
    <w:rsid w:val="7E904ED9"/>
    <w:rsid w:val="7E94803D"/>
    <w:rsid w:val="7E95BA25"/>
    <w:rsid w:val="7E9D3ECE"/>
    <w:rsid w:val="7E9F4B93"/>
    <w:rsid w:val="7EA334DB"/>
    <w:rsid w:val="7EAE27ED"/>
    <w:rsid w:val="7EB11A43"/>
    <w:rsid w:val="7EC669E3"/>
    <w:rsid w:val="7ECE7587"/>
    <w:rsid w:val="7ED05E44"/>
    <w:rsid w:val="7ED3AFC6"/>
    <w:rsid w:val="7EDA541A"/>
    <w:rsid w:val="7EDE0D8B"/>
    <w:rsid w:val="7EDF7442"/>
    <w:rsid w:val="7EE890D4"/>
    <w:rsid w:val="7EED78F0"/>
    <w:rsid w:val="7EEFF314"/>
    <w:rsid w:val="7EF17FDE"/>
    <w:rsid w:val="7EFFF1E4"/>
    <w:rsid w:val="7F03FF84"/>
    <w:rsid w:val="7F052714"/>
    <w:rsid w:val="7F053BBA"/>
    <w:rsid w:val="7F059284"/>
    <w:rsid w:val="7F05F9D9"/>
    <w:rsid w:val="7F0A2D0E"/>
    <w:rsid w:val="7F11DCC8"/>
    <w:rsid w:val="7F246708"/>
    <w:rsid w:val="7F24FF0C"/>
    <w:rsid w:val="7F2A10B5"/>
    <w:rsid w:val="7F3581B2"/>
    <w:rsid w:val="7F377E73"/>
    <w:rsid w:val="7F399E27"/>
    <w:rsid w:val="7F3F13CF"/>
    <w:rsid w:val="7F4665BC"/>
    <w:rsid w:val="7F469EA5"/>
    <w:rsid w:val="7F4703F4"/>
    <w:rsid w:val="7F50FCA4"/>
    <w:rsid w:val="7F575F96"/>
    <w:rsid w:val="7F599FEF"/>
    <w:rsid w:val="7F5A76C6"/>
    <w:rsid w:val="7F61F58D"/>
    <w:rsid w:val="7F681257"/>
    <w:rsid w:val="7F690A22"/>
    <w:rsid w:val="7F6D4A18"/>
    <w:rsid w:val="7F83DC59"/>
    <w:rsid w:val="7F8BC24A"/>
    <w:rsid w:val="7F9CA36E"/>
    <w:rsid w:val="7FA270BD"/>
    <w:rsid w:val="7FAD9F71"/>
    <w:rsid w:val="7FAF90E4"/>
    <w:rsid w:val="7FB92331"/>
    <w:rsid w:val="7FBA5489"/>
    <w:rsid w:val="7FC2228F"/>
    <w:rsid w:val="7FD4F3AA"/>
    <w:rsid w:val="7FD4FC6D"/>
    <w:rsid w:val="7FDACF15"/>
    <w:rsid w:val="7FDDCADF"/>
    <w:rsid w:val="7FE97051"/>
    <w:rsid w:val="7FEA9D0E"/>
    <w:rsid w:val="7FF3B168"/>
    <w:rsid w:val="7FF82141"/>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AEE8E"/>
  <w15:docId w15:val="{ECD1D939-EEFC-4A8D-A19F-761D4DA05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684"/>
    <w:pPr>
      <w:spacing w:after="195"/>
      <w:ind w:left="-5"/>
      <w:jc w:val="both"/>
    </w:pPr>
    <w:rPr>
      <w:rFonts w:ascii="Arial" w:eastAsia="Arial" w:hAnsi="Arial"/>
      <w:color w:val="000000" w:themeColor="text1"/>
      <w:sz w:val="24"/>
      <w:szCs w:val="24"/>
    </w:rPr>
  </w:style>
  <w:style w:type="paragraph" w:styleId="Ttulo1">
    <w:name w:val="heading 1"/>
    <w:next w:val="Normal"/>
    <w:link w:val="Ttulo1Char"/>
    <w:uiPriority w:val="9"/>
    <w:qFormat/>
    <w:pPr>
      <w:keepNext/>
      <w:keepLines/>
      <w:spacing w:after="135"/>
      <w:ind w:left="10" w:hanging="10"/>
      <w:outlineLvl w:val="0"/>
    </w:pPr>
    <w:rPr>
      <w:rFonts w:ascii="Arial" w:eastAsia="Arial" w:hAnsi="Arial" w:cs="Arial"/>
      <w:b/>
      <w:color w:val="1F4E79"/>
      <w:sz w:val="32"/>
    </w:rPr>
  </w:style>
  <w:style w:type="paragraph" w:styleId="Ttulo2">
    <w:name w:val="heading 2"/>
    <w:next w:val="Normal"/>
    <w:link w:val="Ttulo2Char"/>
    <w:uiPriority w:val="9"/>
    <w:unhideWhenUsed/>
    <w:qFormat/>
    <w:pPr>
      <w:keepNext/>
      <w:keepLines/>
      <w:spacing w:after="135"/>
      <w:ind w:left="10" w:hanging="10"/>
      <w:outlineLvl w:val="1"/>
    </w:pPr>
    <w:rPr>
      <w:rFonts w:ascii="Arial" w:eastAsia="Arial" w:hAnsi="Arial" w:cs="Arial"/>
      <w:b/>
      <w:color w:val="2E75B6"/>
      <w:sz w:val="28"/>
    </w:rPr>
  </w:style>
  <w:style w:type="paragraph" w:styleId="Ttulo3">
    <w:name w:val="heading 3"/>
    <w:basedOn w:val="Normal"/>
    <w:next w:val="Normal"/>
    <w:link w:val="Ttulo3Char"/>
    <w:uiPriority w:val="9"/>
    <w:unhideWhenUsed/>
    <w:qFormat/>
    <w:rsid w:val="61F2CE0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uiPriority w:val="9"/>
    <w:unhideWhenUsed/>
    <w:qFormat/>
    <w:rsid w:val="61F2CE04"/>
    <w:pPr>
      <w:keepNext/>
      <w:keepLines/>
      <w:spacing w:before="80" w:after="40"/>
      <w:outlineLvl w:val="3"/>
    </w:pPr>
    <w:rPr>
      <w:rFonts w:eastAsiaTheme="majorEastAsia"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Arial" w:eastAsia="Arial" w:hAnsi="Arial" w:cs="Arial"/>
      <w:b/>
      <w:color w:val="1F4E79"/>
      <w:sz w:val="32"/>
    </w:rPr>
  </w:style>
  <w:style w:type="character" w:customStyle="1" w:styleId="Ttulo2Char">
    <w:name w:val="Título 2 Char"/>
    <w:link w:val="Ttulo2"/>
    <w:rPr>
      <w:rFonts w:ascii="Arial" w:eastAsia="Arial" w:hAnsi="Arial" w:cs="Arial"/>
      <w:b/>
      <w:color w:val="2E75B6"/>
      <w:sz w:val="28"/>
    </w:rPr>
  </w:style>
  <w:style w:type="character" w:customStyle="1" w:styleId="Ttulo3Char">
    <w:name w:val="Título 3 Char"/>
    <w:basedOn w:val="Fontepargpadro"/>
    <w:link w:val="Ttulo3"/>
    <w:uiPriority w:val="9"/>
    <w:rsid w:val="001C52DF"/>
    <w:rPr>
      <w:rFonts w:ascii="Arial" w:eastAsiaTheme="majorEastAsia" w:hAnsi="Arial" w:cstheme="majorBidi"/>
      <w:color w:val="2F5496" w:themeColor="accent1" w:themeShade="BF"/>
      <w:sz w:val="28"/>
      <w:szCs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rmalWeb">
    <w:name w:val="Normal (Web)"/>
    <w:basedOn w:val="Normal"/>
    <w:uiPriority w:val="99"/>
    <w:semiHidden/>
    <w:unhideWhenUsed/>
    <w:rsid w:val="61F2CE04"/>
    <w:pPr>
      <w:spacing w:beforeAutospacing="1" w:afterAutospacing="1"/>
    </w:pPr>
    <w:rPr>
      <w:rFonts w:ascii="Times New Roman" w:eastAsia="Times New Roman" w:hAnsi="Times New Roman" w:cs="Times New Roman"/>
      <w:color w:val="auto"/>
    </w:rPr>
  </w:style>
  <w:style w:type="paragraph" w:styleId="Cabealho">
    <w:name w:val="header"/>
    <w:basedOn w:val="Normal"/>
    <w:link w:val="CabealhoChar"/>
    <w:uiPriority w:val="99"/>
    <w:unhideWhenUsed/>
    <w:rsid w:val="61F2CE04"/>
    <w:pPr>
      <w:tabs>
        <w:tab w:val="center" w:pos="4680"/>
        <w:tab w:val="right" w:pos="9360"/>
      </w:tabs>
      <w:spacing w:after="0"/>
    </w:pPr>
  </w:style>
  <w:style w:type="character" w:customStyle="1" w:styleId="CabealhoChar">
    <w:name w:val="Cabeçalho Char"/>
    <w:basedOn w:val="Fontepargpadro"/>
    <w:link w:val="Cabealho"/>
    <w:uiPriority w:val="99"/>
    <w:rsid w:val="001C3A63"/>
    <w:rPr>
      <w:rFonts w:ascii="Calibri" w:eastAsia="Calibri" w:hAnsi="Calibri" w:cs="Calibri"/>
      <w:color w:val="000000"/>
    </w:rPr>
  </w:style>
  <w:style w:type="paragraph" w:styleId="Rodap">
    <w:name w:val="footer"/>
    <w:basedOn w:val="Normal"/>
    <w:link w:val="RodapChar"/>
    <w:uiPriority w:val="99"/>
    <w:unhideWhenUsed/>
    <w:rsid w:val="61F2CE04"/>
    <w:pPr>
      <w:tabs>
        <w:tab w:val="center" w:pos="4680"/>
        <w:tab w:val="right" w:pos="9360"/>
      </w:tabs>
      <w:spacing w:after="0"/>
    </w:pPr>
  </w:style>
  <w:style w:type="character" w:customStyle="1" w:styleId="RodapChar">
    <w:name w:val="Rodapé Char"/>
    <w:basedOn w:val="Fontepargpadro"/>
    <w:link w:val="Rodap"/>
    <w:uiPriority w:val="99"/>
    <w:rsid w:val="001C3A63"/>
    <w:rPr>
      <w:rFonts w:ascii="Calibri" w:eastAsia="Calibri" w:hAnsi="Calibri" w:cs="Calibri"/>
      <w:color w:val="000000"/>
    </w:rPr>
  </w:style>
  <w:style w:type="paragraph" w:styleId="PargrafodaLista">
    <w:name w:val="List Paragraph"/>
    <w:basedOn w:val="Normal"/>
    <w:uiPriority w:val="34"/>
    <w:qFormat/>
    <w:rsid w:val="61F2CE04"/>
    <w:pPr>
      <w:ind w:left="720"/>
      <w:contextualSpacing/>
    </w:pPr>
  </w:style>
  <w:style w:type="character" w:styleId="MenoPendente">
    <w:name w:val="Unresolved Mention"/>
    <w:basedOn w:val="Fontepargpadro"/>
    <w:uiPriority w:val="99"/>
    <w:unhideWhenUsed/>
    <w:rsid w:val="00D75569"/>
    <w:rPr>
      <w:color w:val="605E5C"/>
      <w:shd w:val="clear" w:color="auto" w:fill="E1DFDD"/>
    </w:rPr>
  </w:style>
  <w:style w:type="character" w:styleId="Meno">
    <w:name w:val="Mention"/>
    <w:basedOn w:val="Fontepargpadro"/>
    <w:uiPriority w:val="99"/>
    <w:unhideWhenUsed/>
    <w:rsid w:val="00D75569"/>
    <w:rPr>
      <w:color w:val="2B579A"/>
      <w:shd w:val="clear" w:color="auto" w:fill="E1DFDD"/>
    </w:rPr>
  </w:style>
  <w:style w:type="paragraph" w:styleId="CabealhodoSumrio">
    <w:name w:val="TOC Heading"/>
    <w:basedOn w:val="Ttulo1"/>
    <w:next w:val="Normal"/>
    <w:uiPriority w:val="39"/>
    <w:unhideWhenUsed/>
    <w:qFormat/>
    <w:rsid w:val="005B0C0E"/>
    <w:pPr>
      <w:spacing w:before="240" w:after="0"/>
      <w:ind w:left="0" w:firstLine="0"/>
      <w:outlineLvl w:val="9"/>
    </w:pPr>
    <w:rPr>
      <w:rFonts w:asciiTheme="majorHAnsi" w:eastAsiaTheme="majorEastAsia" w:hAnsiTheme="majorHAnsi" w:cstheme="majorBidi"/>
      <w:b w:val="0"/>
      <w:color w:val="2F5496" w:themeColor="accent1" w:themeShade="BF"/>
      <w:szCs w:val="32"/>
    </w:rPr>
  </w:style>
  <w:style w:type="paragraph" w:styleId="Sumrio1">
    <w:name w:val="toc 1"/>
    <w:basedOn w:val="Normal"/>
    <w:next w:val="Normal"/>
    <w:uiPriority w:val="39"/>
    <w:unhideWhenUsed/>
    <w:rsid w:val="61F2CE04"/>
    <w:pPr>
      <w:spacing w:after="100"/>
    </w:pPr>
  </w:style>
  <w:style w:type="paragraph" w:styleId="Sumrio2">
    <w:name w:val="toc 2"/>
    <w:basedOn w:val="Normal"/>
    <w:next w:val="Normal"/>
    <w:uiPriority w:val="39"/>
    <w:unhideWhenUsed/>
    <w:rsid w:val="61F2CE04"/>
    <w:pPr>
      <w:spacing w:after="100"/>
      <w:ind w:left="220"/>
    </w:pPr>
  </w:style>
  <w:style w:type="paragraph" w:styleId="Sumrio3">
    <w:name w:val="toc 3"/>
    <w:basedOn w:val="Normal"/>
    <w:next w:val="Normal"/>
    <w:uiPriority w:val="39"/>
    <w:unhideWhenUsed/>
    <w:rsid w:val="61F2CE04"/>
    <w:pPr>
      <w:spacing w:after="100"/>
      <w:ind w:left="440"/>
    </w:pPr>
  </w:style>
  <w:style w:type="character" w:styleId="Hyperlink">
    <w:name w:val="Hyperlink"/>
    <w:basedOn w:val="Fontepargpadro"/>
    <w:uiPriority w:val="99"/>
    <w:unhideWhenUsed/>
    <w:rsid w:val="005B0C0E"/>
    <w:rPr>
      <w:color w:val="0563C1" w:themeColor="hyperlink"/>
      <w:u w:val="single"/>
    </w:rPr>
  </w:style>
  <w:style w:type="character" w:styleId="Forte">
    <w:name w:val="Strong"/>
    <w:basedOn w:val="Fontepargpadro"/>
    <w:uiPriority w:val="22"/>
    <w:qFormat/>
    <w:rsid w:val="000C30C2"/>
    <w:rPr>
      <w:b/>
      <w:bCs/>
    </w:rPr>
  </w:style>
  <w:style w:type="table" w:styleId="SimplesTabela1">
    <w:name w:val="Plain Table 1"/>
    <w:basedOn w:val="Tabelanormal"/>
    <w:uiPriority w:val="41"/>
    <w:rsid w:val="000C259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deGradeClara">
    <w:name w:val="Grid Table Light"/>
    <w:basedOn w:val="Tabelanormal"/>
    <w:uiPriority w:val="40"/>
    <w:rsid w:val="00CE1C5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rpodetexto">
    <w:name w:val="Body Text"/>
    <w:basedOn w:val="Normal"/>
    <w:link w:val="CorpodetextoChar"/>
    <w:uiPriority w:val="1"/>
    <w:qFormat/>
    <w:rsid w:val="61F2CE04"/>
    <w:pPr>
      <w:widowControl w:val="0"/>
      <w:spacing w:after="0"/>
    </w:pPr>
    <w:rPr>
      <w:rFonts w:ascii="Arial MT" w:eastAsia="Arial MT" w:hAnsi="Arial MT" w:cs="Arial MT"/>
      <w:color w:val="auto"/>
      <w:lang w:val="pt-PT" w:eastAsia="en-US"/>
    </w:rPr>
  </w:style>
  <w:style w:type="character" w:customStyle="1" w:styleId="CorpodetextoChar">
    <w:name w:val="Corpo de texto Char"/>
    <w:basedOn w:val="Fontepargpadro"/>
    <w:link w:val="Corpodetexto"/>
    <w:uiPriority w:val="1"/>
    <w:rsid w:val="00941818"/>
    <w:rPr>
      <w:rFonts w:ascii="Arial MT" w:eastAsia="Arial MT" w:hAnsi="Arial MT" w:cs="Arial MT"/>
      <w:sz w:val="24"/>
      <w:szCs w:val="24"/>
      <w:lang w:val="pt-PT" w:eastAsia="en-US"/>
    </w:rPr>
  </w:style>
  <w:style w:type="table" w:styleId="Tabelacomgrade">
    <w:name w:val="Table Grid"/>
    <w:basedOn w:val="Tabelanormal"/>
    <w:uiPriority w:val="39"/>
    <w:rsid w:val="00A91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Text1">
    <w:name w:val="Comment Text1"/>
    <w:basedOn w:val="Normal"/>
    <w:link w:val="CommentTextChar"/>
    <w:uiPriority w:val="99"/>
    <w:unhideWhenUsed/>
    <w:rsid w:val="61F2CE04"/>
    <w:rPr>
      <w:sz w:val="20"/>
      <w:szCs w:val="20"/>
    </w:rPr>
  </w:style>
  <w:style w:type="character" w:customStyle="1" w:styleId="CommentTextChar">
    <w:name w:val="Comment Text Char"/>
    <w:basedOn w:val="Fontepargpadro"/>
    <w:link w:val="CommentText1"/>
    <w:uiPriority w:val="99"/>
    <w:rPr>
      <w:rFonts w:ascii="Arial" w:eastAsia="Arial" w:hAnsi="Arial"/>
      <w:color w:val="000000" w:themeColor="text1"/>
      <w:sz w:val="20"/>
      <w:szCs w:val="20"/>
    </w:rPr>
  </w:style>
  <w:style w:type="character" w:customStyle="1" w:styleId="CommentReference1">
    <w:name w:val="Comment Reference1"/>
    <w:basedOn w:val="Fontepargpadro"/>
    <w:uiPriority w:val="99"/>
    <w:semiHidden/>
    <w:unhideWhenUsed/>
    <w:rPr>
      <w:sz w:val="16"/>
      <w:szCs w:val="16"/>
    </w:rPr>
  </w:style>
  <w:style w:type="character" w:customStyle="1" w:styleId="normaltextrun">
    <w:name w:val="normaltextrun"/>
    <w:basedOn w:val="Fontepargpadro"/>
    <w:rsid w:val="003478AB"/>
  </w:style>
  <w:style w:type="character" w:customStyle="1" w:styleId="eop">
    <w:name w:val="eop"/>
    <w:basedOn w:val="Fontepargpadro"/>
    <w:rsid w:val="003478AB"/>
  </w:style>
  <w:style w:type="paragraph" w:customStyle="1" w:styleId="CommentText10">
    <w:name w:val="Comment Text10"/>
    <w:basedOn w:val="Normal"/>
    <w:uiPriority w:val="99"/>
    <w:unhideWhenUsed/>
    <w:rsid w:val="61F2CE04"/>
    <w:rPr>
      <w:sz w:val="20"/>
      <w:szCs w:val="20"/>
    </w:rPr>
  </w:style>
  <w:style w:type="character" w:customStyle="1" w:styleId="CommentReference10">
    <w:name w:val="Comment Reference10"/>
    <w:basedOn w:val="Fontepargpadro"/>
    <w:uiPriority w:val="99"/>
    <w:semiHidden/>
    <w:unhideWhenUsed/>
    <w:rsid w:val="008715CA"/>
    <w:rPr>
      <w:sz w:val="16"/>
      <w:szCs w:val="16"/>
    </w:rPr>
  </w:style>
  <w:style w:type="paragraph" w:customStyle="1" w:styleId="CommentText3">
    <w:name w:val="Comment Text3"/>
    <w:basedOn w:val="Normal"/>
    <w:link w:val="CommentTextChar1"/>
    <w:uiPriority w:val="99"/>
    <w:semiHidden/>
    <w:unhideWhenUsed/>
    <w:rsid w:val="00FC76E9"/>
    <w:pPr>
      <w:spacing w:line="240" w:lineRule="auto"/>
    </w:pPr>
    <w:rPr>
      <w:sz w:val="20"/>
      <w:szCs w:val="20"/>
    </w:rPr>
  </w:style>
  <w:style w:type="character" w:customStyle="1" w:styleId="CommentReference4">
    <w:name w:val="Comment Reference4"/>
    <w:basedOn w:val="Fontepargpadro"/>
    <w:uiPriority w:val="99"/>
    <w:semiHidden/>
    <w:unhideWhenUsed/>
    <w:rsid w:val="00FC76E9"/>
    <w:rPr>
      <w:sz w:val="16"/>
      <w:szCs w:val="16"/>
    </w:rPr>
  </w:style>
  <w:style w:type="character" w:customStyle="1" w:styleId="CommentTextChar1">
    <w:name w:val="Comment Text Char1"/>
    <w:basedOn w:val="Fontepargpadro"/>
    <w:link w:val="CommentText3"/>
    <w:uiPriority w:val="99"/>
    <w:semiHidden/>
    <w:rsid w:val="00241163"/>
    <w:rPr>
      <w:rFonts w:ascii="Arial" w:eastAsia="Arial" w:hAnsi="Arial"/>
      <w:color w:val="000000" w:themeColor="text1"/>
      <w:sz w:val="20"/>
      <w:szCs w:val="20"/>
    </w:rPr>
  </w:style>
  <w:style w:type="paragraph" w:customStyle="1" w:styleId="CommentText2">
    <w:name w:val="Comment Text2"/>
    <w:basedOn w:val="Normal"/>
    <w:uiPriority w:val="99"/>
    <w:unhideWhenUsed/>
    <w:rsid w:val="007805E5"/>
    <w:pPr>
      <w:spacing w:line="240" w:lineRule="auto"/>
    </w:pPr>
    <w:rPr>
      <w:sz w:val="20"/>
      <w:szCs w:val="20"/>
    </w:rPr>
  </w:style>
  <w:style w:type="character" w:customStyle="1" w:styleId="CommentReference2">
    <w:name w:val="Comment Reference2"/>
    <w:basedOn w:val="Fontepargpadro"/>
    <w:uiPriority w:val="99"/>
    <w:semiHidden/>
    <w:unhideWhenUsed/>
    <w:rsid w:val="007805E5"/>
    <w:rPr>
      <w:sz w:val="16"/>
      <w:szCs w:val="16"/>
    </w:rPr>
  </w:style>
  <w:style w:type="paragraph" w:styleId="Sumrio4">
    <w:name w:val="toc 4"/>
    <w:basedOn w:val="Normal"/>
    <w:next w:val="Normal"/>
    <w:autoRedefine/>
    <w:uiPriority w:val="39"/>
    <w:unhideWhenUsed/>
    <w:rsid w:val="00DE5669"/>
    <w:pPr>
      <w:spacing w:after="100"/>
      <w:ind w:left="660"/>
      <w:jc w:val="left"/>
    </w:pPr>
    <w:rPr>
      <w:rFonts w:asciiTheme="minorHAnsi" w:eastAsiaTheme="minorEastAsia" w:hAnsiTheme="minorHAnsi"/>
      <w:color w:val="auto"/>
      <w:sz w:val="22"/>
      <w:szCs w:val="22"/>
    </w:rPr>
  </w:style>
  <w:style w:type="paragraph" w:styleId="Sumrio5">
    <w:name w:val="toc 5"/>
    <w:basedOn w:val="Normal"/>
    <w:next w:val="Normal"/>
    <w:autoRedefine/>
    <w:uiPriority w:val="39"/>
    <w:unhideWhenUsed/>
    <w:rsid w:val="00DE5669"/>
    <w:pPr>
      <w:spacing w:after="100"/>
      <w:ind w:left="880"/>
      <w:jc w:val="left"/>
    </w:pPr>
    <w:rPr>
      <w:rFonts w:asciiTheme="minorHAnsi" w:eastAsiaTheme="minorEastAsia" w:hAnsiTheme="minorHAnsi"/>
      <w:color w:val="auto"/>
      <w:sz w:val="22"/>
      <w:szCs w:val="22"/>
    </w:rPr>
  </w:style>
  <w:style w:type="paragraph" w:styleId="Sumrio6">
    <w:name w:val="toc 6"/>
    <w:basedOn w:val="Normal"/>
    <w:next w:val="Normal"/>
    <w:autoRedefine/>
    <w:uiPriority w:val="39"/>
    <w:unhideWhenUsed/>
    <w:rsid w:val="00DE5669"/>
    <w:pPr>
      <w:spacing w:after="100"/>
      <w:ind w:left="1100"/>
      <w:jc w:val="left"/>
    </w:pPr>
    <w:rPr>
      <w:rFonts w:asciiTheme="minorHAnsi" w:eastAsiaTheme="minorEastAsia" w:hAnsiTheme="minorHAnsi"/>
      <w:color w:val="auto"/>
      <w:sz w:val="22"/>
      <w:szCs w:val="22"/>
    </w:rPr>
  </w:style>
  <w:style w:type="paragraph" w:styleId="Sumrio7">
    <w:name w:val="toc 7"/>
    <w:basedOn w:val="Normal"/>
    <w:next w:val="Normal"/>
    <w:autoRedefine/>
    <w:uiPriority w:val="39"/>
    <w:unhideWhenUsed/>
    <w:rsid w:val="00DE5669"/>
    <w:pPr>
      <w:spacing w:after="100"/>
      <w:ind w:left="1320"/>
      <w:jc w:val="left"/>
    </w:pPr>
    <w:rPr>
      <w:rFonts w:asciiTheme="minorHAnsi" w:eastAsiaTheme="minorEastAsia" w:hAnsiTheme="minorHAnsi"/>
      <w:color w:val="auto"/>
      <w:sz w:val="22"/>
      <w:szCs w:val="22"/>
    </w:rPr>
  </w:style>
  <w:style w:type="paragraph" w:styleId="Sumrio8">
    <w:name w:val="toc 8"/>
    <w:basedOn w:val="Normal"/>
    <w:next w:val="Normal"/>
    <w:autoRedefine/>
    <w:uiPriority w:val="39"/>
    <w:unhideWhenUsed/>
    <w:rsid w:val="00DE5669"/>
    <w:pPr>
      <w:spacing w:after="100"/>
      <w:ind w:left="1540"/>
      <w:jc w:val="left"/>
    </w:pPr>
    <w:rPr>
      <w:rFonts w:asciiTheme="minorHAnsi" w:eastAsiaTheme="minorEastAsia" w:hAnsiTheme="minorHAnsi"/>
      <w:color w:val="auto"/>
      <w:sz w:val="22"/>
      <w:szCs w:val="22"/>
    </w:rPr>
  </w:style>
  <w:style w:type="paragraph" w:styleId="Sumrio9">
    <w:name w:val="toc 9"/>
    <w:basedOn w:val="Normal"/>
    <w:next w:val="Normal"/>
    <w:autoRedefine/>
    <w:uiPriority w:val="39"/>
    <w:unhideWhenUsed/>
    <w:rsid w:val="00DE5669"/>
    <w:pPr>
      <w:spacing w:after="100"/>
      <w:ind w:left="1760"/>
      <w:jc w:val="left"/>
    </w:pPr>
    <w:rPr>
      <w:rFonts w:asciiTheme="minorHAnsi" w:eastAsiaTheme="minorEastAsia" w:hAnsiTheme="minorHAnsi"/>
      <w:color w:val="auto"/>
      <w:sz w:val="22"/>
      <w:szCs w:val="22"/>
    </w:rPr>
  </w:style>
  <w:style w:type="character" w:customStyle="1" w:styleId="CommentReference3">
    <w:name w:val="Comment Reference3"/>
    <w:basedOn w:val="Fontepargpadro"/>
    <w:uiPriority w:val="99"/>
    <w:semiHidden/>
    <w:unhideWhenUsed/>
    <w:rsid w:val="006D1ED7"/>
    <w:rPr>
      <w:sz w:val="16"/>
      <w:szCs w:val="16"/>
    </w:rPr>
  </w:style>
  <w:style w:type="paragraph" w:customStyle="1" w:styleId="paragraph">
    <w:name w:val="paragraph"/>
    <w:basedOn w:val="Normal"/>
    <w:rsid w:val="004A7844"/>
    <w:pPr>
      <w:spacing w:before="100" w:beforeAutospacing="1" w:after="100" w:afterAutospacing="1" w:line="240" w:lineRule="auto"/>
      <w:ind w:left="0"/>
      <w:jc w:val="left"/>
    </w:pPr>
    <w:rPr>
      <w:rFonts w:ascii="Times New Roman" w:eastAsia="Times New Roman" w:hAnsi="Times New Roman" w:cs="Times New Roman"/>
      <w:color w:val="auto"/>
    </w:rPr>
  </w:style>
  <w:style w:type="character" w:customStyle="1" w:styleId="CommentTextChar2">
    <w:name w:val="Comment Text Char2"/>
    <w:basedOn w:val="Fontepargpadro"/>
    <w:link w:val="CommentText4"/>
    <w:uiPriority w:val="99"/>
    <w:semiHidden/>
    <w:rsid w:val="0042663D"/>
    <w:rPr>
      <w:rFonts w:ascii="Arial" w:eastAsia="Arial" w:hAnsi="Arial"/>
      <w:color w:val="000000" w:themeColor="text1"/>
      <w:sz w:val="20"/>
      <w:szCs w:val="20"/>
    </w:rPr>
  </w:style>
  <w:style w:type="character" w:customStyle="1" w:styleId="CommentSubjectChar">
    <w:name w:val="Comment Subject Char"/>
    <w:basedOn w:val="CommentTextChar2"/>
    <w:link w:val="CommentSubject1"/>
    <w:uiPriority w:val="99"/>
    <w:semiHidden/>
    <w:rsid w:val="0042663D"/>
    <w:rPr>
      <w:rFonts w:ascii="Arial" w:eastAsia="Arial" w:hAnsi="Arial"/>
      <w:b/>
      <w:bCs/>
      <w:color w:val="000000" w:themeColor="text1"/>
      <w:sz w:val="20"/>
      <w:szCs w:val="20"/>
    </w:rPr>
  </w:style>
  <w:style w:type="character" w:customStyle="1" w:styleId="CommentReference5">
    <w:name w:val="Comment Reference5"/>
    <w:basedOn w:val="Fontepargpadro"/>
    <w:uiPriority w:val="99"/>
    <w:semiHidden/>
    <w:unhideWhenUsed/>
    <w:rsid w:val="00C25E24"/>
    <w:rPr>
      <w:sz w:val="16"/>
      <w:szCs w:val="16"/>
    </w:rPr>
  </w:style>
  <w:style w:type="paragraph" w:customStyle="1" w:styleId="CommentText4">
    <w:name w:val="Comment Text4"/>
    <w:basedOn w:val="Normal"/>
    <w:link w:val="CommentTextChar2"/>
    <w:uiPriority w:val="99"/>
    <w:semiHidden/>
    <w:unhideWhenUsed/>
    <w:rsid w:val="00C25E24"/>
    <w:pPr>
      <w:spacing w:line="240" w:lineRule="auto"/>
    </w:pPr>
    <w:rPr>
      <w:sz w:val="20"/>
      <w:szCs w:val="20"/>
    </w:rPr>
  </w:style>
  <w:style w:type="paragraph" w:customStyle="1" w:styleId="CommentSubject1">
    <w:name w:val="Comment Subject1"/>
    <w:basedOn w:val="CommentText4"/>
    <w:next w:val="CommentText4"/>
    <w:link w:val="CommentSubjectChar"/>
    <w:uiPriority w:val="99"/>
    <w:semiHidden/>
    <w:unhideWhenUsed/>
    <w:rsid w:val="00C25E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359986">
      <w:bodyDiv w:val="1"/>
      <w:marLeft w:val="0"/>
      <w:marRight w:val="0"/>
      <w:marTop w:val="0"/>
      <w:marBottom w:val="0"/>
      <w:divBdr>
        <w:top w:val="none" w:sz="0" w:space="0" w:color="auto"/>
        <w:left w:val="none" w:sz="0" w:space="0" w:color="auto"/>
        <w:bottom w:val="none" w:sz="0" w:space="0" w:color="auto"/>
        <w:right w:val="none" w:sz="0" w:space="0" w:color="auto"/>
      </w:divBdr>
    </w:div>
    <w:div w:id="1194924615">
      <w:bodyDiv w:val="1"/>
      <w:marLeft w:val="0"/>
      <w:marRight w:val="0"/>
      <w:marTop w:val="0"/>
      <w:marBottom w:val="0"/>
      <w:divBdr>
        <w:top w:val="none" w:sz="0" w:space="0" w:color="auto"/>
        <w:left w:val="none" w:sz="0" w:space="0" w:color="auto"/>
        <w:bottom w:val="none" w:sz="0" w:space="0" w:color="auto"/>
        <w:right w:val="none" w:sz="0" w:space="0" w:color="auto"/>
      </w:divBdr>
    </w:div>
    <w:div w:id="1226531667">
      <w:bodyDiv w:val="1"/>
      <w:marLeft w:val="0"/>
      <w:marRight w:val="0"/>
      <w:marTop w:val="0"/>
      <w:marBottom w:val="0"/>
      <w:divBdr>
        <w:top w:val="none" w:sz="0" w:space="0" w:color="auto"/>
        <w:left w:val="none" w:sz="0" w:space="0" w:color="auto"/>
        <w:bottom w:val="none" w:sz="0" w:space="0" w:color="auto"/>
        <w:right w:val="none" w:sz="0" w:space="0" w:color="auto"/>
      </w:divBdr>
    </w:div>
    <w:div w:id="1384331253">
      <w:bodyDiv w:val="1"/>
      <w:marLeft w:val="0"/>
      <w:marRight w:val="0"/>
      <w:marTop w:val="0"/>
      <w:marBottom w:val="0"/>
      <w:divBdr>
        <w:top w:val="none" w:sz="0" w:space="0" w:color="auto"/>
        <w:left w:val="none" w:sz="0" w:space="0" w:color="auto"/>
        <w:bottom w:val="none" w:sz="0" w:space="0" w:color="auto"/>
        <w:right w:val="none" w:sz="0" w:space="0" w:color="auto"/>
      </w:divBdr>
      <w:divsChild>
        <w:div w:id="245654297">
          <w:marLeft w:val="0"/>
          <w:marRight w:val="0"/>
          <w:marTop w:val="0"/>
          <w:marBottom w:val="160"/>
          <w:divBdr>
            <w:top w:val="none" w:sz="0" w:space="0" w:color="auto"/>
            <w:left w:val="none" w:sz="0" w:space="0" w:color="auto"/>
            <w:bottom w:val="none" w:sz="0" w:space="0" w:color="auto"/>
            <w:right w:val="none" w:sz="0" w:space="0" w:color="auto"/>
          </w:divBdr>
        </w:div>
        <w:div w:id="586810175">
          <w:marLeft w:val="0"/>
          <w:marRight w:val="0"/>
          <w:marTop w:val="0"/>
          <w:marBottom w:val="160"/>
          <w:divBdr>
            <w:top w:val="none" w:sz="0" w:space="0" w:color="auto"/>
            <w:left w:val="none" w:sz="0" w:space="0" w:color="auto"/>
            <w:bottom w:val="none" w:sz="0" w:space="0" w:color="auto"/>
            <w:right w:val="none" w:sz="0" w:space="0" w:color="auto"/>
          </w:divBdr>
        </w:div>
        <w:div w:id="1218396611">
          <w:marLeft w:val="0"/>
          <w:marRight w:val="0"/>
          <w:marTop w:val="0"/>
          <w:marBottom w:val="160"/>
          <w:divBdr>
            <w:top w:val="none" w:sz="0" w:space="0" w:color="auto"/>
            <w:left w:val="none" w:sz="0" w:space="0" w:color="auto"/>
            <w:bottom w:val="none" w:sz="0" w:space="0" w:color="auto"/>
            <w:right w:val="none" w:sz="0" w:space="0" w:color="auto"/>
          </w:divBdr>
        </w:div>
        <w:div w:id="1450204703">
          <w:marLeft w:val="0"/>
          <w:marRight w:val="0"/>
          <w:marTop w:val="0"/>
          <w:marBottom w:val="160"/>
          <w:divBdr>
            <w:top w:val="none" w:sz="0" w:space="0" w:color="auto"/>
            <w:left w:val="none" w:sz="0" w:space="0" w:color="auto"/>
            <w:bottom w:val="none" w:sz="0" w:space="0" w:color="auto"/>
            <w:right w:val="none" w:sz="0" w:space="0" w:color="auto"/>
          </w:divBdr>
        </w:div>
        <w:div w:id="1662538863">
          <w:marLeft w:val="0"/>
          <w:marRight w:val="0"/>
          <w:marTop w:val="0"/>
          <w:marBottom w:val="160"/>
          <w:divBdr>
            <w:top w:val="none" w:sz="0" w:space="0" w:color="auto"/>
            <w:left w:val="none" w:sz="0" w:space="0" w:color="auto"/>
            <w:bottom w:val="none" w:sz="0" w:space="0" w:color="auto"/>
            <w:right w:val="none" w:sz="0" w:space="0" w:color="auto"/>
          </w:divBdr>
        </w:div>
        <w:div w:id="2124952828">
          <w:marLeft w:val="0"/>
          <w:marRight w:val="0"/>
          <w:marTop w:val="0"/>
          <w:marBottom w:val="160"/>
          <w:divBdr>
            <w:top w:val="none" w:sz="0" w:space="0" w:color="auto"/>
            <w:left w:val="none" w:sz="0" w:space="0" w:color="auto"/>
            <w:bottom w:val="none" w:sz="0" w:space="0" w:color="auto"/>
            <w:right w:val="none" w:sz="0" w:space="0" w:color="auto"/>
          </w:divBdr>
        </w:div>
      </w:divsChild>
    </w:div>
    <w:div w:id="15378102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102.png"/><Relationship Id="rId21" Type="http://schemas.openxmlformats.org/officeDocument/2006/relationships/image" Target="media/image6.png"/><Relationship Id="rId42" Type="http://schemas.openxmlformats.org/officeDocument/2006/relationships/image" Target="media/image27.png"/><Relationship Id="rId63" Type="http://schemas.openxmlformats.org/officeDocument/2006/relationships/image" Target="media/image48.png"/><Relationship Id="rId84" Type="http://schemas.openxmlformats.org/officeDocument/2006/relationships/image" Target="media/image69.png"/><Relationship Id="rId138" Type="http://schemas.openxmlformats.org/officeDocument/2006/relationships/image" Target="media/image123.jpg"/><Relationship Id="rId107" Type="http://schemas.openxmlformats.org/officeDocument/2006/relationships/image" Target="media/image92.jpg"/><Relationship Id="rId11" Type="http://schemas.openxmlformats.org/officeDocument/2006/relationships/image" Target="media/image1.jpeg"/><Relationship Id="rId32" Type="http://schemas.openxmlformats.org/officeDocument/2006/relationships/image" Target="media/image17.png"/><Relationship Id="rId53" Type="http://schemas.openxmlformats.org/officeDocument/2006/relationships/image" Target="media/image38.png"/><Relationship Id="rId74" Type="http://schemas.openxmlformats.org/officeDocument/2006/relationships/image" Target="media/image59.png"/><Relationship Id="rId128" Type="http://schemas.openxmlformats.org/officeDocument/2006/relationships/image" Target="media/image113.png"/><Relationship Id="rId149" Type="http://schemas.microsoft.com/office/2020/10/relationships/intelligence" Target="intelligence2.xml"/><Relationship Id="rId5" Type="http://schemas.openxmlformats.org/officeDocument/2006/relationships/numbering" Target="numbering.xml"/><Relationship Id="rId95" Type="http://schemas.openxmlformats.org/officeDocument/2006/relationships/image" Target="media/image80.png"/><Relationship Id="rId22" Type="http://schemas.openxmlformats.org/officeDocument/2006/relationships/image" Target="media/image7.png"/><Relationship Id="rId27" Type="http://schemas.openxmlformats.org/officeDocument/2006/relationships/image" Target="media/image12.png"/><Relationship Id="rId43" Type="http://schemas.openxmlformats.org/officeDocument/2006/relationships/image" Target="media/image28.png"/><Relationship Id="rId48" Type="http://schemas.openxmlformats.org/officeDocument/2006/relationships/image" Target="media/image33.png"/><Relationship Id="rId64" Type="http://schemas.openxmlformats.org/officeDocument/2006/relationships/image" Target="media/image49.png"/><Relationship Id="rId69" Type="http://schemas.openxmlformats.org/officeDocument/2006/relationships/image" Target="media/image54.jpg"/><Relationship Id="rId113" Type="http://schemas.openxmlformats.org/officeDocument/2006/relationships/image" Target="media/image98.png"/><Relationship Id="rId118" Type="http://schemas.openxmlformats.org/officeDocument/2006/relationships/image" Target="media/image103.png"/><Relationship Id="rId134" Type="http://schemas.openxmlformats.org/officeDocument/2006/relationships/image" Target="media/image119.jpg"/><Relationship Id="rId139" Type="http://schemas.openxmlformats.org/officeDocument/2006/relationships/image" Target="media/image124.jpg"/><Relationship Id="rId80" Type="http://schemas.openxmlformats.org/officeDocument/2006/relationships/image" Target="media/image65.png"/><Relationship Id="rId85" Type="http://schemas.openxmlformats.org/officeDocument/2006/relationships/image" Target="media/image70.png"/><Relationship Id="rId12" Type="http://schemas.openxmlformats.org/officeDocument/2006/relationships/header" Target="header1.xml"/><Relationship Id="rId17" Type="http://schemas.openxmlformats.org/officeDocument/2006/relationships/footer" Target="footer3.xml"/><Relationship Id="rId33" Type="http://schemas.openxmlformats.org/officeDocument/2006/relationships/image" Target="media/image18.png"/><Relationship Id="rId38" Type="http://schemas.openxmlformats.org/officeDocument/2006/relationships/image" Target="media/image23.png"/><Relationship Id="rId59" Type="http://schemas.openxmlformats.org/officeDocument/2006/relationships/image" Target="media/image44.png"/><Relationship Id="rId103" Type="http://schemas.openxmlformats.org/officeDocument/2006/relationships/image" Target="media/image88.png"/><Relationship Id="rId108" Type="http://schemas.openxmlformats.org/officeDocument/2006/relationships/image" Target="media/image93.jpg"/><Relationship Id="rId124" Type="http://schemas.openxmlformats.org/officeDocument/2006/relationships/image" Target="media/image109.png"/><Relationship Id="rId129" Type="http://schemas.openxmlformats.org/officeDocument/2006/relationships/image" Target="media/image114.png"/><Relationship Id="rId54" Type="http://schemas.openxmlformats.org/officeDocument/2006/relationships/image" Target="media/image39.png"/><Relationship Id="rId70" Type="http://schemas.openxmlformats.org/officeDocument/2006/relationships/image" Target="media/image55.png"/><Relationship Id="rId75" Type="http://schemas.openxmlformats.org/officeDocument/2006/relationships/image" Target="media/image60.png"/><Relationship Id="rId91" Type="http://schemas.openxmlformats.org/officeDocument/2006/relationships/image" Target="media/image76.png"/><Relationship Id="rId96" Type="http://schemas.openxmlformats.org/officeDocument/2006/relationships/image" Target="media/image81.png"/><Relationship Id="rId140" Type="http://schemas.openxmlformats.org/officeDocument/2006/relationships/image" Target="media/image125.jpg"/><Relationship Id="rId145"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8.png"/><Relationship Id="rId28" Type="http://schemas.openxmlformats.org/officeDocument/2006/relationships/image" Target="media/image13.png"/><Relationship Id="rId49" Type="http://schemas.openxmlformats.org/officeDocument/2006/relationships/image" Target="media/image34.png"/><Relationship Id="rId114" Type="http://schemas.openxmlformats.org/officeDocument/2006/relationships/image" Target="media/image99.png"/><Relationship Id="rId119" Type="http://schemas.openxmlformats.org/officeDocument/2006/relationships/image" Target="media/image104.png"/><Relationship Id="rId44" Type="http://schemas.openxmlformats.org/officeDocument/2006/relationships/image" Target="media/image29.png"/><Relationship Id="rId60" Type="http://schemas.openxmlformats.org/officeDocument/2006/relationships/image" Target="media/image45.png"/><Relationship Id="rId65" Type="http://schemas.openxmlformats.org/officeDocument/2006/relationships/image" Target="media/image50.png"/><Relationship Id="rId81" Type="http://schemas.openxmlformats.org/officeDocument/2006/relationships/image" Target="media/image66.png"/><Relationship Id="rId86" Type="http://schemas.openxmlformats.org/officeDocument/2006/relationships/image" Target="media/image71.png"/><Relationship Id="rId130" Type="http://schemas.openxmlformats.org/officeDocument/2006/relationships/image" Target="media/image115.png"/><Relationship Id="rId135" Type="http://schemas.openxmlformats.org/officeDocument/2006/relationships/image" Target="media/image120.jpg"/><Relationship Id="rId13" Type="http://schemas.openxmlformats.org/officeDocument/2006/relationships/header" Target="header2.xml"/><Relationship Id="rId18" Type="http://schemas.openxmlformats.org/officeDocument/2006/relationships/image" Target="media/image3.png"/><Relationship Id="rId39" Type="http://schemas.openxmlformats.org/officeDocument/2006/relationships/image" Target="media/image24.png"/><Relationship Id="rId109" Type="http://schemas.openxmlformats.org/officeDocument/2006/relationships/image" Target="media/image94.jpg"/><Relationship Id="rId34" Type="http://schemas.openxmlformats.org/officeDocument/2006/relationships/image" Target="media/image19.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61.png"/><Relationship Id="rId97" Type="http://schemas.openxmlformats.org/officeDocument/2006/relationships/image" Target="media/image82.png"/><Relationship Id="rId104" Type="http://schemas.openxmlformats.org/officeDocument/2006/relationships/image" Target="media/image89.png"/><Relationship Id="rId120" Type="http://schemas.openxmlformats.org/officeDocument/2006/relationships/image" Target="media/image105.png"/><Relationship Id="rId125" Type="http://schemas.openxmlformats.org/officeDocument/2006/relationships/image" Target="media/image110.png"/><Relationship Id="rId141" Type="http://schemas.openxmlformats.org/officeDocument/2006/relationships/image" Target="media/image126.jpg"/><Relationship Id="rId14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56.jpg"/><Relationship Id="rId92" Type="http://schemas.openxmlformats.org/officeDocument/2006/relationships/image" Target="media/image77.png"/><Relationship Id="rId2" Type="http://schemas.openxmlformats.org/officeDocument/2006/relationships/customXml" Target="../customXml/item2.xml"/><Relationship Id="rId29" Type="http://schemas.openxmlformats.org/officeDocument/2006/relationships/image" Target="media/image14.png"/><Relationship Id="rId24" Type="http://schemas.openxmlformats.org/officeDocument/2006/relationships/image" Target="media/image9.png"/><Relationship Id="rId40" Type="http://schemas.openxmlformats.org/officeDocument/2006/relationships/image" Target="media/image25.png"/><Relationship Id="rId45" Type="http://schemas.openxmlformats.org/officeDocument/2006/relationships/image" Target="media/image30.png"/><Relationship Id="rId66" Type="http://schemas.openxmlformats.org/officeDocument/2006/relationships/image" Target="media/image51.png"/><Relationship Id="rId87" Type="http://schemas.openxmlformats.org/officeDocument/2006/relationships/image" Target="media/image72.png"/><Relationship Id="rId110" Type="http://schemas.openxmlformats.org/officeDocument/2006/relationships/image" Target="media/image95.jpg"/><Relationship Id="rId115" Type="http://schemas.openxmlformats.org/officeDocument/2006/relationships/image" Target="media/image100.png"/><Relationship Id="rId131" Type="http://schemas.openxmlformats.org/officeDocument/2006/relationships/image" Target="media/image116.png"/><Relationship Id="rId136" Type="http://schemas.openxmlformats.org/officeDocument/2006/relationships/image" Target="media/image121.jpg"/><Relationship Id="rId61" Type="http://schemas.openxmlformats.org/officeDocument/2006/relationships/image" Target="media/image46.png"/><Relationship Id="rId82" Type="http://schemas.openxmlformats.org/officeDocument/2006/relationships/image" Target="media/image67.png"/><Relationship Id="rId19" Type="http://schemas.openxmlformats.org/officeDocument/2006/relationships/image" Target="media/image4.png"/><Relationship Id="rId14" Type="http://schemas.openxmlformats.org/officeDocument/2006/relationships/footer" Target="footer1.xml"/><Relationship Id="rId30" Type="http://schemas.openxmlformats.org/officeDocument/2006/relationships/image" Target="media/image15.png"/><Relationship Id="rId35" Type="http://schemas.openxmlformats.org/officeDocument/2006/relationships/image" Target="media/image20.png"/><Relationship Id="rId56" Type="http://schemas.openxmlformats.org/officeDocument/2006/relationships/image" Target="media/image41.png"/><Relationship Id="rId77" Type="http://schemas.openxmlformats.org/officeDocument/2006/relationships/image" Target="media/image62.emf"/><Relationship Id="rId100" Type="http://schemas.openxmlformats.org/officeDocument/2006/relationships/image" Target="media/image85.png"/><Relationship Id="rId105" Type="http://schemas.openxmlformats.org/officeDocument/2006/relationships/image" Target="media/image90.jpg"/><Relationship Id="rId126" Type="http://schemas.openxmlformats.org/officeDocument/2006/relationships/image" Target="media/image111.png"/><Relationship Id="rId14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6.png"/><Relationship Id="rId72" Type="http://schemas.openxmlformats.org/officeDocument/2006/relationships/image" Target="media/image57.png"/><Relationship Id="rId93" Type="http://schemas.openxmlformats.org/officeDocument/2006/relationships/image" Target="media/image78.png"/><Relationship Id="rId98" Type="http://schemas.openxmlformats.org/officeDocument/2006/relationships/image" Target="media/image83.png"/><Relationship Id="rId121" Type="http://schemas.openxmlformats.org/officeDocument/2006/relationships/image" Target="media/image106.png"/><Relationship Id="rId142" Type="http://schemas.openxmlformats.org/officeDocument/2006/relationships/image" Target="media/image127.jpg"/><Relationship Id="rId3" Type="http://schemas.openxmlformats.org/officeDocument/2006/relationships/customXml" Target="../customXml/item3.xml"/><Relationship Id="rId25" Type="http://schemas.openxmlformats.org/officeDocument/2006/relationships/image" Target="media/image10.png"/><Relationship Id="rId46" Type="http://schemas.openxmlformats.org/officeDocument/2006/relationships/image" Target="media/image31.png"/><Relationship Id="rId67" Type="http://schemas.openxmlformats.org/officeDocument/2006/relationships/image" Target="media/image52.png"/><Relationship Id="rId116" Type="http://schemas.openxmlformats.org/officeDocument/2006/relationships/image" Target="media/image101.png"/><Relationship Id="rId137" Type="http://schemas.openxmlformats.org/officeDocument/2006/relationships/image" Target="media/image122.jpg"/><Relationship Id="rId20" Type="http://schemas.openxmlformats.org/officeDocument/2006/relationships/image" Target="media/image5.emf"/><Relationship Id="rId41" Type="http://schemas.openxmlformats.org/officeDocument/2006/relationships/image" Target="media/image26.png"/><Relationship Id="rId62" Type="http://schemas.openxmlformats.org/officeDocument/2006/relationships/image" Target="media/image47.png"/><Relationship Id="rId83" Type="http://schemas.openxmlformats.org/officeDocument/2006/relationships/image" Target="media/image68.png"/><Relationship Id="rId88" Type="http://schemas.openxmlformats.org/officeDocument/2006/relationships/image" Target="media/image73.png"/><Relationship Id="rId111" Type="http://schemas.openxmlformats.org/officeDocument/2006/relationships/image" Target="media/image96.jpg"/><Relationship Id="rId132" Type="http://schemas.openxmlformats.org/officeDocument/2006/relationships/image" Target="media/image117.jpg"/><Relationship Id="rId15" Type="http://schemas.openxmlformats.org/officeDocument/2006/relationships/footer" Target="footer2.xml"/><Relationship Id="rId36" Type="http://schemas.openxmlformats.org/officeDocument/2006/relationships/image" Target="media/image21.png"/><Relationship Id="rId57" Type="http://schemas.openxmlformats.org/officeDocument/2006/relationships/image" Target="media/image42.png"/><Relationship Id="rId106" Type="http://schemas.openxmlformats.org/officeDocument/2006/relationships/image" Target="media/image91.jpg"/><Relationship Id="rId127" Type="http://schemas.openxmlformats.org/officeDocument/2006/relationships/image" Target="media/image112.png"/><Relationship Id="rId10" Type="http://schemas.openxmlformats.org/officeDocument/2006/relationships/endnotes" Target="endnotes.xml"/><Relationship Id="rId31" Type="http://schemas.openxmlformats.org/officeDocument/2006/relationships/image" Target="media/image16.png"/><Relationship Id="rId52" Type="http://schemas.openxmlformats.org/officeDocument/2006/relationships/image" Target="media/image37.png"/><Relationship Id="rId73" Type="http://schemas.openxmlformats.org/officeDocument/2006/relationships/image" Target="media/image58.png"/><Relationship Id="rId78" Type="http://schemas.openxmlformats.org/officeDocument/2006/relationships/image" Target="media/image63.png"/><Relationship Id="rId94" Type="http://schemas.openxmlformats.org/officeDocument/2006/relationships/image" Target="media/image79.png"/><Relationship Id="rId99" Type="http://schemas.openxmlformats.org/officeDocument/2006/relationships/image" Target="media/image84.png"/><Relationship Id="rId101" Type="http://schemas.openxmlformats.org/officeDocument/2006/relationships/image" Target="media/image86.png"/><Relationship Id="rId122" Type="http://schemas.openxmlformats.org/officeDocument/2006/relationships/image" Target="media/image107.png"/><Relationship Id="rId143" Type="http://schemas.openxmlformats.org/officeDocument/2006/relationships/image" Target="media/image128.png"/><Relationship Id="rId148"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1.png"/><Relationship Id="rId47" Type="http://schemas.openxmlformats.org/officeDocument/2006/relationships/image" Target="media/image32.png"/><Relationship Id="rId68" Type="http://schemas.openxmlformats.org/officeDocument/2006/relationships/image" Target="media/image53.jpg"/><Relationship Id="rId89" Type="http://schemas.openxmlformats.org/officeDocument/2006/relationships/image" Target="media/image74.png"/><Relationship Id="rId112" Type="http://schemas.openxmlformats.org/officeDocument/2006/relationships/image" Target="media/image97.jpg"/><Relationship Id="rId133" Type="http://schemas.openxmlformats.org/officeDocument/2006/relationships/image" Target="media/image118.jpg"/><Relationship Id="rId16" Type="http://schemas.openxmlformats.org/officeDocument/2006/relationships/header" Target="header3.xml"/><Relationship Id="rId37" Type="http://schemas.openxmlformats.org/officeDocument/2006/relationships/image" Target="media/image22.png"/><Relationship Id="rId58" Type="http://schemas.openxmlformats.org/officeDocument/2006/relationships/image" Target="media/image43.png"/><Relationship Id="rId79" Type="http://schemas.openxmlformats.org/officeDocument/2006/relationships/image" Target="media/image64.png"/><Relationship Id="rId102" Type="http://schemas.openxmlformats.org/officeDocument/2006/relationships/image" Target="media/image87.png"/><Relationship Id="rId123" Type="http://schemas.openxmlformats.org/officeDocument/2006/relationships/image" Target="media/image108.png"/><Relationship Id="rId144" Type="http://schemas.openxmlformats.org/officeDocument/2006/relationships/image" Target="media/image129.png"/><Relationship Id="rId90" Type="http://schemas.openxmlformats.org/officeDocument/2006/relationships/image" Target="media/image75.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0016F76E-18AA-4C2C-BAD2-456AF4A1B455}">
    <t:Anchor>
      <t:Comment id="1118425847"/>
    </t:Anchor>
    <t:History>
      <t:Event id="{82BBEB31-563A-49A8-A6D9-5A0F717E18D9}" time="2026-03-09T11:45:29.06Z">
        <t:Attribution userId="S::angela.freitas@einstein.br::561af978-12de-4a16-93b1-d7ff680fe8a0" userProvider="AD" userName="Angela Costa Henriques de Freitas"/>
        <t:Anchor>
          <t:Comment id="1118425847"/>
        </t:Anchor>
        <t:Create/>
      </t:Event>
      <t:Event id="{4B1E3E1D-2CB5-47B5-8E2C-A364EA4857B3}" time="2026-03-09T11:45:29.06Z">
        <t:Attribution userId="S::angela.freitas@einstein.br::561af978-12de-4a16-93b1-d7ff680fe8a0" userProvider="AD" userName="Angela Costa Henriques de Freitas"/>
        <t:Anchor>
          <t:Comment id="1118425847"/>
        </t:Anchor>
        <t:Assign userId="S::flavio.borges@einstein.br::22643b70-1359-40af-9931-7106029cced0" userProvider="AD" userName="Flavio Araujo Borges Junior"/>
      </t:Event>
      <t:Event id="{9328633E-F81A-46E2-A602-983E6036FAA0}" time="2026-03-09T11:45:29.06Z">
        <t:Attribution userId="S::angela.freitas@einstein.br::561af978-12de-4a16-93b1-d7ff680fe8a0" userProvider="AD" userName="Angela Costa Henriques de Freitas"/>
        <t:Anchor>
          <t:Comment id="1118425847"/>
        </t:Anchor>
        <t:SetTitle title="@Flavio Araujo Borges Junior por gentileza, conseguimos finalizar hoje?"/>
      </t:Event>
    </t:History>
  </t:Task>
  <t:Task id="{BD66C810-EF41-4647-97CC-C4070BB1DDEB}">
    <t:Anchor>
      <t:Comment id="329458017"/>
    </t:Anchor>
    <t:History>
      <t:Event id="{BB62C13A-7483-47A5-8DD8-CFC065670B47}" time="2026-03-09T11:47:34.655Z">
        <t:Attribution userId="S::angela.freitas@einstein.br::561af978-12de-4a16-93b1-d7ff680fe8a0" userProvider="AD" userName="Angela Costa Henriques de Freitas"/>
        <t:Anchor>
          <t:Comment id="329458017"/>
        </t:Anchor>
        <t:Create/>
      </t:Event>
      <t:Event id="{85FBDFF2-3610-4786-95A3-638DF22258A5}" time="2026-03-09T11:47:34.655Z">
        <t:Attribution userId="S::angela.freitas@einstein.br::561af978-12de-4a16-93b1-d7ff680fe8a0" userProvider="AD" userName="Angela Costa Henriques de Freitas"/>
        <t:Anchor>
          <t:Comment id="329458017"/>
        </t:Anchor>
        <t:Assign userId="S::patrick.correia@einstein.br::5398b571-d905-454f-bf9c-bbb5df23685a" userProvider="AD" userName="Patrick Correia De Souza Araujo"/>
      </t:Event>
      <t:Event id="{F024B874-3CD4-4B00-9076-185BDCA94FD1}" time="2026-03-09T11:47:34.655Z">
        <t:Attribution userId="S::angela.freitas@einstein.br::561af978-12de-4a16-93b1-d7ff680fe8a0" userProvider="AD" userName="Angela Costa Henriques de Freitas"/>
        <t:Anchor>
          <t:Comment id="329458017"/>
        </t:Anchor>
        <t:SetTitle title="@Patrick Correia De Souza Araujo por gentileza, conseguimos finalizar hoje?"/>
      </t:Event>
      <t:Event id="{A30E35E0-CEE6-449A-8E9E-F294300BADCD}" time="2026-03-10T04:40:10.819Z">
        <t:Attribution userId="S::patrick.correia@einstein.br::5398b571-d905-454f-bf9c-bbb5df23685a" userProvider="AD" userName="Patrick Correia De Souza Araujo"/>
        <t:Progress percentComplete="100"/>
      </t:Event>
      <t:Event id="{7B728BE6-4DD2-48B4-9652-5A19757C8310}" time="2026-03-10T04:40:24.273Z">
        <t:Attribution userId="S::patrick.correia@einstein.br::5398b571-d905-454f-bf9c-bbb5df23685a" userProvider="AD" userName="Patrick Correia De Souza Araujo"/>
        <t:Progress percentComplete="0"/>
      </t:Event>
    </t:History>
  </t:Task>
  <t:Task id="{7D891EB9-0A0E-493C-AA31-87D90B79FC69}">
    <t:Anchor>
      <t:Comment id="532788142"/>
    </t:Anchor>
    <t:History>
      <t:Event id="{283B4271-B2D6-4086-8A06-AB1B54467EA2}" time="2026-03-09T11:52:54.493Z">
        <t:Attribution userId="S::angela.freitas@einstein.br::561af978-12de-4a16-93b1-d7ff680fe8a0" userProvider="AD" userName="Angela Costa Henriques de Freitas"/>
        <t:Anchor>
          <t:Comment id="532788142"/>
        </t:Anchor>
        <t:Create/>
      </t:Event>
      <t:Event id="{117620DA-83D6-4DFC-A937-2CE034D89161}" time="2026-03-09T11:52:54.493Z">
        <t:Attribution userId="S::angela.freitas@einstein.br::561af978-12de-4a16-93b1-d7ff680fe8a0" userProvider="AD" userName="Angela Costa Henriques de Freitas"/>
        <t:Anchor>
          <t:Comment id="532788142"/>
        </t:Anchor>
        <t:Assign userId="S::vinicius.cr@einstein.br::afb335ac-5238-4851-8376-6b4ee090e59c" userProvider="AD" userName="Vinicius Cavalcante Rodrigues"/>
      </t:Event>
      <t:Event id="{DD0FE9A1-95BB-45BC-86E0-760B03014BF7}" time="2026-03-09T11:52:54.493Z">
        <t:Attribution userId="S::angela.freitas@einstein.br::561af978-12de-4a16-93b1-d7ff680fe8a0" userProvider="AD" userName="Angela Costa Henriques de Freitas"/>
        <t:Anchor>
          <t:Comment id="532788142"/>
        </t:Anchor>
        <t:SetTitle title="@Vinicius Cavalcante Rodrigues por gentileza, conseguimos finalizar hoje?"/>
      </t:Event>
    </t:History>
  </t:Task>
  <t:Task id="{852E6FF0-4BDD-4710-81C0-46487ED59333}">
    <t:Anchor>
      <t:Comment id="370259271"/>
    </t:Anchor>
    <t:History>
      <t:Event id="{162271C2-17FB-4ACA-B940-B3C8026B45BD}" time="2026-03-09T11:47:57.277Z">
        <t:Attribution userId="S::angela.freitas@einstein.br::561af978-12de-4a16-93b1-d7ff680fe8a0" userProvider="AD" userName="Angela Costa Henriques de Freitas"/>
        <t:Anchor>
          <t:Comment id="370259271"/>
        </t:Anchor>
        <t:Create/>
      </t:Event>
      <t:Event id="{CBC61E76-D31E-4E14-B9A9-BC4A71F420AC}" time="2026-03-09T11:47:57.277Z">
        <t:Attribution userId="S::angela.freitas@einstein.br::561af978-12de-4a16-93b1-d7ff680fe8a0" userProvider="AD" userName="Angela Costa Henriques de Freitas"/>
        <t:Anchor>
          <t:Comment id="370259271"/>
        </t:Anchor>
        <t:Assign userId="S::danilo.lili@einstein.br::69432669-6302-4690-a803-37587812daea" userProvider="AD" userName="Danilo da Silva Lili"/>
      </t:Event>
      <t:Event id="{6ECCC747-487D-4F98-A524-02499FAE9E85}" time="2026-03-09T11:47:57.277Z">
        <t:Attribution userId="S::angela.freitas@einstein.br::561af978-12de-4a16-93b1-d7ff680fe8a0" userProvider="AD" userName="Angela Costa Henriques de Freitas"/>
        <t:Anchor>
          <t:Comment id="370259271"/>
        </t:Anchor>
        <t:SetTitle title="@Danilo da Silva Lili por gentileza, conseguimos finalizar hoje?"/>
      </t:Event>
    </t:History>
  </t:Task>
</t:Task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6E19BDD946C7E54D9A497468898A4FB9" ma:contentTypeVersion="13" ma:contentTypeDescription="Crie um novo documento." ma:contentTypeScope="" ma:versionID="6db3cae6c70ed98009ed5d3f125ffd24">
  <xsd:schema xmlns:xsd="http://www.w3.org/2001/XMLSchema" xmlns:xs="http://www.w3.org/2001/XMLSchema" xmlns:p="http://schemas.microsoft.com/office/2006/metadata/properties" xmlns:ns1="http://schemas.microsoft.com/sharepoint/v3" xmlns:ns2="c89db878-fa80-4a05-9395-86cde86b9cec" xmlns:ns3="7d07ea07-c772-45fb-8566-4c8976260eda" targetNamespace="http://schemas.microsoft.com/office/2006/metadata/properties" ma:root="true" ma:fieldsID="8199c34cf2437c5c99863c20f498ce23" ns1:_="" ns2:_="" ns3:_="">
    <xsd:import namespace="http://schemas.microsoft.com/sharepoint/v3"/>
    <xsd:import namespace="c89db878-fa80-4a05-9395-86cde86b9cec"/>
    <xsd:import namespace="7d07ea07-c772-45fb-8566-4c8976260e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Propriedades da Política de Conformidade Unificada" ma:hidden="true" ma:internalName="_ip_UnifiedCompliancePolicyProperties">
      <xsd:simpleType>
        <xsd:restriction base="dms:Note"/>
      </xsd:simpleType>
    </xsd:element>
    <xsd:element name="_ip_UnifiedCompliancePolicyUIAction" ma:index="12" nillable="true" ma:displayName="Ação de Interface do Usuário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db878-fa80-4a05-9395-86cde86b9c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Marcações de imagem" ma:readOnly="false" ma:fieldId="{5cf76f15-5ced-4ddc-b409-7134ff3c332f}" ma:taxonomyMulti="true" ma:sspId="af7ba5c7-e7e8-46ad-a5c3-76d2e405b1e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tatus de liberação"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07ea07-c772-45fb-8566-4c8976260ed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074f302-1f08-4a81-8dcc-1457fd74be94}" ma:internalName="TaxCatchAll" ma:showField="CatchAllData" ma:web="7d07ea07-c772-45fb-8566-4c8976260e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89db878-fa80-4a05-9395-86cde86b9cec">
      <Terms xmlns="http://schemas.microsoft.com/office/infopath/2007/PartnerControls"/>
    </lcf76f155ced4ddcb4097134ff3c332f>
    <TaxCatchAll xmlns="7d07ea07-c772-45fb-8566-4c8976260eda" xsi:nil="true"/>
    <_Flow_SignoffStatus xmlns="c89db878-fa80-4a05-9395-86cde86b9cec" xsi:nil="true"/>
  </documentManagement>
</p:properties>
</file>

<file path=customXml/itemProps1.xml><?xml version="1.0" encoding="utf-8"?>
<ds:datastoreItem xmlns:ds="http://schemas.openxmlformats.org/officeDocument/2006/customXml" ds:itemID="{8B1A8972-5AF3-4667-9645-6C5ABAF67D28}">
  <ds:schemaRefs>
    <ds:schemaRef ds:uri="http://schemas.microsoft.com/sharepoint/v3/contenttype/forms"/>
  </ds:schemaRefs>
</ds:datastoreItem>
</file>

<file path=customXml/itemProps2.xml><?xml version="1.0" encoding="utf-8"?>
<ds:datastoreItem xmlns:ds="http://schemas.openxmlformats.org/officeDocument/2006/customXml" ds:itemID="{F9BCD10C-9445-40A2-AA6D-D4395D421D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9db878-fa80-4a05-9395-86cde86b9cec"/>
    <ds:schemaRef ds:uri="7d07ea07-c772-45fb-8566-4c8976260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8F778D-1A60-4C87-A233-14B891ED9F04}">
  <ds:schemaRefs>
    <ds:schemaRef ds:uri="http://schemas.openxmlformats.org/officeDocument/2006/bibliography"/>
  </ds:schemaRefs>
</ds:datastoreItem>
</file>

<file path=customXml/itemProps4.xml><?xml version="1.0" encoding="utf-8"?>
<ds:datastoreItem xmlns:ds="http://schemas.openxmlformats.org/officeDocument/2006/customXml" ds:itemID="{6A766BE5-32C1-4518-95D6-BD79CB1DDFE9}">
  <ds:schemaRefs>
    <ds:schemaRef ds:uri="http://schemas.microsoft.com/office/2006/metadata/properties"/>
    <ds:schemaRef ds:uri="http://schemas.microsoft.com/office/infopath/2007/PartnerControls"/>
    <ds:schemaRef ds:uri="http://schemas.microsoft.com/sharepoint/v3"/>
    <ds:schemaRef ds:uri="c89db878-fa80-4a05-9395-86cde86b9cec"/>
    <ds:schemaRef ds:uri="7d07ea07-c772-45fb-8566-4c8976260ed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100</Pages>
  <Words>16509</Words>
  <Characters>89149</Characters>
  <Application>Microsoft Office Word</Application>
  <DocSecurity>0</DocSecurity>
  <Lines>742</Lines>
  <Paragraphs>210</Paragraphs>
  <ScaleCrop>false</ScaleCrop>
  <Company/>
  <LinksUpToDate>false</LinksUpToDate>
  <CharactersWithSpaces>105448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Rafael de Lima</cp:lastModifiedBy>
  <cp:revision>2</cp:revision>
  <cp:lastPrinted>2026-07-06T23:14:00Z</cp:lastPrinted>
  <dcterms:created xsi:type="dcterms:W3CDTF">2026-07-07T15:01:00Z</dcterms:created>
  <dcterms:modified xsi:type="dcterms:W3CDTF">2026-07-07T15:01:00Z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0x0101006E19BDD946C7E54D9A497468898A4FB9</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{"FileActivityType":"9","FileActivityTimeStamp":"2026-02-03T12:28:00.953Z","FileActivityUsersOnPage":[{"DisplayName":"Vinicius Cavalcante Rodrigues","Id":"vinicius.cr@einstein.br"},{"DisplayName":"Rodolpho Sarmento Macedo","Id":"rodolpho.macedo@einstein.br"}],"FileActivityNavigationId":null}</vt:lpwstr>
  </property>
  <property fmtid="{D5CDD505-2E9C-101B-9397-08002B2CF9AE}" pid="7" name="TriggerFlowInfo">
    <vt:lpwstr/>
  </property>
  <property fmtid="{D5CDD505-2E9C-101B-9397-08002B2CF9AE}" pid="8" name="docLang">
    <vt:lpwstr>pt</vt:lpwstr>
  </property>
</Properties>
</file>