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19"/>
        <w:rPr>
          <w:rFonts w:ascii="Times New Roman"/>
        </w:rPr>
      </w:pPr>
    </w:p>
    <w:p>
      <w:pPr>
        <w:pStyle w:val="BodyText"/>
        <w:ind w:right="167"/>
        <w:jc w:val="right"/>
      </w:pPr>
      <w:r>
        <w:rPr/>
        <w:t>Goiânia,</w:t>
      </w:r>
      <w:r>
        <w:rPr>
          <w:spacing w:val="-3"/>
        </w:rPr>
        <w:t> </w:t>
      </w:r>
      <w:r>
        <w:rPr/>
        <w:t>10 de</w:t>
      </w:r>
      <w:r>
        <w:rPr>
          <w:spacing w:val="-1"/>
        </w:rPr>
        <w:t> </w:t>
      </w:r>
      <w:r>
        <w:rPr/>
        <w:t>julho de</w:t>
      </w:r>
      <w:r>
        <w:rPr>
          <w:spacing w:val="-5"/>
        </w:rPr>
        <w:t> </w:t>
      </w:r>
      <w:r>
        <w:rPr>
          <w:spacing w:val="-4"/>
        </w:rPr>
        <w:t>2025</w:t>
      </w:r>
    </w:p>
    <w:p>
      <w:pPr>
        <w:spacing w:before="242"/>
        <w:ind w:left="73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Ofício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nº</w:t>
      </w:r>
      <w:r>
        <w:rPr>
          <w:rFonts w:ascii="Arial" w:hAnsi="Arial"/>
          <w:b/>
          <w:spacing w:val="-2"/>
          <w:sz w:val="22"/>
        </w:rPr>
        <w:t> 0571/2025</w:t>
      </w:r>
    </w:p>
    <w:p>
      <w:pPr>
        <w:spacing w:line="249" w:lineRule="exact" w:before="237"/>
        <w:ind w:left="73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À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Secretaria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Estadual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 </w:t>
      </w:r>
      <w:r>
        <w:rPr>
          <w:rFonts w:ascii="Arial" w:hAnsi="Arial"/>
          <w:b/>
          <w:spacing w:val="-4"/>
          <w:sz w:val="22"/>
        </w:rPr>
        <w:t>Saúde</w:t>
      </w:r>
    </w:p>
    <w:p>
      <w:pPr>
        <w:spacing w:line="249" w:lineRule="exact" w:before="0"/>
        <w:ind w:left="73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Gerência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Monitoramento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Avaliação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Execução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dos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Contratos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Gestão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33"/>
        <w:rPr>
          <w:rFonts w:ascii="Arial"/>
          <w:b/>
        </w:rPr>
      </w:pPr>
    </w:p>
    <w:p>
      <w:pPr>
        <w:spacing w:line="232" w:lineRule="auto" w:before="0"/>
        <w:ind w:left="734" w:right="118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Assunto: Relatório de Metas Quantitativas, Qualitativas e Informações Financeiras, referente ao Termo de Colaboração nº 097/2024.</w:t>
      </w:r>
    </w:p>
    <w:p>
      <w:pPr>
        <w:pStyle w:val="BodyText"/>
        <w:spacing w:before="238"/>
        <w:ind w:left="734"/>
        <w:jc w:val="both"/>
      </w:pPr>
      <w:r>
        <w:rPr/>
        <w:t>Prezado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>
          <w:spacing w:val="-2"/>
        </w:rPr>
        <w:t>Secretário</w:t>
      </w:r>
    </w:p>
    <w:p>
      <w:pPr>
        <w:pStyle w:val="BodyText"/>
      </w:pPr>
    </w:p>
    <w:p>
      <w:pPr>
        <w:pStyle w:val="BodyText"/>
        <w:spacing w:before="102"/>
      </w:pPr>
    </w:p>
    <w:p>
      <w:pPr>
        <w:spacing w:before="0"/>
        <w:ind w:left="1455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SOCIEDADE</w:t>
      </w:r>
      <w:r>
        <w:rPr>
          <w:rFonts w:ascii="Arial"/>
          <w:b/>
          <w:spacing w:val="57"/>
          <w:sz w:val="22"/>
        </w:rPr>
        <w:t> </w:t>
      </w:r>
      <w:r>
        <w:rPr>
          <w:rFonts w:ascii="Arial"/>
          <w:b/>
          <w:sz w:val="22"/>
        </w:rPr>
        <w:t>BENEFICENTE</w:t>
      </w:r>
      <w:r>
        <w:rPr>
          <w:rFonts w:ascii="Arial"/>
          <w:b/>
          <w:spacing w:val="58"/>
          <w:sz w:val="22"/>
        </w:rPr>
        <w:t> </w:t>
      </w:r>
      <w:r>
        <w:rPr>
          <w:rFonts w:ascii="Arial"/>
          <w:b/>
          <w:sz w:val="22"/>
        </w:rPr>
        <w:t>ISRAELITA</w:t>
      </w:r>
      <w:r>
        <w:rPr>
          <w:rFonts w:ascii="Arial"/>
          <w:b/>
          <w:spacing w:val="60"/>
          <w:sz w:val="22"/>
        </w:rPr>
        <w:t> </w:t>
      </w:r>
      <w:r>
        <w:rPr>
          <w:rFonts w:ascii="Arial"/>
          <w:b/>
          <w:sz w:val="22"/>
        </w:rPr>
        <w:t>BRASILEIRA</w:t>
      </w:r>
      <w:r>
        <w:rPr>
          <w:rFonts w:ascii="Arial"/>
          <w:b/>
          <w:spacing w:val="61"/>
          <w:sz w:val="22"/>
        </w:rPr>
        <w:t> </w:t>
      </w:r>
      <w:r>
        <w:rPr>
          <w:rFonts w:ascii="Arial"/>
          <w:b/>
          <w:sz w:val="22"/>
        </w:rPr>
        <w:t>HOSPITAL</w:t>
      </w:r>
      <w:r>
        <w:rPr>
          <w:rFonts w:ascii="Arial"/>
          <w:b/>
          <w:spacing w:val="60"/>
          <w:sz w:val="22"/>
        </w:rPr>
        <w:t> </w:t>
      </w:r>
      <w:r>
        <w:rPr>
          <w:rFonts w:ascii="Arial"/>
          <w:b/>
          <w:sz w:val="22"/>
        </w:rPr>
        <w:t>ALBERT</w:t>
      </w:r>
      <w:r>
        <w:rPr>
          <w:rFonts w:ascii="Arial"/>
          <w:b/>
          <w:spacing w:val="65"/>
          <w:sz w:val="22"/>
        </w:rPr>
        <w:t> </w:t>
      </w:r>
      <w:r>
        <w:rPr>
          <w:rFonts w:ascii="Arial"/>
          <w:b/>
          <w:spacing w:val="-2"/>
          <w:sz w:val="22"/>
        </w:rPr>
        <w:t>EINSTEIN</w:t>
      </w:r>
    </w:p>
    <w:p>
      <w:pPr>
        <w:spacing w:line="350" w:lineRule="auto" w:before="112"/>
        <w:ind w:left="734" w:right="164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(SBIBHAE),</w:t>
      </w:r>
      <w:r>
        <w:rPr>
          <w:rFonts w:ascii="Arial" w:hAnsi="Arial"/>
          <w:b/>
          <w:spacing w:val="-16"/>
          <w:sz w:val="22"/>
        </w:rPr>
        <w:t> </w:t>
      </w:r>
      <w:r>
        <w:rPr>
          <w:sz w:val="22"/>
        </w:rPr>
        <w:t>pessoa</w:t>
      </w:r>
      <w:r>
        <w:rPr>
          <w:spacing w:val="-11"/>
          <w:sz w:val="22"/>
        </w:rPr>
        <w:t> </w:t>
      </w:r>
      <w:r>
        <w:rPr>
          <w:sz w:val="22"/>
        </w:rPr>
        <w:t>jurídica,</w:t>
      </w:r>
      <w:r>
        <w:rPr>
          <w:spacing w:val="-15"/>
          <w:sz w:val="22"/>
        </w:rPr>
        <w:t> </w:t>
      </w:r>
      <w:r>
        <w:rPr>
          <w:sz w:val="22"/>
        </w:rPr>
        <w:t>associação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caráter</w:t>
      </w:r>
      <w:r>
        <w:rPr>
          <w:spacing w:val="-16"/>
          <w:sz w:val="22"/>
        </w:rPr>
        <w:t> </w:t>
      </w:r>
      <w:r>
        <w:rPr>
          <w:sz w:val="22"/>
        </w:rPr>
        <w:t>beneficente,</w:t>
      </w:r>
      <w:r>
        <w:rPr>
          <w:spacing w:val="-15"/>
          <w:sz w:val="22"/>
        </w:rPr>
        <w:t> </w:t>
      </w:r>
      <w:r>
        <w:rPr>
          <w:sz w:val="22"/>
        </w:rPr>
        <w:t>social</w:t>
      </w:r>
      <w:r>
        <w:rPr>
          <w:spacing w:val="-13"/>
          <w:sz w:val="22"/>
        </w:rPr>
        <w:t> </w:t>
      </w:r>
      <w:r>
        <w:rPr>
          <w:sz w:val="22"/>
        </w:rPr>
        <w:t>e</w:t>
      </w:r>
      <w:r>
        <w:rPr>
          <w:spacing w:val="-12"/>
          <w:sz w:val="22"/>
        </w:rPr>
        <w:t> </w:t>
      </w:r>
      <w:r>
        <w:rPr>
          <w:sz w:val="22"/>
        </w:rPr>
        <w:t>científico,</w:t>
      </w:r>
      <w:r>
        <w:rPr>
          <w:spacing w:val="-15"/>
          <w:sz w:val="22"/>
        </w:rPr>
        <w:t> </w:t>
      </w:r>
      <w:r>
        <w:rPr>
          <w:sz w:val="22"/>
        </w:rPr>
        <w:t>sem</w:t>
      </w:r>
      <w:r>
        <w:rPr>
          <w:spacing w:val="-12"/>
          <w:sz w:val="22"/>
        </w:rPr>
        <w:t> </w:t>
      </w:r>
      <w:r>
        <w:rPr>
          <w:sz w:val="22"/>
        </w:rPr>
        <w:t>fins</w:t>
      </w:r>
      <w:r>
        <w:rPr>
          <w:spacing w:val="-14"/>
          <w:sz w:val="22"/>
        </w:rPr>
        <w:t> </w:t>
      </w:r>
      <w:r>
        <w:rPr>
          <w:sz w:val="22"/>
        </w:rPr>
        <w:t>lucrativos, inscrita no CNPJ sob nº 60.765.823/0090-05, neste ato representada por sua procuradora infra- assinado,</w:t>
      </w:r>
      <w:r>
        <w:rPr>
          <w:spacing w:val="-10"/>
          <w:sz w:val="22"/>
        </w:rPr>
        <w:t> </w:t>
      </w:r>
      <w:r>
        <w:rPr>
          <w:sz w:val="22"/>
        </w:rPr>
        <w:t>vem</w:t>
      </w:r>
      <w:r>
        <w:rPr>
          <w:spacing w:val="-7"/>
          <w:sz w:val="22"/>
        </w:rPr>
        <w:t> </w:t>
      </w:r>
      <w:r>
        <w:rPr>
          <w:sz w:val="22"/>
        </w:rPr>
        <w:t>respeitosamente,</w:t>
      </w:r>
      <w:r>
        <w:rPr>
          <w:spacing w:val="-10"/>
          <w:sz w:val="22"/>
        </w:rPr>
        <w:t> </w:t>
      </w:r>
      <w:r>
        <w:rPr>
          <w:sz w:val="22"/>
        </w:rPr>
        <w:t>informar</w:t>
      </w:r>
      <w:r>
        <w:rPr>
          <w:spacing w:val="-1"/>
          <w:sz w:val="22"/>
        </w:rPr>
        <w:t> </w:t>
      </w:r>
      <w:r>
        <w:rPr>
          <w:rFonts w:ascii="Arial" w:hAnsi="Arial"/>
          <w:b/>
          <w:sz w:val="22"/>
        </w:rPr>
        <w:t>que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anexo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este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ofício,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enviamos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relatório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das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metas quantitativas e qualitativas, bem como das informações financeiras e contábeis referente ao período de Junho/2025 do Termo de Colaboração nº 097/2024.</w:t>
      </w:r>
    </w:p>
    <w:p>
      <w:pPr>
        <w:pStyle w:val="BodyText"/>
        <w:spacing w:line="350" w:lineRule="auto" w:before="118"/>
        <w:ind w:left="734" w:right="167" w:firstLine="720"/>
        <w:jc w:val="both"/>
      </w:pPr>
      <w:r>
        <w:rPr/>
        <w:t>Colocamo-nos à disposição para quaisquer esclarecimentos adicionais e reiteramos nossos protestos de elevada estima e consideração.</w:t>
      </w:r>
    </w:p>
    <w:p>
      <w:pPr>
        <w:pStyle w:val="BodyText"/>
        <w:spacing w:before="234"/>
      </w:pPr>
    </w:p>
    <w:p>
      <w:pPr>
        <w:pStyle w:val="BodyText"/>
        <w:ind w:left="1455"/>
      </w:pPr>
      <w:r>
        <w:rPr>
          <w:spacing w:val="-2"/>
        </w:rPr>
        <w:t>Atenciosamente,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806767</wp:posOffset>
                </wp:positionH>
                <wp:positionV relativeFrom="paragraph">
                  <wp:posOffset>269569</wp:posOffset>
                </wp:positionV>
                <wp:extent cx="6308090" cy="1905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30809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8090" h="19050">
                              <a:moveTo>
                                <a:pt x="6308090" y="0"/>
                              </a:moveTo>
                              <a:lnTo>
                                <a:pt x="0" y="0"/>
                              </a:lnTo>
                              <a:lnTo>
                                <a:pt x="0" y="19049"/>
                              </a:lnTo>
                              <a:lnTo>
                                <a:pt x="6308090" y="19049"/>
                              </a:lnTo>
                              <a:lnTo>
                                <a:pt x="630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.525002pt;margin-top:21.225958pt;width:496.7pt;height:1.5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66" w:lineRule="auto" w:before="118"/>
        <w:ind w:left="5301" w:right="3919" w:firstLine="1"/>
        <w:jc w:val="center"/>
      </w:pPr>
      <w:r>
        <w:rPr/>
        <w:t>Fabiana Rolla Diretora</w:t>
      </w:r>
      <w:r>
        <w:rPr>
          <w:spacing w:val="-16"/>
        </w:rPr>
        <w:t> </w:t>
      </w:r>
      <w:r>
        <w:rPr/>
        <w:t>Médica</w:t>
      </w:r>
    </w:p>
    <w:p>
      <w:pPr>
        <w:pStyle w:val="BodyText"/>
        <w:spacing w:before="94"/>
        <w:ind w:left="1511" w:right="510"/>
        <w:jc w:val="center"/>
      </w:pPr>
      <w:r>
        <w:rPr/>
        <w:t>Hospital</w:t>
      </w:r>
      <w:r>
        <w:rPr>
          <w:spacing w:val="-3"/>
        </w:rPr>
        <w:t> </w:t>
      </w:r>
      <w:r>
        <w:rPr/>
        <w:t>Estadual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Urgências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Goiás</w:t>
      </w:r>
      <w:r>
        <w:rPr>
          <w:spacing w:val="-8"/>
        </w:rPr>
        <w:t> </w:t>
      </w:r>
      <w:r>
        <w:rPr/>
        <w:t>Dr.</w:t>
      </w:r>
      <w:r>
        <w:rPr>
          <w:spacing w:val="-5"/>
        </w:rPr>
        <w:t> </w:t>
      </w:r>
      <w:r>
        <w:rPr/>
        <w:t>Valdemiro</w:t>
      </w:r>
      <w:r>
        <w:rPr>
          <w:spacing w:val="-1"/>
        </w:rPr>
        <w:t> </w:t>
      </w:r>
      <w:r>
        <w:rPr/>
        <w:t>Cruz</w:t>
      </w:r>
      <w:r>
        <w:rPr>
          <w:spacing w:val="6"/>
        </w:rPr>
        <w:t> </w:t>
      </w:r>
      <w:r>
        <w:rPr/>
        <w:t>-</w:t>
      </w:r>
      <w:r>
        <w:rPr>
          <w:spacing w:val="-1"/>
        </w:rPr>
        <w:t> </w:t>
      </w:r>
      <w:r>
        <w:rPr>
          <w:spacing w:val="-4"/>
        </w:rPr>
        <w:t>HUGO</w:t>
      </w:r>
    </w:p>
    <w:p>
      <w:pPr>
        <w:pStyle w:val="BodyText"/>
        <w:spacing w:after="0"/>
        <w:jc w:val="center"/>
        <w:sectPr>
          <w:headerReference w:type="default" r:id="rId5"/>
          <w:footerReference w:type="default" r:id="rId6"/>
          <w:type w:val="continuous"/>
          <w:pgSz w:w="11910" w:h="16840"/>
          <w:pgMar w:header="722" w:footer="715" w:top="2100" w:bottom="900" w:left="566" w:right="566"/>
          <w:pgNumType w:start="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2"/>
      </w:pPr>
    </w:p>
    <w:p>
      <w:pPr>
        <w:spacing w:before="0"/>
        <w:ind w:left="135" w:right="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RELATÓRIO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8"/>
          <w:sz w:val="22"/>
        </w:rPr>
        <w:t> </w:t>
      </w:r>
      <w:r>
        <w:rPr>
          <w:rFonts w:ascii="Arial" w:hAnsi="Arial"/>
          <w:b/>
          <w:sz w:val="22"/>
        </w:rPr>
        <w:t>PRESTAÇÃO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pacing w:val="-2"/>
          <w:sz w:val="22"/>
        </w:rPr>
        <w:t>CONTAS</w:t>
      </w:r>
    </w:p>
    <w:p>
      <w:pPr>
        <w:pStyle w:val="BodyText"/>
        <w:spacing w:before="229"/>
        <w:rPr>
          <w:rFonts w:ascii="Arial"/>
          <w:b/>
        </w:rPr>
      </w:pPr>
    </w:p>
    <w:p>
      <w:pPr>
        <w:pStyle w:val="BodyText"/>
        <w:spacing w:line="251" w:lineRule="exact"/>
        <w:ind w:left="1071" w:right="510"/>
        <w:jc w:val="center"/>
      </w:pPr>
      <w:r>
        <w:rPr/>
        <w:t>Termo:</w:t>
      </w:r>
      <w:r>
        <w:rPr>
          <w:spacing w:val="-1"/>
        </w:rPr>
        <w:t> </w:t>
      </w:r>
      <w:r>
        <w:rPr>
          <w:spacing w:val="-2"/>
        </w:rPr>
        <w:t>097/2024</w:t>
      </w:r>
    </w:p>
    <w:p>
      <w:pPr>
        <w:pStyle w:val="BodyText"/>
        <w:spacing w:line="251" w:lineRule="exact"/>
        <w:ind w:left="1076" w:right="510"/>
        <w:jc w:val="center"/>
      </w:pPr>
      <w:r>
        <w:rPr/>
        <w:t>Período:</w:t>
      </w:r>
      <w:r>
        <w:rPr>
          <w:spacing w:val="-4"/>
        </w:rPr>
        <w:t> </w:t>
      </w:r>
      <w:r>
        <w:rPr/>
        <w:t>01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junho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30 de</w:t>
      </w:r>
      <w:r>
        <w:rPr>
          <w:spacing w:val="-1"/>
        </w:rPr>
        <w:t> </w:t>
      </w:r>
      <w:r>
        <w:rPr/>
        <w:t>junho </w:t>
      </w:r>
      <w:r>
        <w:rPr>
          <w:spacing w:val="-4"/>
        </w:rPr>
        <w:t>2025</w:t>
      </w:r>
    </w:p>
    <w:p>
      <w:pPr>
        <w:pStyle w:val="BodyText"/>
        <w:spacing w:after="0" w:line="251" w:lineRule="exact"/>
        <w:jc w:val="center"/>
        <w:sectPr>
          <w:pgSz w:w="11910" w:h="16840"/>
          <w:pgMar w:header="722" w:footer="715" w:top="2100" w:bottom="900" w:left="566" w:right="566"/>
        </w:sectPr>
      </w:pPr>
    </w:p>
    <w:p>
      <w:pPr>
        <w:pStyle w:val="BodyText"/>
        <w:spacing w:before="14"/>
      </w:pPr>
    </w:p>
    <w:p>
      <w:pPr>
        <w:pStyle w:val="ListParagraph"/>
        <w:numPr>
          <w:ilvl w:val="0"/>
          <w:numId w:val="1"/>
        </w:numPr>
        <w:tabs>
          <w:tab w:pos="1409" w:val="left" w:leader="none"/>
        </w:tabs>
        <w:spacing w:line="270" w:lineRule="exact" w:before="0" w:after="0"/>
        <w:ind w:left="1409" w:right="0" w:hanging="720"/>
        <w:jc w:val="left"/>
        <w:rPr>
          <w:rFonts w:ascii="Arial" w:hAnsi="Arial"/>
          <w:b/>
          <w:sz w:val="24"/>
        </w:rPr>
      </w:pPr>
      <w:bookmarkStart w:name="1. Introdução" w:id="1"/>
      <w:bookmarkEnd w:id="1"/>
      <w:r>
        <w:rPr/>
      </w:r>
      <w:r>
        <w:rPr>
          <w:rFonts w:ascii="Arial" w:hAnsi="Arial"/>
          <w:b/>
          <w:spacing w:val="-2"/>
          <w:sz w:val="22"/>
        </w:rPr>
        <w:t>Introdução</w:t>
      </w:r>
    </w:p>
    <w:p>
      <w:pPr>
        <w:pStyle w:val="BodyText"/>
        <w:spacing w:line="350" w:lineRule="auto"/>
        <w:ind w:left="689" w:right="562" w:firstLine="705"/>
        <w:jc w:val="both"/>
      </w:pPr>
      <w:r>
        <w:rPr/>
        <w:t>O</w:t>
      </w:r>
      <w:r>
        <w:rPr>
          <w:spacing w:val="-9"/>
        </w:rPr>
        <w:t> </w:t>
      </w:r>
      <w:r>
        <w:rPr/>
        <w:t>Hospital</w:t>
      </w:r>
      <w:r>
        <w:rPr>
          <w:spacing w:val="-7"/>
        </w:rPr>
        <w:t> </w:t>
      </w:r>
      <w:r>
        <w:rPr/>
        <w:t>Estadual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Urgências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Goiás</w:t>
      </w:r>
      <w:r>
        <w:rPr>
          <w:spacing w:val="-8"/>
        </w:rPr>
        <w:t> </w:t>
      </w:r>
      <w:r>
        <w:rPr/>
        <w:t>Dr.</w:t>
      </w:r>
      <w:r>
        <w:rPr>
          <w:spacing w:val="-9"/>
        </w:rPr>
        <w:t> </w:t>
      </w:r>
      <w:r>
        <w:rPr/>
        <w:t>Valdemiro</w:t>
      </w:r>
      <w:r>
        <w:rPr>
          <w:spacing w:val="-5"/>
        </w:rPr>
        <w:t> </w:t>
      </w:r>
      <w:r>
        <w:rPr/>
        <w:t>Cruz</w:t>
      </w:r>
      <w:r>
        <w:rPr>
          <w:spacing w:val="-8"/>
        </w:rPr>
        <w:t> </w:t>
      </w:r>
      <w:r>
        <w:rPr/>
        <w:t>(HUGO)</w:t>
      </w:r>
      <w:r>
        <w:rPr>
          <w:spacing w:val="-6"/>
        </w:rPr>
        <w:t> </w:t>
      </w:r>
      <w:r>
        <w:rPr/>
        <w:t>é</w:t>
      </w:r>
      <w:r>
        <w:rPr>
          <w:spacing w:val="-5"/>
        </w:rPr>
        <w:t> </w:t>
      </w:r>
      <w:r>
        <w:rPr/>
        <w:t>uma</w:t>
      </w:r>
      <w:r>
        <w:rPr>
          <w:spacing w:val="-5"/>
        </w:rPr>
        <w:t> </w:t>
      </w:r>
      <w:r>
        <w:rPr/>
        <w:t>unidade</w:t>
      </w:r>
      <w:r>
        <w:rPr>
          <w:spacing w:val="-5"/>
        </w:rPr>
        <w:t> </w:t>
      </w:r>
      <w:r>
        <w:rPr/>
        <w:t>de referência no atendimento de alta complexidade em urgência e emergência no estado de Goiás, incluindo pacientes politraumatizados, casos neurocirúrgicos, cirúrgicos e clínicos graves. Sua gestão é realizada pela Sociedade Beneficente Israelita Brasileira Albert Einstein, por meio do Termo de Colaboração nº 097/2024 celebrado com a Secretaria de Estado da Saúde.</w:t>
      </w:r>
    </w:p>
    <w:p>
      <w:pPr>
        <w:pStyle w:val="BodyText"/>
        <w:spacing w:line="348" w:lineRule="auto"/>
        <w:ind w:left="689" w:right="566" w:firstLine="705"/>
        <w:jc w:val="both"/>
      </w:pPr>
      <w:r>
        <w:rPr/>
        <w:t>Este relatório apresenta os resultados assistenciais,</w:t>
      </w:r>
      <w:r>
        <w:rPr>
          <w:spacing w:val="-1"/>
        </w:rPr>
        <w:t> </w:t>
      </w:r>
      <w:r>
        <w:rPr/>
        <w:t>operacionais e financeiros referentes ao período de 01 a 30 de junho de 2025, incluindo análises críticas que contribuem para o monitoramento, avaliação e aprimoramento contínuo dos serviços prestados.</w:t>
      </w:r>
    </w:p>
    <w:p>
      <w:pPr>
        <w:pStyle w:val="BodyText"/>
        <w:spacing w:before="111"/>
      </w:pPr>
    </w:p>
    <w:p>
      <w:pPr>
        <w:pStyle w:val="ListParagraph"/>
        <w:numPr>
          <w:ilvl w:val="0"/>
          <w:numId w:val="1"/>
        </w:numPr>
        <w:tabs>
          <w:tab w:pos="967" w:val="left" w:leader="none"/>
        </w:tabs>
        <w:spacing w:line="240" w:lineRule="auto" w:before="0" w:after="0"/>
        <w:ind w:left="967" w:right="0" w:hanging="278"/>
        <w:jc w:val="left"/>
        <w:rPr>
          <w:rFonts w:ascii="Arial" w:hAnsi="Arial"/>
          <w:b/>
          <w:sz w:val="24"/>
        </w:rPr>
      </w:pPr>
      <w:bookmarkStart w:name="2. Indicadores de Produção Assistencial" w:id="2"/>
      <w:bookmarkEnd w:id="2"/>
      <w:r>
        <w:rPr/>
      </w:r>
      <w:r>
        <w:rPr>
          <w:rFonts w:ascii="Arial" w:hAnsi="Arial"/>
          <w:b/>
          <w:sz w:val="22"/>
        </w:rPr>
        <w:t>Indicadores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Produção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pacing w:val="-2"/>
          <w:sz w:val="22"/>
        </w:rPr>
        <w:t>Assistencial</w:t>
      </w:r>
    </w:p>
    <w:p>
      <w:pPr>
        <w:pStyle w:val="BodyText"/>
        <w:spacing w:line="360" w:lineRule="auto" w:before="134"/>
        <w:ind w:left="689" w:right="564" w:firstLine="280"/>
        <w:jc w:val="both"/>
        <w:rPr>
          <w:rFonts w:ascii="Calibri" w:hAnsi="Calibri"/>
        </w:rPr>
      </w:pPr>
      <w:r>
        <w:rPr/>
        <w:t>No período de 01 a 30 de junho de 2025, o HUGO registrou pro</w:t>
      </w:r>
      <w:r>
        <w:rPr>
          <w:rFonts w:ascii="Calibri" w:hAnsi="Calibri"/>
        </w:rPr>
        <w:t>dução assistencial nos diferentes grupos pactuados em contrato, conforme Tabela 1. Destacam-se abaixo os resultados de internações e cirurgias realizadas no mês.</w:t>
      </w:r>
    </w:p>
    <w:p>
      <w:pPr>
        <w:spacing w:before="136"/>
        <w:ind w:left="709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Tabela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–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Produção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acumulada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pacing w:val="-2"/>
          <w:sz w:val="22"/>
        </w:rPr>
        <w:t>Junho/2025</w:t>
      </w:r>
    </w:p>
    <w:p>
      <w:pPr>
        <w:pStyle w:val="BodyText"/>
        <w:spacing w:before="3"/>
        <w:rPr>
          <w:rFonts w:ascii="Arial"/>
          <w:b/>
          <w:sz w:val="10"/>
        </w:rPr>
      </w:pPr>
    </w:p>
    <w:tbl>
      <w:tblPr>
        <w:tblW w:w="0" w:type="auto"/>
        <w:jc w:val="left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7"/>
        <w:gridCol w:w="920"/>
        <w:gridCol w:w="2961"/>
      </w:tblGrid>
      <w:tr>
        <w:trPr>
          <w:trHeight w:val="315" w:hRule="atLeast"/>
        </w:trPr>
        <w:tc>
          <w:tcPr>
            <w:tcW w:w="4927" w:type="dxa"/>
          </w:tcPr>
          <w:p>
            <w:pPr>
              <w:pStyle w:val="TableParagraph"/>
              <w:spacing w:before="28"/>
              <w:ind w:left="7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Internação</w:t>
            </w:r>
          </w:p>
        </w:tc>
        <w:tc>
          <w:tcPr>
            <w:tcW w:w="920" w:type="dxa"/>
          </w:tcPr>
          <w:p>
            <w:pPr>
              <w:pStyle w:val="TableParagraph"/>
              <w:spacing w:before="28"/>
              <w:ind w:left="16" w:right="4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2961" w:type="dxa"/>
          </w:tcPr>
          <w:p>
            <w:pPr>
              <w:pStyle w:val="TableParagraph"/>
              <w:spacing w:line="246" w:lineRule="exact" w:before="48"/>
              <w:ind w:left="8" w:right="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2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Junho/2025</w:t>
            </w:r>
          </w:p>
        </w:tc>
      </w:tr>
      <w:tr>
        <w:trPr>
          <w:trHeight w:val="305" w:hRule="atLeast"/>
        </w:trPr>
        <w:tc>
          <w:tcPr>
            <w:tcW w:w="4927" w:type="dxa"/>
          </w:tcPr>
          <w:p>
            <w:pPr>
              <w:pStyle w:val="TableParagraph"/>
              <w:spacing w:before="23"/>
              <w:ind w:left="7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Clínica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cirúrgica</w:t>
            </w:r>
          </w:p>
        </w:tc>
        <w:tc>
          <w:tcPr>
            <w:tcW w:w="920" w:type="dxa"/>
          </w:tcPr>
          <w:p>
            <w:pPr>
              <w:pStyle w:val="TableParagraph"/>
              <w:spacing w:before="23"/>
              <w:ind w:left="16" w:right="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1.118</w:t>
            </w:r>
          </w:p>
        </w:tc>
        <w:tc>
          <w:tcPr>
            <w:tcW w:w="2961" w:type="dxa"/>
          </w:tcPr>
          <w:p>
            <w:pPr>
              <w:pStyle w:val="TableParagraph"/>
              <w:spacing w:before="18"/>
              <w:ind w:lef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758</w:t>
            </w:r>
          </w:p>
        </w:tc>
      </w:tr>
      <w:tr>
        <w:trPr>
          <w:trHeight w:val="300" w:hRule="atLeast"/>
        </w:trPr>
        <w:tc>
          <w:tcPr>
            <w:tcW w:w="4927" w:type="dxa"/>
          </w:tcPr>
          <w:p>
            <w:pPr>
              <w:pStyle w:val="TableParagraph"/>
              <w:spacing w:before="18"/>
              <w:ind w:left="7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Clínica</w:t>
            </w:r>
            <w:r>
              <w:rPr>
                <w:rFonts w:ascii="Arial MT" w:hAnsi="Arial MT"/>
                <w:spacing w:val="-7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médica</w:t>
            </w:r>
          </w:p>
        </w:tc>
        <w:tc>
          <w:tcPr>
            <w:tcW w:w="920" w:type="dxa"/>
          </w:tcPr>
          <w:p>
            <w:pPr>
              <w:pStyle w:val="TableParagraph"/>
              <w:spacing w:before="18"/>
              <w:ind w:left="16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328</w:t>
            </w:r>
          </w:p>
        </w:tc>
        <w:tc>
          <w:tcPr>
            <w:tcW w:w="2961" w:type="dxa"/>
          </w:tcPr>
          <w:p>
            <w:pPr>
              <w:pStyle w:val="TableParagraph"/>
              <w:spacing w:before="13"/>
              <w:ind w:lef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254</w:t>
            </w:r>
          </w:p>
        </w:tc>
      </w:tr>
      <w:tr>
        <w:trPr>
          <w:trHeight w:val="300" w:hRule="atLeast"/>
        </w:trPr>
        <w:tc>
          <w:tcPr>
            <w:tcW w:w="4927" w:type="dxa"/>
          </w:tcPr>
          <w:p>
            <w:pPr>
              <w:pStyle w:val="TableParagraph"/>
              <w:spacing w:before="19"/>
              <w:ind w:left="7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Clínica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neurológica</w:t>
            </w:r>
          </w:p>
        </w:tc>
        <w:tc>
          <w:tcPr>
            <w:tcW w:w="920" w:type="dxa"/>
          </w:tcPr>
          <w:p>
            <w:pPr>
              <w:pStyle w:val="TableParagraph"/>
              <w:spacing w:before="19"/>
              <w:ind w:left="1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46</w:t>
            </w:r>
          </w:p>
        </w:tc>
        <w:tc>
          <w:tcPr>
            <w:tcW w:w="2961" w:type="dxa"/>
          </w:tcPr>
          <w:p>
            <w:pPr>
              <w:pStyle w:val="TableParagraph"/>
              <w:spacing w:before="14"/>
              <w:ind w:lef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113</w:t>
            </w:r>
          </w:p>
        </w:tc>
      </w:tr>
      <w:tr>
        <w:trPr>
          <w:trHeight w:val="300" w:hRule="atLeast"/>
        </w:trPr>
        <w:tc>
          <w:tcPr>
            <w:tcW w:w="4927" w:type="dxa"/>
          </w:tcPr>
          <w:p>
            <w:pPr>
              <w:pStyle w:val="TableParagraph"/>
              <w:spacing w:before="23"/>
              <w:ind w:left="7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Total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saídas</w:t>
            </w:r>
            <w:r>
              <w:rPr>
                <w:rFonts w:ascii="Arial MT" w:hAnsi="Arial MT"/>
                <w:spacing w:val="-2"/>
                <w:sz w:val="22"/>
              </w:rPr>
              <w:t> hospitalares</w:t>
            </w:r>
          </w:p>
        </w:tc>
        <w:tc>
          <w:tcPr>
            <w:tcW w:w="920" w:type="dxa"/>
          </w:tcPr>
          <w:p>
            <w:pPr>
              <w:pStyle w:val="TableParagraph"/>
              <w:spacing w:before="23"/>
              <w:ind w:left="16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1.492</w:t>
            </w:r>
          </w:p>
        </w:tc>
        <w:tc>
          <w:tcPr>
            <w:tcW w:w="2961" w:type="dxa"/>
          </w:tcPr>
          <w:p>
            <w:pPr>
              <w:pStyle w:val="TableParagraph"/>
              <w:spacing w:before="13"/>
              <w:ind w:left="8" w:righ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1.125</w:t>
            </w:r>
          </w:p>
        </w:tc>
      </w:tr>
      <w:tr>
        <w:trPr>
          <w:trHeight w:val="300" w:hRule="atLeast"/>
        </w:trPr>
        <w:tc>
          <w:tcPr>
            <w:tcW w:w="8808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5" w:hRule="atLeast"/>
        </w:trPr>
        <w:tc>
          <w:tcPr>
            <w:tcW w:w="4927" w:type="dxa"/>
          </w:tcPr>
          <w:p>
            <w:pPr>
              <w:pStyle w:val="TableParagraph"/>
              <w:spacing w:before="28"/>
              <w:ind w:left="7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Discriminação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2"/>
                <w:sz w:val="22"/>
              </w:rPr>
              <w:t> cirurgias</w:t>
            </w:r>
          </w:p>
        </w:tc>
        <w:tc>
          <w:tcPr>
            <w:tcW w:w="920" w:type="dxa"/>
          </w:tcPr>
          <w:p>
            <w:pPr>
              <w:pStyle w:val="TableParagraph"/>
              <w:spacing w:before="28"/>
              <w:ind w:left="16" w:right="4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2961" w:type="dxa"/>
          </w:tcPr>
          <w:p>
            <w:pPr>
              <w:pStyle w:val="TableParagraph"/>
              <w:spacing w:line="246" w:lineRule="exact" w:before="48"/>
              <w:ind w:left="8" w:right="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2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Junho/2025</w:t>
            </w:r>
          </w:p>
        </w:tc>
      </w:tr>
      <w:tr>
        <w:trPr>
          <w:trHeight w:val="305" w:hRule="atLeast"/>
        </w:trPr>
        <w:tc>
          <w:tcPr>
            <w:tcW w:w="4927" w:type="dxa"/>
          </w:tcPr>
          <w:p>
            <w:pPr>
              <w:pStyle w:val="TableParagraph"/>
              <w:spacing w:before="23"/>
              <w:ind w:left="7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Eletivas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2º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pacing w:val="-4"/>
                <w:sz w:val="22"/>
              </w:rPr>
              <w:t>tempo</w:t>
            </w:r>
          </w:p>
        </w:tc>
        <w:tc>
          <w:tcPr>
            <w:tcW w:w="920" w:type="dxa"/>
          </w:tcPr>
          <w:p>
            <w:pPr>
              <w:pStyle w:val="TableParagraph"/>
              <w:spacing w:before="13"/>
              <w:ind w:left="1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--</w:t>
            </w:r>
            <w:r>
              <w:rPr>
                <w:rFonts w:ascii="Arial MT"/>
                <w:spacing w:val="-10"/>
                <w:sz w:val="22"/>
              </w:rPr>
              <w:t>-</w:t>
            </w:r>
          </w:p>
        </w:tc>
        <w:tc>
          <w:tcPr>
            <w:tcW w:w="2961" w:type="dxa"/>
          </w:tcPr>
          <w:p>
            <w:pPr>
              <w:pStyle w:val="TableParagraph"/>
              <w:spacing w:before="18"/>
              <w:ind w:lef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461</w:t>
            </w:r>
          </w:p>
        </w:tc>
      </w:tr>
      <w:tr>
        <w:trPr>
          <w:trHeight w:val="300" w:hRule="atLeast"/>
        </w:trPr>
        <w:tc>
          <w:tcPr>
            <w:tcW w:w="4927" w:type="dxa"/>
          </w:tcPr>
          <w:p>
            <w:pPr>
              <w:pStyle w:val="TableParagraph"/>
              <w:spacing w:before="19"/>
              <w:ind w:left="7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pacing w:val="-2"/>
                <w:sz w:val="22"/>
              </w:rPr>
              <w:t>Urgências</w:t>
            </w:r>
          </w:p>
        </w:tc>
        <w:tc>
          <w:tcPr>
            <w:tcW w:w="920" w:type="dxa"/>
          </w:tcPr>
          <w:p>
            <w:pPr>
              <w:pStyle w:val="TableParagraph"/>
              <w:spacing w:before="9"/>
              <w:ind w:left="1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--</w:t>
            </w:r>
            <w:r>
              <w:rPr>
                <w:rFonts w:ascii="Arial MT"/>
                <w:spacing w:val="-10"/>
                <w:sz w:val="22"/>
              </w:rPr>
              <w:t>-</w:t>
            </w:r>
          </w:p>
        </w:tc>
        <w:tc>
          <w:tcPr>
            <w:tcW w:w="2961" w:type="dxa"/>
          </w:tcPr>
          <w:p>
            <w:pPr>
              <w:pStyle w:val="TableParagraph"/>
              <w:spacing w:before="14"/>
              <w:ind w:lef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571</w:t>
            </w:r>
          </w:p>
        </w:tc>
      </w:tr>
      <w:tr>
        <w:trPr>
          <w:trHeight w:val="300" w:hRule="atLeast"/>
        </w:trPr>
        <w:tc>
          <w:tcPr>
            <w:tcW w:w="4927" w:type="dxa"/>
          </w:tcPr>
          <w:p>
            <w:pPr>
              <w:pStyle w:val="TableParagraph"/>
              <w:spacing w:before="18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Total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cirurgias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realizadas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ind w:left="1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--</w:t>
            </w:r>
            <w:r>
              <w:rPr>
                <w:rFonts w:ascii="Arial MT"/>
                <w:spacing w:val="-10"/>
                <w:sz w:val="22"/>
              </w:rPr>
              <w:t>-</w:t>
            </w:r>
          </w:p>
        </w:tc>
        <w:tc>
          <w:tcPr>
            <w:tcW w:w="2961" w:type="dxa"/>
          </w:tcPr>
          <w:p>
            <w:pPr>
              <w:pStyle w:val="TableParagraph"/>
              <w:spacing w:before="13"/>
              <w:ind w:left="8" w:righ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1.032</w:t>
            </w:r>
          </w:p>
        </w:tc>
      </w:tr>
    </w:tbl>
    <w:p>
      <w:pPr>
        <w:spacing w:before="3"/>
        <w:ind w:left="624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Fonte:</w:t>
      </w:r>
      <w:r>
        <w:rPr>
          <w:rFonts w:ascii="Arial"/>
          <w:i/>
          <w:spacing w:val="-12"/>
          <w:sz w:val="20"/>
        </w:rPr>
        <w:t> </w:t>
      </w:r>
      <w:r>
        <w:rPr>
          <w:rFonts w:ascii="Arial"/>
          <w:i/>
          <w:sz w:val="20"/>
        </w:rPr>
        <w:t>Sistema</w:t>
      </w:r>
      <w:r>
        <w:rPr>
          <w:rFonts w:ascii="Arial"/>
          <w:i/>
          <w:spacing w:val="-11"/>
          <w:sz w:val="20"/>
        </w:rPr>
        <w:t> </w:t>
      </w:r>
      <w:r>
        <w:rPr>
          <w:rFonts w:ascii="Arial"/>
          <w:i/>
          <w:spacing w:val="-5"/>
          <w:sz w:val="20"/>
        </w:rPr>
        <w:t>MV</w:t>
      </w:r>
    </w:p>
    <w:p>
      <w:pPr>
        <w:pStyle w:val="BodyText"/>
        <w:spacing w:before="6"/>
        <w:rPr>
          <w:rFonts w:ascii="Arial"/>
          <w:i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936" w:val="left" w:leader="none"/>
        </w:tabs>
        <w:spacing w:line="240" w:lineRule="auto" w:before="0" w:after="0"/>
        <w:ind w:left="936" w:right="0" w:hanging="367"/>
        <w:jc w:val="left"/>
        <w:rPr>
          <w:rFonts w:ascii="Arial" w:hAnsi="Arial"/>
          <w:b/>
          <w:sz w:val="22"/>
        </w:rPr>
      </w:pPr>
      <w:bookmarkStart w:name="2.1 Análise Crítica" w:id="3"/>
      <w:bookmarkEnd w:id="3"/>
      <w:r>
        <w:rPr/>
      </w: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Crítica</w:t>
      </w:r>
    </w:p>
    <w:p>
      <w:pPr>
        <w:pStyle w:val="BodyText"/>
        <w:spacing w:before="24"/>
        <w:rPr>
          <w:rFonts w:ascii="Arial"/>
          <w:b/>
        </w:rPr>
      </w:pPr>
    </w:p>
    <w:p>
      <w:pPr>
        <w:pStyle w:val="BodyText"/>
        <w:spacing w:line="348" w:lineRule="auto"/>
        <w:ind w:left="569" w:right="560" w:firstLine="720"/>
        <w:jc w:val="both"/>
      </w:pPr>
      <w:bookmarkStart w:name="No mês de junho, as saídas hospitalares " w:id="4"/>
      <w:bookmarkEnd w:id="4"/>
      <w:r>
        <w:rPr/>
      </w:r>
      <w:r>
        <w:rPr/>
        <w:t>No mês de junho, as saídas hospitalares representaram 75% da meta estipulada, impactadas principalmente por dois fatores: Tempo Médio de Permanência (TMP) elevado e bloqueio de leitos.</w:t>
      </w:r>
    </w:p>
    <w:p>
      <w:pPr>
        <w:pStyle w:val="BodyText"/>
        <w:spacing w:line="350" w:lineRule="auto" w:before="6"/>
        <w:ind w:left="569" w:right="574" w:firstLine="720"/>
        <w:jc w:val="both"/>
      </w:pPr>
      <w:bookmarkStart w:name="O TMP real foi de 9,26 dias, superior ao" w:id="5"/>
      <w:bookmarkEnd w:id="5"/>
      <w:r>
        <w:rPr/>
      </w:r>
      <w:r>
        <w:rPr/>
        <w:t>O</w:t>
      </w:r>
      <w:r>
        <w:rPr>
          <w:spacing w:val="-10"/>
        </w:rPr>
        <w:t> </w:t>
      </w:r>
      <w:r>
        <w:rPr/>
        <w:t>TMP</w:t>
      </w:r>
      <w:r>
        <w:rPr>
          <w:spacing w:val="-10"/>
        </w:rPr>
        <w:t> </w:t>
      </w:r>
      <w:r>
        <w:rPr/>
        <w:t>real</w:t>
      </w:r>
      <w:r>
        <w:rPr>
          <w:spacing w:val="-8"/>
        </w:rPr>
        <w:t> </w:t>
      </w:r>
      <w:r>
        <w:rPr/>
        <w:t>foi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9,26</w:t>
      </w:r>
      <w:r>
        <w:rPr>
          <w:spacing w:val="-6"/>
        </w:rPr>
        <w:t> </w:t>
      </w:r>
      <w:r>
        <w:rPr/>
        <w:t>dias,</w:t>
      </w:r>
      <w:r>
        <w:rPr>
          <w:spacing w:val="-10"/>
        </w:rPr>
        <w:t> </w:t>
      </w:r>
      <w:r>
        <w:rPr/>
        <w:t>superior</w:t>
      </w:r>
      <w:r>
        <w:rPr>
          <w:spacing w:val="-12"/>
        </w:rPr>
        <w:t> </w:t>
      </w:r>
      <w:r>
        <w:rPr/>
        <w:t>ao</w:t>
      </w:r>
      <w:r>
        <w:rPr>
          <w:spacing w:val="-11"/>
        </w:rPr>
        <w:t> </w:t>
      </w:r>
      <w:r>
        <w:rPr/>
        <w:t>estimado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6,5</w:t>
      </w:r>
      <w:r>
        <w:rPr>
          <w:spacing w:val="-6"/>
        </w:rPr>
        <w:t> </w:t>
      </w:r>
      <w:r>
        <w:rPr/>
        <w:t>dias</w:t>
      </w:r>
      <w:r>
        <w:rPr>
          <w:spacing w:val="-9"/>
        </w:rPr>
        <w:t> </w:t>
      </w:r>
      <w:r>
        <w:rPr/>
        <w:t>necessário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atingir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meta de saídas. Esse indicador é sensível a múltiplas variáveis, especialmente em um hospital de alta complexidade como o HUGO, que atende pacientes com:</w:t>
      </w:r>
    </w:p>
    <w:p>
      <w:pPr>
        <w:pStyle w:val="ListParagraph"/>
        <w:numPr>
          <w:ilvl w:val="2"/>
          <w:numId w:val="1"/>
        </w:numPr>
        <w:tabs>
          <w:tab w:pos="2064" w:val="left" w:leader="none"/>
        </w:tabs>
        <w:spacing w:line="240" w:lineRule="auto" w:before="2" w:after="0"/>
        <w:ind w:left="2064" w:right="0" w:hanging="359"/>
        <w:jc w:val="both"/>
        <w:rPr>
          <w:rFonts w:ascii="Symbol" w:hAnsi="Symbol"/>
          <w:sz w:val="24"/>
        </w:rPr>
      </w:pPr>
      <w:bookmarkStart w:name="• Quadros clínicos graves e prolongados," w:id="6"/>
      <w:bookmarkEnd w:id="6"/>
      <w:r>
        <w:rPr/>
      </w:r>
      <w:r>
        <w:rPr>
          <w:sz w:val="22"/>
        </w:rPr>
        <w:t>Quadros</w:t>
      </w:r>
      <w:r>
        <w:rPr>
          <w:spacing w:val="18"/>
          <w:sz w:val="22"/>
        </w:rPr>
        <w:t> </w:t>
      </w:r>
      <w:r>
        <w:rPr>
          <w:sz w:val="22"/>
        </w:rPr>
        <w:t>clínicos</w:t>
      </w:r>
      <w:r>
        <w:rPr>
          <w:spacing w:val="25"/>
          <w:sz w:val="22"/>
        </w:rPr>
        <w:t> </w:t>
      </w:r>
      <w:r>
        <w:rPr>
          <w:sz w:val="22"/>
        </w:rPr>
        <w:t>graves</w:t>
      </w:r>
      <w:r>
        <w:rPr>
          <w:spacing w:val="21"/>
          <w:sz w:val="22"/>
        </w:rPr>
        <w:t> </w:t>
      </w:r>
      <w:r>
        <w:rPr>
          <w:sz w:val="22"/>
        </w:rPr>
        <w:t>e</w:t>
      </w:r>
      <w:r>
        <w:rPr>
          <w:spacing w:val="22"/>
          <w:sz w:val="22"/>
        </w:rPr>
        <w:t> </w:t>
      </w:r>
      <w:r>
        <w:rPr>
          <w:sz w:val="22"/>
        </w:rPr>
        <w:t>prolongados,</w:t>
      </w:r>
      <w:r>
        <w:rPr>
          <w:spacing w:val="25"/>
          <w:sz w:val="22"/>
        </w:rPr>
        <w:t> </w:t>
      </w:r>
      <w:r>
        <w:rPr>
          <w:sz w:val="22"/>
        </w:rPr>
        <w:t>incluindo</w:t>
      </w:r>
      <w:r>
        <w:rPr>
          <w:spacing w:val="22"/>
          <w:sz w:val="22"/>
        </w:rPr>
        <w:t> </w:t>
      </w:r>
      <w:r>
        <w:rPr>
          <w:sz w:val="22"/>
        </w:rPr>
        <w:t>sepse,</w:t>
      </w:r>
      <w:r>
        <w:rPr>
          <w:spacing w:val="25"/>
          <w:sz w:val="22"/>
        </w:rPr>
        <w:t> </w:t>
      </w:r>
      <w:r>
        <w:rPr>
          <w:sz w:val="22"/>
        </w:rPr>
        <w:t>AVC,</w:t>
      </w:r>
      <w:r>
        <w:rPr>
          <w:spacing w:val="24"/>
          <w:sz w:val="22"/>
        </w:rPr>
        <w:t> </w:t>
      </w:r>
      <w:r>
        <w:rPr>
          <w:sz w:val="22"/>
        </w:rPr>
        <w:t>fraturas</w:t>
      </w:r>
      <w:r>
        <w:rPr>
          <w:spacing w:val="21"/>
          <w:sz w:val="22"/>
        </w:rPr>
        <w:t> </w:t>
      </w:r>
      <w:r>
        <w:rPr>
          <w:spacing w:val="-2"/>
          <w:sz w:val="22"/>
        </w:rPr>
        <w:t>expostas,</w:t>
      </w:r>
    </w:p>
    <w:p>
      <w:pPr>
        <w:pStyle w:val="ListParagraph"/>
        <w:spacing w:after="0" w:line="240" w:lineRule="auto"/>
        <w:jc w:val="both"/>
        <w:rPr>
          <w:rFonts w:ascii="Symbol" w:hAnsi="Symbol"/>
          <w:sz w:val="24"/>
        </w:rPr>
        <w:sectPr>
          <w:headerReference w:type="default" r:id="rId7"/>
          <w:footerReference w:type="default" r:id="rId8"/>
          <w:pgSz w:w="11910" w:h="16840"/>
          <w:pgMar w:header="1067" w:footer="580" w:top="2420" w:bottom="780" w:left="566" w:right="566"/>
        </w:sectPr>
      </w:pPr>
    </w:p>
    <w:p>
      <w:pPr>
        <w:pStyle w:val="BodyText"/>
        <w:spacing w:before="245"/>
        <w:ind w:left="2065"/>
      </w:pPr>
      <w:r>
        <w:rPr/>
        <w:t>politraumatismos</w:t>
      </w:r>
      <w:r>
        <w:rPr>
          <w:spacing w:val="-10"/>
        </w:rPr>
        <w:t> </w:t>
      </w:r>
      <w:r>
        <w:rPr/>
        <w:t>e</w:t>
      </w:r>
      <w:r>
        <w:rPr>
          <w:spacing w:val="-1"/>
        </w:rPr>
        <w:t> </w:t>
      </w:r>
      <w:r>
        <w:rPr/>
        <w:t>múltiplas</w:t>
      </w:r>
      <w:r>
        <w:rPr>
          <w:spacing w:val="-4"/>
        </w:rPr>
        <w:t> </w:t>
      </w:r>
      <w:r>
        <w:rPr>
          <w:spacing w:val="-2"/>
        </w:rPr>
        <w:t>comorbidades.</w:t>
      </w:r>
    </w:p>
    <w:p>
      <w:pPr>
        <w:pStyle w:val="ListParagraph"/>
        <w:numPr>
          <w:ilvl w:val="2"/>
          <w:numId w:val="1"/>
        </w:numPr>
        <w:tabs>
          <w:tab w:pos="2130" w:val="left" w:leader="none"/>
        </w:tabs>
        <w:spacing w:line="331" w:lineRule="auto" w:before="122" w:after="0"/>
        <w:ind w:left="2130" w:right="572" w:hanging="360"/>
        <w:jc w:val="left"/>
        <w:rPr>
          <w:rFonts w:ascii="Symbol" w:hAnsi="Symbol"/>
          <w:sz w:val="24"/>
        </w:rPr>
      </w:pPr>
      <w:bookmarkStart w:name="• Isolamentos prolongados devido a infec" w:id="7"/>
      <w:bookmarkEnd w:id="7"/>
      <w:r>
        <w:rPr/>
      </w:r>
      <w:r>
        <w:rPr>
          <w:sz w:val="22"/>
        </w:rPr>
        <w:t>Isolamentos prolongados devido a infecções por microrganismos multirresistentes (MDR), associados a surtos e necessidades de coorte.</w:t>
      </w:r>
    </w:p>
    <w:p>
      <w:pPr>
        <w:pStyle w:val="ListParagraph"/>
        <w:numPr>
          <w:ilvl w:val="2"/>
          <w:numId w:val="1"/>
        </w:numPr>
        <w:tabs>
          <w:tab w:pos="2130" w:val="left" w:leader="none"/>
        </w:tabs>
        <w:spacing w:line="331" w:lineRule="auto" w:before="26" w:after="0"/>
        <w:ind w:left="2130" w:right="578" w:hanging="360"/>
        <w:jc w:val="left"/>
        <w:rPr>
          <w:rFonts w:ascii="Symbol" w:hAnsi="Symbol"/>
          <w:sz w:val="24"/>
        </w:rPr>
      </w:pPr>
      <w:bookmarkStart w:name="• Barreiras sociais de alta, como ausênc" w:id="8"/>
      <w:bookmarkEnd w:id="8"/>
      <w:r>
        <w:rPr/>
      </w:r>
      <w:r>
        <w:rPr>
          <w:sz w:val="22"/>
        </w:rPr>
        <w:t>Barreiras sociais de alta, como ausência de rede de apoio, transporte domiciliar e necessidade de regulação para retaguarda ou reabilitação.</w:t>
      </w:r>
    </w:p>
    <w:p>
      <w:pPr>
        <w:pStyle w:val="ListParagraph"/>
        <w:numPr>
          <w:ilvl w:val="2"/>
          <w:numId w:val="1"/>
        </w:numPr>
        <w:tabs>
          <w:tab w:pos="2130" w:val="left" w:leader="none"/>
        </w:tabs>
        <w:spacing w:line="331" w:lineRule="auto" w:before="25" w:after="0"/>
        <w:ind w:left="2130" w:right="575" w:hanging="360"/>
        <w:jc w:val="left"/>
        <w:rPr>
          <w:rFonts w:ascii="Symbol" w:hAnsi="Symbol"/>
          <w:sz w:val="24"/>
        </w:rPr>
      </w:pPr>
      <w:bookmarkStart w:name="• Interdições técnicas ou obras, reduzin" w:id="9"/>
      <w:bookmarkEnd w:id="9"/>
      <w:r>
        <w:rPr/>
      </w:r>
      <w:r>
        <w:rPr>
          <w:sz w:val="22"/>
        </w:rPr>
        <w:t>Interdições</w:t>
      </w:r>
      <w:r>
        <w:rPr>
          <w:spacing w:val="40"/>
          <w:sz w:val="22"/>
        </w:rPr>
        <w:t> </w:t>
      </w:r>
      <w:r>
        <w:rPr>
          <w:sz w:val="22"/>
        </w:rPr>
        <w:t>técnicas</w:t>
      </w:r>
      <w:r>
        <w:rPr>
          <w:spacing w:val="40"/>
          <w:sz w:val="22"/>
        </w:rPr>
        <w:t> </w:t>
      </w:r>
      <w:r>
        <w:rPr>
          <w:sz w:val="22"/>
        </w:rPr>
        <w:t>ou</w:t>
      </w:r>
      <w:r>
        <w:rPr>
          <w:spacing w:val="40"/>
          <w:sz w:val="22"/>
        </w:rPr>
        <w:t> </w:t>
      </w:r>
      <w:r>
        <w:rPr>
          <w:sz w:val="22"/>
        </w:rPr>
        <w:t>obras,</w:t>
      </w:r>
      <w:r>
        <w:rPr>
          <w:spacing w:val="40"/>
          <w:sz w:val="22"/>
        </w:rPr>
        <w:t> </w:t>
      </w:r>
      <w:r>
        <w:rPr>
          <w:sz w:val="22"/>
        </w:rPr>
        <w:t>reduzindo</w:t>
      </w:r>
      <w:r>
        <w:rPr>
          <w:spacing w:val="40"/>
          <w:sz w:val="22"/>
        </w:rPr>
        <w:t> </w:t>
      </w:r>
      <w:r>
        <w:rPr>
          <w:sz w:val="22"/>
        </w:rPr>
        <w:t>temporariamente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disponibilidade</w:t>
      </w:r>
      <w:r>
        <w:rPr>
          <w:spacing w:val="40"/>
          <w:sz w:val="22"/>
        </w:rPr>
        <w:t> </w:t>
      </w:r>
      <w:r>
        <w:rPr>
          <w:sz w:val="22"/>
        </w:rPr>
        <w:t>de leitos contratuais.</w:t>
      </w:r>
    </w:p>
    <w:p>
      <w:pPr>
        <w:pStyle w:val="BodyText"/>
        <w:spacing w:line="350" w:lineRule="auto" w:before="15"/>
        <w:ind w:left="569" w:firstLine="720"/>
      </w:pPr>
      <w:bookmarkStart w:name="A taxa de ocupação, por outro lado, mant" w:id="10"/>
      <w:bookmarkEnd w:id="10"/>
      <w:r>
        <w:rPr/>
      </w:r>
      <w:r>
        <w:rPr/>
        <w:t>A</w:t>
      </w:r>
      <w:r>
        <w:rPr>
          <w:spacing w:val="29"/>
        </w:rPr>
        <w:t> </w:t>
      </w:r>
      <w:r>
        <w:rPr/>
        <w:t>taxa</w:t>
      </w:r>
      <w:r>
        <w:rPr>
          <w:spacing w:val="33"/>
        </w:rPr>
        <w:t> </w:t>
      </w:r>
      <w:r>
        <w:rPr/>
        <w:t>de</w:t>
      </w:r>
      <w:r>
        <w:rPr>
          <w:spacing w:val="28"/>
        </w:rPr>
        <w:t> </w:t>
      </w:r>
      <w:r>
        <w:rPr/>
        <w:t>ocupação,</w:t>
      </w:r>
      <w:r>
        <w:rPr>
          <w:spacing w:val="25"/>
        </w:rPr>
        <w:t> </w:t>
      </w:r>
      <w:r>
        <w:rPr/>
        <w:t>por</w:t>
      </w:r>
      <w:r>
        <w:rPr>
          <w:spacing w:val="28"/>
        </w:rPr>
        <w:t> </w:t>
      </w:r>
      <w:r>
        <w:rPr/>
        <w:t>outro</w:t>
      </w:r>
      <w:r>
        <w:rPr>
          <w:spacing w:val="33"/>
        </w:rPr>
        <w:t> </w:t>
      </w:r>
      <w:r>
        <w:rPr/>
        <w:t>lado,</w:t>
      </w:r>
      <w:r>
        <w:rPr>
          <w:spacing w:val="30"/>
        </w:rPr>
        <w:t> </w:t>
      </w:r>
      <w:r>
        <w:rPr/>
        <w:t>manteve-se</w:t>
      </w:r>
      <w:r>
        <w:rPr>
          <w:spacing w:val="28"/>
        </w:rPr>
        <w:t> </w:t>
      </w:r>
      <w:r>
        <w:rPr/>
        <w:t>acima</w:t>
      </w:r>
      <w:r>
        <w:rPr>
          <w:spacing w:val="33"/>
        </w:rPr>
        <w:t> </w:t>
      </w:r>
      <w:r>
        <w:rPr/>
        <w:t>da</w:t>
      </w:r>
      <w:r>
        <w:rPr>
          <w:spacing w:val="33"/>
        </w:rPr>
        <w:t> </w:t>
      </w:r>
      <w:r>
        <w:rPr/>
        <w:t>meta</w:t>
      </w:r>
      <w:r>
        <w:rPr>
          <w:spacing w:val="29"/>
        </w:rPr>
        <w:t> </w:t>
      </w:r>
      <w:r>
        <w:rPr/>
        <w:t>(93,42%</w:t>
      </w:r>
      <w:r>
        <w:rPr>
          <w:spacing w:val="36"/>
        </w:rPr>
        <w:t> </w:t>
      </w:r>
      <w:r>
        <w:rPr/>
        <w:t>vs.</w:t>
      </w:r>
      <w:r>
        <w:rPr>
          <w:spacing w:val="30"/>
        </w:rPr>
        <w:t> </w:t>
      </w:r>
      <w:r>
        <w:rPr/>
        <w:t>90%</w:t>
      </w:r>
      <w:r>
        <w:rPr>
          <w:spacing w:val="25"/>
        </w:rPr>
        <w:t> </w:t>
      </w:r>
      <w:r>
        <w:rPr/>
        <w:t>base contratual), evidenciando a alta demanda assistencial, mesmo diante das restrições operacionais.</w:t>
      </w:r>
    </w:p>
    <w:p>
      <w:pPr>
        <w:pStyle w:val="BodyText"/>
        <w:spacing w:line="350" w:lineRule="auto" w:before="2"/>
        <w:ind w:left="569" w:firstLine="720"/>
      </w:pPr>
      <w:bookmarkStart w:name="O Serviço de Controle de Infecção Hospit" w:id="11"/>
      <w:bookmarkEnd w:id="11"/>
      <w:r>
        <w:rPr/>
      </w:r>
      <w:r>
        <w:rPr/>
        <w:t>O</w:t>
      </w:r>
      <w:r>
        <w:rPr>
          <w:spacing w:val="-11"/>
        </w:rPr>
        <w:t> </w:t>
      </w:r>
      <w:r>
        <w:rPr/>
        <w:t>Serviço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Controle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Infecção</w:t>
      </w:r>
      <w:r>
        <w:rPr>
          <w:spacing w:val="-7"/>
        </w:rPr>
        <w:t> </w:t>
      </w:r>
      <w:r>
        <w:rPr/>
        <w:t>Hospitalar</w:t>
      </w:r>
      <w:r>
        <w:rPr>
          <w:spacing w:val="-8"/>
        </w:rPr>
        <w:t> </w:t>
      </w:r>
      <w:r>
        <w:rPr/>
        <w:t>(SCIH)</w:t>
      </w:r>
      <w:r>
        <w:rPr>
          <w:spacing w:val="-8"/>
        </w:rPr>
        <w:t> </w:t>
      </w:r>
      <w:r>
        <w:rPr/>
        <w:t>tem</w:t>
      </w:r>
      <w:r>
        <w:rPr>
          <w:spacing w:val="-8"/>
        </w:rPr>
        <w:t> </w:t>
      </w:r>
      <w:r>
        <w:rPr/>
        <w:t>atuado</w:t>
      </w:r>
      <w:r>
        <w:rPr>
          <w:spacing w:val="-12"/>
        </w:rPr>
        <w:t> </w:t>
      </w:r>
      <w:r>
        <w:rPr/>
        <w:t>em</w:t>
      </w:r>
      <w:r>
        <w:rPr>
          <w:spacing w:val="-8"/>
        </w:rPr>
        <w:t> </w:t>
      </w:r>
      <w:r>
        <w:rPr/>
        <w:t>conjunto</w:t>
      </w:r>
      <w:r>
        <w:rPr>
          <w:spacing w:val="-7"/>
        </w:rPr>
        <w:t> </w:t>
      </w:r>
      <w:r>
        <w:rPr/>
        <w:t>com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Núcleo Interno de Regulação (NIR) para mitigar impactos de isolamentos, com medidas como:</w:t>
      </w:r>
    </w:p>
    <w:p>
      <w:pPr>
        <w:pStyle w:val="ListParagraph"/>
        <w:numPr>
          <w:ilvl w:val="2"/>
          <w:numId w:val="1"/>
        </w:numPr>
        <w:tabs>
          <w:tab w:pos="2129" w:val="left" w:leader="none"/>
        </w:tabs>
        <w:spacing w:line="240" w:lineRule="auto" w:before="1" w:after="0"/>
        <w:ind w:left="2129" w:right="0" w:hanging="359"/>
        <w:jc w:val="left"/>
        <w:rPr>
          <w:rFonts w:ascii="Symbol" w:hAnsi="Symbol"/>
          <w:sz w:val="24"/>
        </w:rPr>
      </w:pPr>
      <w:bookmarkStart w:name="• Vigilância ativa e descolonização de M" w:id="12"/>
      <w:bookmarkEnd w:id="12"/>
      <w:r>
        <w:rPr/>
      </w:r>
      <w:r>
        <w:rPr>
          <w:sz w:val="22"/>
        </w:rPr>
        <w:t>Vigilância</w:t>
      </w:r>
      <w:r>
        <w:rPr>
          <w:spacing w:val="-3"/>
          <w:sz w:val="22"/>
        </w:rPr>
        <w:t> </w:t>
      </w:r>
      <w:r>
        <w:rPr>
          <w:sz w:val="22"/>
        </w:rPr>
        <w:t>ativa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descolonização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MRSA</w:t>
      </w:r>
    </w:p>
    <w:p>
      <w:pPr>
        <w:pStyle w:val="ListParagraph"/>
        <w:numPr>
          <w:ilvl w:val="2"/>
          <w:numId w:val="1"/>
        </w:numPr>
        <w:tabs>
          <w:tab w:pos="2129" w:val="left" w:leader="none"/>
        </w:tabs>
        <w:spacing w:line="240" w:lineRule="auto" w:before="121" w:after="0"/>
        <w:ind w:left="2129" w:right="0" w:hanging="359"/>
        <w:jc w:val="left"/>
        <w:rPr>
          <w:rFonts w:ascii="Symbol" w:hAnsi="Symbol"/>
          <w:sz w:val="24"/>
        </w:rPr>
      </w:pPr>
      <w:bookmarkStart w:name="• Coortes seguras e revisões diárias de " w:id="13"/>
      <w:bookmarkEnd w:id="13"/>
      <w:r>
        <w:rPr/>
      </w:r>
      <w:r>
        <w:rPr>
          <w:sz w:val="22"/>
        </w:rPr>
        <w:t>Coortes</w:t>
      </w:r>
      <w:r>
        <w:rPr>
          <w:spacing w:val="-5"/>
          <w:sz w:val="22"/>
        </w:rPr>
        <w:t> </w:t>
      </w:r>
      <w:r>
        <w:rPr>
          <w:sz w:val="22"/>
        </w:rPr>
        <w:t>seguras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revisões</w:t>
      </w:r>
      <w:r>
        <w:rPr>
          <w:spacing w:val="-8"/>
          <w:sz w:val="22"/>
        </w:rPr>
        <w:t> </w:t>
      </w:r>
      <w:r>
        <w:rPr>
          <w:sz w:val="22"/>
        </w:rPr>
        <w:t>diárias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necessidade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isolamento</w:t>
      </w:r>
    </w:p>
    <w:p>
      <w:pPr>
        <w:pStyle w:val="ListParagraph"/>
        <w:numPr>
          <w:ilvl w:val="2"/>
          <w:numId w:val="1"/>
        </w:numPr>
        <w:tabs>
          <w:tab w:pos="2129" w:val="left" w:leader="none"/>
        </w:tabs>
        <w:spacing w:line="240" w:lineRule="auto" w:before="117" w:after="0"/>
        <w:ind w:left="2129" w:right="0" w:hanging="359"/>
        <w:jc w:val="left"/>
        <w:rPr>
          <w:rFonts w:ascii="Symbol" w:hAnsi="Symbol"/>
          <w:sz w:val="22"/>
        </w:rPr>
      </w:pPr>
      <w:bookmarkStart w:name="• Rastreio sistemático para tuberculose " w:id="14"/>
      <w:bookmarkEnd w:id="14"/>
      <w:r>
        <w:rPr/>
      </w:r>
      <w:r>
        <w:rPr>
          <w:sz w:val="22"/>
        </w:rPr>
        <w:t>Rastreio</w:t>
      </w:r>
      <w:r>
        <w:rPr>
          <w:spacing w:val="-7"/>
          <w:sz w:val="22"/>
        </w:rPr>
        <w:t> </w:t>
      </w:r>
      <w:r>
        <w:rPr>
          <w:sz w:val="22"/>
        </w:rPr>
        <w:t>sistemático</w:t>
      </w:r>
      <w:r>
        <w:rPr>
          <w:spacing w:val="-5"/>
          <w:sz w:val="22"/>
        </w:rPr>
        <w:t> </w:t>
      </w:r>
      <w:r>
        <w:rPr>
          <w:sz w:val="22"/>
        </w:rPr>
        <w:t>para</w:t>
      </w:r>
      <w:r>
        <w:rPr>
          <w:spacing w:val="-5"/>
          <w:sz w:val="22"/>
        </w:rPr>
        <w:t> </w:t>
      </w:r>
      <w:r>
        <w:rPr>
          <w:sz w:val="22"/>
        </w:rPr>
        <w:t>tuberculose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z w:val="22"/>
        </w:rPr>
        <w:t>Clostridioides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difficile</w:t>
      </w:r>
    </w:p>
    <w:p>
      <w:pPr>
        <w:pStyle w:val="BodyText"/>
        <w:spacing w:before="232"/>
      </w:pPr>
    </w:p>
    <w:p>
      <w:pPr>
        <w:pStyle w:val="BodyText"/>
        <w:spacing w:line="345" w:lineRule="auto"/>
        <w:ind w:left="1350" w:right="563" w:hanging="60"/>
        <w:jc w:val="both"/>
      </w:pPr>
      <w:bookmarkStart w:name="Conforme preconizado no Plano de Conting" w:id="15"/>
      <w:bookmarkEnd w:id="15"/>
      <w:r>
        <w:rPr/>
      </w:r>
      <w:r>
        <w:rPr/>
        <w:t>Conforme preconizado no Plano de Contingência Nacional para Infecções por </w:t>
      </w:r>
      <w:bookmarkStart w:name="Microrganismos Multirresistentes em Serv" w:id="16"/>
      <w:bookmarkEnd w:id="16"/>
      <w:r>
        <w:rPr/>
        <w:t>M</w:t>
      </w:r>
      <w:r>
        <w:rPr/>
        <w:t>icrorganismos</w:t>
      </w:r>
      <w:r>
        <w:rPr>
          <w:spacing w:val="-3"/>
        </w:rPr>
        <w:t> </w:t>
      </w:r>
      <w:r>
        <w:rPr/>
        <w:t>Multirresistentes</w:t>
      </w:r>
      <w:r>
        <w:rPr>
          <w:spacing w:val="-3"/>
        </w:rPr>
        <w:t> </w:t>
      </w:r>
      <w:r>
        <w:rPr/>
        <w:t>em</w:t>
      </w:r>
      <w:r>
        <w:rPr>
          <w:spacing w:val="-1"/>
        </w:rPr>
        <w:t> </w:t>
      </w:r>
      <w:r>
        <w:rPr/>
        <w:t>Serviços</w:t>
      </w:r>
      <w:r>
        <w:rPr>
          <w:spacing w:val="-3"/>
        </w:rPr>
        <w:t> </w:t>
      </w:r>
      <w:r>
        <w:rPr/>
        <w:t>de Saúde (PLACON-RM,</w:t>
      </w:r>
      <w:r>
        <w:rPr>
          <w:spacing w:val="-4"/>
        </w:rPr>
        <w:t> </w:t>
      </w:r>
      <w:r>
        <w:rPr/>
        <w:t>2021),</w:t>
      </w:r>
      <w:r>
        <w:rPr>
          <w:spacing w:val="-4"/>
        </w:rPr>
        <w:t> </w:t>
      </w:r>
      <w:r>
        <w:rPr/>
        <w:t>a presença</w:t>
      </w:r>
    </w:p>
    <w:p>
      <w:pPr>
        <w:pStyle w:val="BodyText"/>
        <w:spacing w:line="350" w:lineRule="auto" w:before="7"/>
        <w:ind w:left="569" w:right="563"/>
        <w:jc w:val="both"/>
      </w:pPr>
      <w:r>
        <w:rPr/>
        <w:t>de</w:t>
      </w:r>
      <w:r>
        <w:rPr>
          <w:spacing w:val="-1"/>
        </w:rPr>
        <w:t> </w:t>
      </w:r>
      <w:r>
        <w:rPr/>
        <w:t>pacientes colonizados</w:t>
      </w:r>
      <w:r>
        <w:rPr>
          <w:spacing w:val="-4"/>
        </w:rPr>
        <w:t> </w:t>
      </w:r>
      <w:r>
        <w:rPr/>
        <w:t>por patógenos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importância</w:t>
      </w:r>
      <w:r>
        <w:rPr>
          <w:spacing w:val="-1"/>
        </w:rPr>
        <w:t> </w:t>
      </w:r>
      <w:r>
        <w:rPr/>
        <w:t>epidemiológica exige a implementação de medidas</w:t>
      </w:r>
      <w:r>
        <w:rPr>
          <w:spacing w:val="-8"/>
        </w:rPr>
        <w:t> </w:t>
      </w:r>
      <w:r>
        <w:rPr/>
        <w:t>rigorosas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controle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infecção,</w:t>
      </w:r>
      <w:r>
        <w:rPr>
          <w:spacing w:val="-9"/>
        </w:rPr>
        <w:t> </w:t>
      </w:r>
      <w:r>
        <w:rPr/>
        <w:t>incluindo</w:t>
      </w:r>
      <w:r>
        <w:rPr>
          <w:spacing w:val="-10"/>
        </w:rPr>
        <w:t> </w:t>
      </w:r>
      <w:r>
        <w:rPr/>
        <w:t>a</w:t>
      </w:r>
      <w:r>
        <w:rPr>
          <w:spacing w:val="-5"/>
        </w:rPr>
        <w:t> </w:t>
      </w:r>
      <w:r>
        <w:rPr/>
        <w:t>formação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coortes</w:t>
      </w:r>
      <w:r>
        <w:rPr>
          <w:spacing w:val="-8"/>
        </w:rPr>
        <w:t> </w:t>
      </w:r>
      <w:r>
        <w:rPr/>
        <w:t>específicas</w:t>
      </w:r>
      <w:r>
        <w:rPr>
          <w:spacing w:val="-8"/>
        </w:rPr>
        <w:t> </w:t>
      </w:r>
      <w:r>
        <w:rPr/>
        <w:t>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adoção de precauções adicionais de contato. Tais medidas implicam, frequentemente, no bloqueio temporário de leitos, com impacto direto na capacidade de internação e gestão operacional da </w:t>
      </w:r>
      <w:r>
        <w:rPr>
          <w:spacing w:val="-2"/>
        </w:rPr>
        <w:t>instituição.</w:t>
      </w:r>
    </w:p>
    <w:p>
      <w:pPr>
        <w:pStyle w:val="BodyText"/>
        <w:spacing w:line="350" w:lineRule="auto"/>
        <w:ind w:left="569" w:right="558" w:firstLine="720"/>
        <w:jc w:val="both"/>
      </w:pPr>
      <w:bookmarkStart w:name="O Serviço de Controle de Infecção Hospit" w:id="17"/>
      <w:bookmarkEnd w:id="17"/>
      <w:r>
        <w:rPr/>
      </w:r>
      <w:r>
        <w:rPr/>
        <w:t>O</w:t>
      </w:r>
      <w:r>
        <w:rPr>
          <w:spacing w:val="-6"/>
        </w:rPr>
        <w:t> </w:t>
      </w:r>
      <w:r>
        <w:rPr/>
        <w:t>Serviço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Controle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Infecção</w:t>
      </w:r>
      <w:r>
        <w:rPr>
          <w:spacing w:val="-2"/>
        </w:rPr>
        <w:t> </w:t>
      </w:r>
      <w:r>
        <w:rPr/>
        <w:t>Hospitalar</w:t>
      </w:r>
      <w:r>
        <w:rPr>
          <w:spacing w:val="-3"/>
        </w:rPr>
        <w:t> </w:t>
      </w:r>
      <w:r>
        <w:rPr/>
        <w:t>(SCIH),</w:t>
      </w:r>
      <w:r>
        <w:rPr>
          <w:spacing w:val="-6"/>
        </w:rPr>
        <w:t> </w:t>
      </w:r>
      <w:r>
        <w:rPr/>
        <w:t>em</w:t>
      </w:r>
      <w:r>
        <w:rPr>
          <w:spacing w:val="-3"/>
        </w:rPr>
        <w:t> </w:t>
      </w:r>
      <w:r>
        <w:rPr/>
        <w:t>consonância</w:t>
      </w:r>
      <w:r>
        <w:rPr>
          <w:spacing w:val="-7"/>
        </w:rPr>
        <w:t> </w:t>
      </w:r>
      <w:r>
        <w:rPr/>
        <w:t>com</w:t>
      </w:r>
      <w:r>
        <w:rPr>
          <w:spacing w:val="-8"/>
        </w:rPr>
        <w:t> </w:t>
      </w:r>
      <w:r>
        <w:rPr/>
        <w:t>os</w:t>
      </w:r>
      <w:r>
        <w:rPr>
          <w:spacing w:val="-10"/>
        </w:rPr>
        <w:t> </w:t>
      </w:r>
      <w:r>
        <w:rPr/>
        <w:t>princípios</w:t>
      </w:r>
      <w:r>
        <w:rPr>
          <w:spacing w:val="-10"/>
        </w:rPr>
        <w:t> </w:t>
      </w:r>
      <w:r>
        <w:rPr/>
        <w:t>de vigilância</w:t>
      </w:r>
      <w:r>
        <w:rPr>
          <w:spacing w:val="-10"/>
        </w:rPr>
        <w:t> </w:t>
      </w:r>
      <w:r>
        <w:rPr/>
        <w:t>ativa</w:t>
      </w:r>
      <w:r>
        <w:rPr>
          <w:spacing w:val="-10"/>
        </w:rPr>
        <w:t> </w:t>
      </w:r>
      <w:r>
        <w:rPr/>
        <w:t>e</w:t>
      </w:r>
      <w:r>
        <w:rPr>
          <w:spacing w:val="-5"/>
        </w:rPr>
        <w:t> </w:t>
      </w:r>
      <w:r>
        <w:rPr/>
        <w:t>prevenção</w:t>
      </w:r>
      <w:r>
        <w:rPr>
          <w:spacing w:val="-10"/>
        </w:rPr>
        <w:t> </w:t>
      </w:r>
      <w:r>
        <w:rPr/>
        <w:t>preconizados</w:t>
      </w:r>
      <w:r>
        <w:rPr>
          <w:spacing w:val="-13"/>
        </w:rPr>
        <w:t> </w:t>
      </w:r>
      <w:r>
        <w:rPr/>
        <w:t>por</w:t>
      </w:r>
      <w:r>
        <w:rPr>
          <w:spacing w:val="-11"/>
        </w:rPr>
        <w:t> </w:t>
      </w:r>
      <w:r>
        <w:rPr/>
        <w:t>organismos</w:t>
      </w:r>
      <w:r>
        <w:rPr>
          <w:spacing w:val="-8"/>
        </w:rPr>
        <w:t> </w:t>
      </w:r>
      <w:r>
        <w:rPr/>
        <w:t>internacionais</w:t>
      </w:r>
      <w:r>
        <w:rPr>
          <w:spacing w:val="-13"/>
        </w:rPr>
        <w:t> </w:t>
      </w:r>
      <w:r>
        <w:rPr/>
        <w:t>e</w:t>
      </w:r>
      <w:r>
        <w:rPr>
          <w:spacing w:val="-10"/>
        </w:rPr>
        <w:t> </w:t>
      </w:r>
      <w:r>
        <w:rPr/>
        <w:t>nacionais,</w:t>
      </w:r>
      <w:r>
        <w:rPr>
          <w:spacing w:val="-14"/>
        </w:rPr>
        <w:t> </w:t>
      </w:r>
      <w:r>
        <w:rPr/>
        <w:t>atua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forma integrada</w:t>
      </w:r>
      <w:r>
        <w:rPr>
          <w:spacing w:val="-16"/>
        </w:rPr>
        <w:t> </w:t>
      </w:r>
      <w:r>
        <w:rPr/>
        <w:t>com</w:t>
      </w:r>
      <w:r>
        <w:rPr>
          <w:spacing w:val="-15"/>
        </w:rPr>
        <w:t> </w:t>
      </w:r>
      <w:r>
        <w:rPr/>
        <w:t>o</w:t>
      </w:r>
      <w:r>
        <w:rPr>
          <w:spacing w:val="-15"/>
        </w:rPr>
        <w:t> </w:t>
      </w:r>
      <w:r>
        <w:rPr/>
        <w:t>Núcleo</w:t>
      </w:r>
      <w:r>
        <w:rPr>
          <w:spacing w:val="-16"/>
        </w:rPr>
        <w:t> </w:t>
      </w:r>
      <w:r>
        <w:rPr/>
        <w:t>Interno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Regulação</w:t>
      </w:r>
      <w:r>
        <w:rPr>
          <w:spacing w:val="-15"/>
        </w:rPr>
        <w:t> </w:t>
      </w:r>
      <w:r>
        <w:rPr/>
        <w:t>(NIR)</w:t>
      </w:r>
      <w:r>
        <w:rPr>
          <w:spacing w:val="-16"/>
        </w:rPr>
        <w:t> </w:t>
      </w:r>
      <w:r>
        <w:rPr/>
        <w:t>na</w:t>
      </w:r>
      <w:r>
        <w:rPr>
          <w:spacing w:val="-15"/>
        </w:rPr>
        <w:t> </w:t>
      </w:r>
      <w:r>
        <w:rPr/>
        <w:t>gestão</w:t>
      </w:r>
      <w:r>
        <w:rPr>
          <w:spacing w:val="-15"/>
        </w:rPr>
        <w:t> </w:t>
      </w:r>
      <w:r>
        <w:rPr/>
        <w:t>estratégica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leitos.</w:t>
      </w:r>
      <w:r>
        <w:rPr>
          <w:spacing w:val="-15"/>
        </w:rPr>
        <w:t> </w:t>
      </w:r>
      <w:r>
        <w:rPr/>
        <w:t>Dentre</w:t>
      </w:r>
      <w:r>
        <w:rPr>
          <w:spacing w:val="-15"/>
        </w:rPr>
        <w:t> </w:t>
      </w:r>
      <w:r>
        <w:rPr/>
        <w:t>as</w:t>
      </w:r>
      <w:r>
        <w:rPr>
          <w:spacing w:val="-16"/>
        </w:rPr>
        <w:t> </w:t>
      </w:r>
      <w:r>
        <w:rPr/>
        <w:t>ações prioritárias, destaca-se a identificação precoce de pacientes com risco de colonização por microrganismos (MDR), especialmente nas unidades de terapia intensiva (UTI), por meio de protocolos sistematizados de vigilância microbiológica.</w:t>
      </w:r>
    </w:p>
    <w:p>
      <w:pPr>
        <w:pStyle w:val="BodyText"/>
        <w:spacing w:line="350" w:lineRule="auto"/>
        <w:ind w:left="569" w:right="562" w:firstLine="720"/>
        <w:jc w:val="both"/>
      </w:pPr>
      <w:bookmarkStart w:name="Nas UTIs, são realizadas rotineiramente " w:id="18"/>
      <w:bookmarkEnd w:id="18"/>
      <w:r>
        <w:rPr/>
      </w:r>
      <w:r>
        <w:rPr/>
        <w:t>Nas UTIs, são realizadas rotineiramente coletas semanais de culturas de vigilância, o que permite a detecção oportuna de portadores assintomáticos de bactérias MDR. Essa abordagem favorece</w:t>
      </w:r>
      <w:r>
        <w:rPr>
          <w:spacing w:val="-1"/>
        </w:rPr>
        <w:t> </w:t>
      </w:r>
      <w:r>
        <w:rPr/>
        <w:t>a</w:t>
      </w:r>
      <w:r>
        <w:rPr>
          <w:spacing w:val="-6"/>
        </w:rPr>
        <w:t> </w:t>
      </w:r>
      <w:r>
        <w:rPr/>
        <w:t>adoção</w:t>
      </w:r>
      <w:r>
        <w:rPr>
          <w:spacing w:val="-1"/>
        </w:rPr>
        <w:t> </w:t>
      </w:r>
      <w:r>
        <w:rPr/>
        <w:t>imediata</w:t>
      </w:r>
      <w:r>
        <w:rPr>
          <w:spacing w:val="-6"/>
        </w:rPr>
        <w:t> </w:t>
      </w:r>
      <w:r>
        <w:rPr/>
        <w:t>de</w:t>
      </w:r>
      <w:r>
        <w:rPr>
          <w:spacing w:val="-1"/>
        </w:rPr>
        <w:t> </w:t>
      </w:r>
      <w:r>
        <w:rPr/>
        <w:t>medidas</w:t>
      </w:r>
      <w:r>
        <w:rPr>
          <w:spacing w:val="-9"/>
        </w:rPr>
        <w:t> </w:t>
      </w:r>
      <w:r>
        <w:rPr/>
        <w:t>de</w:t>
      </w:r>
      <w:r>
        <w:rPr>
          <w:spacing w:val="-1"/>
        </w:rPr>
        <w:t> </w:t>
      </w:r>
      <w:r>
        <w:rPr/>
        <w:t>contenção,</w:t>
      </w:r>
      <w:r>
        <w:rPr>
          <w:spacing w:val="-5"/>
        </w:rPr>
        <w:t> </w:t>
      </w:r>
      <w:r>
        <w:rPr/>
        <w:t>como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uso</w:t>
      </w:r>
      <w:r>
        <w:rPr>
          <w:spacing w:val="-1"/>
        </w:rPr>
        <w:t> </w:t>
      </w:r>
      <w:r>
        <w:rPr/>
        <w:t>adequado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equipamentos</w:t>
      </w:r>
      <w:r>
        <w:rPr>
          <w:spacing w:val="-4"/>
        </w:rPr>
        <w:t> </w:t>
      </w:r>
      <w:r>
        <w:rPr/>
        <w:t>de proteção individual (EPI), o reforço da higienização das mãos e a intensificação da limpeza e desinfecção de superfícies ambientais, mitigando o risco de disseminação cruzada.</w:t>
      </w:r>
    </w:p>
    <w:p>
      <w:pPr>
        <w:pStyle w:val="BodyText"/>
        <w:spacing w:after="0" w:line="350" w:lineRule="auto"/>
        <w:jc w:val="both"/>
        <w:sectPr>
          <w:pgSz w:w="11910" w:h="16840"/>
          <w:pgMar w:header="1067" w:footer="580" w:top="2440" w:bottom="780" w:left="566" w:right="566"/>
        </w:sectPr>
      </w:pPr>
    </w:p>
    <w:p>
      <w:pPr>
        <w:pStyle w:val="BodyText"/>
        <w:spacing w:line="350" w:lineRule="auto" w:before="245"/>
        <w:ind w:left="569" w:right="562" w:firstLine="720"/>
        <w:jc w:val="both"/>
      </w:pPr>
      <w:bookmarkStart w:name="Para a gestão eficiente dos pacientes em" w:id="19"/>
      <w:bookmarkEnd w:id="19"/>
      <w:r>
        <w:rPr/>
      </w:r>
      <w:r>
        <w:rPr/>
        <w:t>Para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gestão</w:t>
      </w:r>
      <w:r>
        <w:rPr>
          <w:spacing w:val="-12"/>
        </w:rPr>
        <w:t> </w:t>
      </w:r>
      <w:r>
        <w:rPr/>
        <w:t>eficiente</w:t>
      </w:r>
      <w:r>
        <w:rPr>
          <w:spacing w:val="-12"/>
        </w:rPr>
        <w:t> </w:t>
      </w:r>
      <w:r>
        <w:rPr/>
        <w:t>dos</w:t>
      </w:r>
      <w:r>
        <w:rPr>
          <w:spacing w:val="-15"/>
        </w:rPr>
        <w:t> </w:t>
      </w:r>
      <w:r>
        <w:rPr/>
        <w:t>pacientes</w:t>
      </w:r>
      <w:r>
        <w:rPr>
          <w:spacing w:val="-15"/>
        </w:rPr>
        <w:t> </w:t>
      </w:r>
      <w:r>
        <w:rPr/>
        <w:t>em</w:t>
      </w:r>
      <w:r>
        <w:rPr>
          <w:spacing w:val="-13"/>
        </w:rPr>
        <w:t> </w:t>
      </w:r>
      <w:r>
        <w:rPr/>
        <w:t>precauções</w:t>
      </w:r>
      <w:r>
        <w:rPr>
          <w:spacing w:val="-15"/>
        </w:rPr>
        <w:t> </w:t>
      </w:r>
      <w:r>
        <w:rPr/>
        <w:t>de</w:t>
      </w:r>
      <w:r>
        <w:rPr>
          <w:spacing w:val="-12"/>
        </w:rPr>
        <w:t> </w:t>
      </w:r>
      <w:r>
        <w:rPr/>
        <w:t>isolamento,</w:t>
      </w:r>
      <w:r>
        <w:rPr>
          <w:spacing w:val="-16"/>
        </w:rPr>
        <w:t> </w:t>
      </w:r>
      <w:r>
        <w:rPr/>
        <w:t>o</w:t>
      </w:r>
      <w:r>
        <w:rPr>
          <w:spacing w:val="-11"/>
        </w:rPr>
        <w:t> </w:t>
      </w:r>
      <w:r>
        <w:rPr/>
        <w:t>SCIH</w:t>
      </w:r>
      <w:r>
        <w:rPr>
          <w:spacing w:val="-14"/>
        </w:rPr>
        <w:t> </w:t>
      </w:r>
      <w:r>
        <w:rPr/>
        <w:t>utiliza</w:t>
      </w:r>
      <w:r>
        <w:rPr>
          <w:spacing w:val="-12"/>
        </w:rPr>
        <w:t> </w:t>
      </w:r>
      <w:r>
        <w:rPr/>
        <w:t>planilhas dinâmicas com cálculos automatizados, que permitem o monitoramento em tempo real dos indicadores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isolamento</w:t>
      </w:r>
      <w:r>
        <w:rPr>
          <w:spacing w:val="-15"/>
        </w:rPr>
        <w:t> </w:t>
      </w:r>
      <w:r>
        <w:rPr/>
        <w:t>e</w:t>
      </w:r>
      <w:r>
        <w:rPr>
          <w:spacing w:val="-16"/>
        </w:rPr>
        <w:t> </w:t>
      </w:r>
      <w:r>
        <w:rPr/>
        <w:t>bloqueio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leitos.</w:t>
      </w:r>
      <w:r>
        <w:rPr>
          <w:spacing w:val="-15"/>
        </w:rPr>
        <w:t> </w:t>
      </w:r>
      <w:r>
        <w:rPr/>
        <w:t>Essas</w:t>
      </w:r>
      <w:r>
        <w:rPr>
          <w:spacing w:val="-16"/>
        </w:rPr>
        <w:t> </w:t>
      </w:r>
      <w:r>
        <w:rPr/>
        <w:t>ferramentas</w:t>
      </w:r>
      <w:r>
        <w:rPr>
          <w:spacing w:val="-15"/>
        </w:rPr>
        <w:t> </w:t>
      </w:r>
      <w:r>
        <w:rPr/>
        <w:t>são</w:t>
      </w:r>
      <w:r>
        <w:rPr>
          <w:spacing w:val="-15"/>
        </w:rPr>
        <w:t> </w:t>
      </w:r>
      <w:r>
        <w:rPr/>
        <w:t>atualizadas</w:t>
      </w:r>
      <w:r>
        <w:rPr>
          <w:spacing w:val="-16"/>
        </w:rPr>
        <w:t> </w:t>
      </w:r>
      <w:r>
        <w:rPr/>
        <w:t>diariamente,</w:t>
      </w:r>
      <w:r>
        <w:rPr>
          <w:spacing w:val="-15"/>
        </w:rPr>
        <w:t> </w:t>
      </w:r>
      <w:r>
        <w:rPr/>
        <w:t>com revisão inicial</w:t>
      </w:r>
      <w:r>
        <w:rPr>
          <w:spacing w:val="-2"/>
        </w:rPr>
        <w:t> </w:t>
      </w:r>
      <w:r>
        <w:rPr/>
        <w:t>nas</w:t>
      </w:r>
      <w:r>
        <w:rPr>
          <w:spacing w:val="-3"/>
        </w:rPr>
        <w:t> </w:t>
      </w:r>
      <w:r>
        <w:rPr/>
        <w:t>primeiras</w:t>
      </w:r>
      <w:r>
        <w:rPr>
          <w:spacing w:val="-8"/>
        </w:rPr>
        <w:t> </w:t>
      </w:r>
      <w:r>
        <w:rPr/>
        <w:t>horas</w:t>
      </w:r>
      <w:r>
        <w:rPr>
          <w:spacing w:val="-3"/>
        </w:rPr>
        <w:t> </w:t>
      </w:r>
      <w:r>
        <w:rPr/>
        <w:t>da manhã e reavaliações</w:t>
      </w:r>
      <w:r>
        <w:rPr>
          <w:spacing w:val="-3"/>
        </w:rPr>
        <w:t> </w:t>
      </w:r>
      <w:r>
        <w:rPr/>
        <w:t>contínuas</w:t>
      </w:r>
      <w:r>
        <w:rPr>
          <w:spacing w:val="-8"/>
        </w:rPr>
        <w:t> </w:t>
      </w:r>
      <w:r>
        <w:rPr/>
        <w:t>ao longo</w:t>
      </w:r>
      <w:r>
        <w:rPr>
          <w:spacing w:val="-5"/>
        </w:rPr>
        <w:t> </w:t>
      </w:r>
      <w:r>
        <w:rPr/>
        <w:t>do dia,</w:t>
      </w:r>
      <w:r>
        <w:rPr>
          <w:spacing w:val="-4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 evolução clínica dos casos.</w:t>
      </w:r>
    </w:p>
    <w:p>
      <w:pPr>
        <w:pStyle w:val="BodyText"/>
        <w:spacing w:line="350" w:lineRule="auto"/>
        <w:ind w:left="569" w:right="563" w:firstLine="720"/>
        <w:jc w:val="both"/>
      </w:pPr>
      <w:bookmarkStart w:name="A vigilância ativa, mantida de forma con" w:id="20"/>
      <w:bookmarkEnd w:id="20"/>
      <w:r>
        <w:rPr/>
      </w:r>
      <w:r>
        <w:rPr/>
        <w:t>A vigilância ativa, mantida de forma contínua pelo SCIH, permite a revisão periódica da necessidade de manutenção do isolamento, favorecendo decisões clínicas fundamentadas e a racionalização do uso de leitos de forma segura. Essa estratégia previne a permanência desnecessária em isolamento, contribuindo para a eficiência assistencial e a biossegurança </w:t>
      </w:r>
      <w:r>
        <w:rPr>
          <w:spacing w:val="-2"/>
        </w:rPr>
        <w:t>institucional.</w:t>
      </w:r>
    </w:p>
    <w:p>
      <w:pPr>
        <w:pStyle w:val="BodyText"/>
        <w:spacing w:line="247" w:lineRule="exact"/>
        <w:ind w:left="1290"/>
        <w:jc w:val="both"/>
      </w:pPr>
      <w:bookmarkStart w:name="Dentre as principais ações sistematizada" w:id="21"/>
      <w:bookmarkEnd w:id="21"/>
      <w:r>
        <w:rPr/>
      </w:r>
      <w:r>
        <w:rPr/>
        <w:t>Dentre</w:t>
      </w:r>
      <w:r>
        <w:rPr>
          <w:spacing w:val="-2"/>
        </w:rPr>
        <w:t> </w:t>
      </w:r>
      <w:r>
        <w:rPr/>
        <w:t>as</w:t>
      </w:r>
      <w:r>
        <w:rPr>
          <w:spacing w:val="-7"/>
        </w:rPr>
        <w:t> </w:t>
      </w:r>
      <w:r>
        <w:rPr/>
        <w:t>principais</w:t>
      </w:r>
      <w:r>
        <w:rPr>
          <w:spacing w:val="-3"/>
        </w:rPr>
        <w:t> </w:t>
      </w:r>
      <w:r>
        <w:rPr/>
        <w:t>ações</w:t>
      </w:r>
      <w:r>
        <w:rPr>
          <w:spacing w:val="-2"/>
        </w:rPr>
        <w:t> </w:t>
      </w:r>
      <w:r>
        <w:rPr/>
        <w:t>sistematizadas</w:t>
      </w:r>
      <w:r>
        <w:rPr>
          <w:spacing w:val="-8"/>
        </w:rPr>
        <w:t> </w:t>
      </w:r>
      <w:r>
        <w:rPr/>
        <w:t>pelo</w:t>
      </w:r>
      <w:r>
        <w:rPr>
          <w:spacing w:val="1"/>
        </w:rPr>
        <w:t> </w:t>
      </w:r>
      <w:r>
        <w:rPr/>
        <w:t>SCIH,</w:t>
      </w:r>
      <w:r>
        <w:rPr>
          <w:spacing w:val="-3"/>
        </w:rPr>
        <w:t> </w:t>
      </w:r>
      <w:r>
        <w:rPr/>
        <w:t>destacam-</w:t>
      </w:r>
      <w:r>
        <w:rPr>
          <w:spacing w:val="-5"/>
        </w:rPr>
        <w:t>se:</w:t>
      </w:r>
    </w:p>
    <w:p>
      <w:pPr>
        <w:pStyle w:val="ListParagraph"/>
        <w:numPr>
          <w:ilvl w:val="0"/>
          <w:numId w:val="2"/>
        </w:numPr>
        <w:tabs>
          <w:tab w:pos="1290" w:val="left" w:leader="none"/>
        </w:tabs>
        <w:spacing w:line="343" w:lineRule="auto" w:before="121" w:after="0"/>
        <w:ind w:left="1290" w:right="576" w:hanging="361"/>
        <w:jc w:val="both"/>
        <w:rPr>
          <w:sz w:val="22"/>
        </w:rPr>
      </w:pPr>
      <w:r>
        <w:rPr>
          <w:sz w:val="22"/>
        </w:rPr>
        <w:t>Avaliação criteriosa da possibilidade de formação de coortes, orientada por tabela automatizada que subsidia a tomada de decisão pela equipe assistencial;</w:t>
      </w:r>
    </w:p>
    <w:p>
      <w:pPr>
        <w:pStyle w:val="ListParagraph"/>
        <w:numPr>
          <w:ilvl w:val="0"/>
          <w:numId w:val="2"/>
        </w:numPr>
        <w:tabs>
          <w:tab w:pos="1290" w:val="left" w:leader="none"/>
        </w:tabs>
        <w:spacing w:line="343" w:lineRule="auto" w:before="14" w:after="0"/>
        <w:ind w:left="1290" w:right="576" w:hanging="361"/>
        <w:jc w:val="both"/>
        <w:rPr>
          <w:sz w:val="22"/>
        </w:rPr>
      </w:pPr>
      <w:r>
        <w:rPr>
          <w:sz w:val="22"/>
        </w:rPr>
        <w:t>Coleta precoce de amostras respiratórias para investigação de tuberculose, visando o diagnóstico oportuno e manejo adequado dos casos suspeitos;</w:t>
      </w:r>
    </w:p>
    <w:p>
      <w:pPr>
        <w:pStyle w:val="ListParagraph"/>
        <w:numPr>
          <w:ilvl w:val="0"/>
          <w:numId w:val="2"/>
        </w:numPr>
        <w:tabs>
          <w:tab w:pos="1290" w:val="left" w:leader="none"/>
        </w:tabs>
        <w:spacing w:line="343" w:lineRule="auto" w:before="12" w:after="0"/>
        <w:ind w:left="1290" w:right="575" w:hanging="361"/>
        <w:jc w:val="both"/>
        <w:rPr>
          <w:sz w:val="22"/>
        </w:rPr>
      </w:pPr>
      <w:r>
        <w:rPr>
          <w:sz w:val="22"/>
        </w:rPr>
        <w:t>Investigação etiológica de diarreia em pacientes em uso recente de antimicrobianos, com foco na detecção de infecção por </w:t>
      </w:r>
      <w:r>
        <w:rPr>
          <w:rFonts w:ascii="Arial" w:hAnsi="Arial"/>
          <w:i/>
          <w:sz w:val="22"/>
        </w:rPr>
        <w:t>Clostridioides difficile</w:t>
      </w:r>
      <w:r>
        <w:rPr>
          <w:sz w:val="22"/>
        </w:rPr>
        <w:t>;</w:t>
      </w:r>
    </w:p>
    <w:p>
      <w:pPr>
        <w:pStyle w:val="ListParagraph"/>
        <w:numPr>
          <w:ilvl w:val="0"/>
          <w:numId w:val="2"/>
        </w:numPr>
        <w:tabs>
          <w:tab w:pos="1290" w:val="left" w:leader="none"/>
        </w:tabs>
        <w:spacing w:line="348" w:lineRule="auto" w:before="13" w:after="0"/>
        <w:ind w:left="1290" w:right="562" w:hanging="361"/>
        <w:jc w:val="both"/>
        <w:rPr>
          <w:sz w:val="22"/>
        </w:rPr>
      </w:pPr>
      <w:r>
        <w:rPr>
          <w:sz w:val="22"/>
        </w:rPr>
        <w:t>Aplicação de protocolos de descolonização para </w:t>
      </w:r>
      <w:r>
        <w:rPr>
          <w:rFonts w:ascii="Arial" w:hAnsi="Arial"/>
          <w:i/>
          <w:sz w:val="22"/>
        </w:rPr>
        <w:t>Staphylococcus aureus </w:t>
      </w:r>
      <w:r>
        <w:rPr>
          <w:sz w:val="22"/>
        </w:rPr>
        <w:t>resistente à meticilina (MRSA), com o objetivo de reduzir a carga de colonização e prevenir infecções </w:t>
      </w:r>
      <w:r>
        <w:rPr>
          <w:spacing w:val="-2"/>
          <w:sz w:val="22"/>
        </w:rPr>
        <w:t>invasivas;</w:t>
      </w:r>
    </w:p>
    <w:p>
      <w:pPr>
        <w:pStyle w:val="ListParagraph"/>
        <w:numPr>
          <w:ilvl w:val="0"/>
          <w:numId w:val="2"/>
        </w:numPr>
        <w:tabs>
          <w:tab w:pos="1290" w:val="left" w:leader="none"/>
        </w:tabs>
        <w:spacing w:line="343" w:lineRule="auto" w:before="1" w:after="0"/>
        <w:ind w:left="1290" w:right="569" w:hanging="361"/>
        <w:jc w:val="both"/>
        <w:rPr>
          <w:sz w:val="22"/>
        </w:rPr>
      </w:pPr>
      <w:r>
        <w:rPr>
          <w:spacing w:val="-2"/>
          <w:sz w:val="22"/>
        </w:rPr>
        <w:t>Rastreio e testagem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de contactantes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de casos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confirmados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 síndromes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respiratórias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virais, </w:t>
      </w:r>
      <w:r>
        <w:rPr>
          <w:sz w:val="22"/>
        </w:rPr>
        <w:t>essencial para a prevenção de surtos nos ambientes assistenciais.</w:t>
      </w:r>
    </w:p>
    <w:p>
      <w:pPr>
        <w:pStyle w:val="ListParagraph"/>
        <w:numPr>
          <w:ilvl w:val="0"/>
          <w:numId w:val="2"/>
        </w:numPr>
        <w:tabs>
          <w:tab w:pos="1290" w:val="left" w:leader="none"/>
        </w:tabs>
        <w:spacing w:line="348" w:lineRule="auto" w:before="14" w:after="0"/>
        <w:ind w:left="1290" w:right="570" w:hanging="361"/>
        <w:jc w:val="both"/>
        <w:rPr>
          <w:sz w:val="22"/>
        </w:rPr>
      </w:pPr>
      <w:r>
        <w:rPr>
          <w:sz w:val="22"/>
        </w:rPr>
        <w:t>Essas ações, alinhadas às melhores práticas internacionais de segurança do paciente e gestão</w:t>
      </w:r>
      <w:r>
        <w:rPr>
          <w:spacing w:val="-13"/>
          <w:sz w:val="22"/>
        </w:rPr>
        <w:t> </w:t>
      </w:r>
      <w:r>
        <w:rPr>
          <w:sz w:val="22"/>
        </w:rPr>
        <w:t>do</w:t>
      </w:r>
      <w:r>
        <w:rPr>
          <w:spacing w:val="-12"/>
          <w:sz w:val="22"/>
        </w:rPr>
        <w:t> </w:t>
      </w:r>
      <w:r>
        <w:rPr>
          <w:sz w:val="22"/>
        </w:rPr>
        <w:t>risco</w:t>
      </w:r>
      <w:r>
        <w:rPr>
          <w:spacing w:val="-12"/>
          <w:sz w:val="22"/>
        </w:rPr>
        <w:t> </w:t>
      </w:r>
      <w:r>
        <w:rPr>
          <w:sz w:val="22"/>
        </w:rPr>
        <w:t>sanitário,</w:t>
      </w:r>
      <w:r>
        <w:rPr>
          <w:spacing w:val="-16"/>
          <w:sz w:val="22"/>
        </w:rPr>
        <w:t> </w:t>
      </w:r>
      <w:r>
        <w:rPr>
          <w:sz w:val="22"/>
        </w:rPr>
        <w:t>refletem</w:t>
      </w:r>
      <w:r>
        <w:rPr>
          <w:spacing w:val="-13"/>
          <w:sz w:val="22"/>
        </w:rPr>
        <w:t> </w:t>
      </w:r>
      <w:r>
        <w:rPr>
          <w:sz w:val="22"/>
        </w:rPr>
        <w:t>o</w:t>
      </w:r>
      <w:r>
        <w:rPr>
          <w:spacing w:val="-8"/>
          <w:sz w:val="22"/>
        </w:rPr>
        <w:t> </w:t>
      </w:r>
      <w:r>
        <w:rPr>
          <w:sz w:val="22"/>
        </w:rPr>
        <w:t>compromisso</w:t>
      </w:r>
      <w:r>
        <w:rPr>
          <w:spacing w:val="-8"/>
          <w:sz w:val="22"/>
        </w:rPr>
        <w:t> </w:t>
      </w:r>
      <w:r>
        <w:rPr>
          <w:sz w:val="22"/>
        </w:rPr>
        <w:t>institucional</w:t>
      </w:r>
      <w:r>
        <w:rPr>
          <w:spacing w:val="-13"/>
          <w:sz w:val="22"/>
        </w:rPr>
        <w:t> </w:t>
      </w:r>
      <w:r>
        <w:rPr>
          <w:sz w:val="22"/>
        </w:rPr>
        <w:t>com</w:t>
      </w:r>
      <w:r>
        <w:rPr>
          <w:spacing w:val="-13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qualidade</w:t>
      </w:r>
      <w:r>
        <w:rPr>
          <w:spacing w:val="-12"/>
          <w:sz w:val="22"/>
        </w:rPr>
        <w:t> </w:t>
      </w:r>
      <w:r>
        <w:rPr>
          <w:sz w:val="22"/>
        </w:rPr>
        <w:t>assistencial, a contenção da resistência microbiana e a proteção dos profissionais de saúde.</w:t>
      </w:r>
    </w:p>
    <w:p>
      <w:pPr>
        <w:pStyle w:val="BodyText"/>
        <w:spacing w:line="350" w:lineRule="auto" w:before="245"/>
        <w:ind w:left="569" w:right="561" w:firstLine="630"/>
        <w:jc w:val="both"/>
      </w:pPr>
      <w:r>
        <w:rPr/>
        <w:t>Em junho de 2025, mantivemos atenção diante do aumento de infecções respiratórias transmissíveis, intensificando-se as precauções de isolamento nas unidades de internação, resultando em uma média diária de 60 pacientes sob medidas especiais, sendo seis pacientes suspeitos/confirmados de tuberculose. E ainda, refletem a persistência de casos comunitários de COVID-19 e Influenza detectados na admissão e de indivíduos colonizados ou infectados por microrganismos multirresistentes (MDR) que requerem manejo em coortes específicas. Todas as ações adotadas seguem rigorosamente os protocolos atualizados de biossegurança e vigilância epidemiológica,</w:t>
      </w:r>
      <w:r>
        <w:rPr>
          <w:spacing w:val="25"/>
        </w:rPr>
        <w:t> </w:t>
      </w:r>
      <w:r>
        <w:rPr/>
        <w:t>priorizando</w:t>
      </w:r>
      <w:r>
        <w:rPr>
          <w:spacing w:val="28"/>
        </w:rPr>
        <w:t> </w:t>
      </w:r>
      <w:r>
        <w:rPr/>
        <w:t>a</w:t>
      </w:r>
      <w:r>
        <w:rPr>
          <w:spacing w:val="33"/>
        </w:rPr>
        <w:t> </w:t>
      </w:r>
      <w:r>
        <w:rPr/>
        <w:t>interrupção</w:t>
      </w:r>
      <w:r>
        <w:rPr>
          <w:spacing w:val="33"/>
        </w:rPr>
        <w:t> </w:t>
      </w:r>
      <w:r>
        <w:rPr/>
        <w:t>da</w:t>
      </w:r>
      <w:r>
        <w:rPr>
          <w:spacing w:val="33"/>
        </w:rPr>
        <w:t> </w:t>
      </w:r>
      <w:r>
        <w:rPr/>
        <w:t>transmissão</w:t>
      </w:r>
      <w:r>
        <w:rPr>
          <w:spacing w:val="33"/>
        </w:rPr>
        <w:t> </w:t>
      </w:r>
      <w:r>
        <w:rPr/>
        <w:t>nosocomial</w:t>
      </w:r>
      <w:r>
        <w:rPr>
          <w:spacing w:val="27"/>
        </w:rPr>
        <w:t> </w:t>
      </w:r>
      <w:r>
        <w:rPr/>
        <w:t>e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proteção</w:t>
      </w:r>
      <w:r>
        <w:rPr>
          <w:spacing w:val="28"/>
        </w:rPr>
        <w:t> </w:t>
      </w:r>
      <w:r>
        <w:rPr/>
        <w:t>das</w:t>
      </w:r>
      <w:r>
        <w:rPr>
          <w:spacing w:val="26"/>
        </w:rPr>
        <w:t> </w:t>
      </w:r>
      <w:r>
        <w:rPr/>
        <w:t>equipes</w:t>
      </w:r>
    </w:p>
    <w:p>
      <w:pPr>
        <w:pStyle w:val="BodyText"/>
        <w:spacing w:after="0" w:line="350" w:lineRule="auto"/>
        <w:jc w:val="both"/>
        <w:sectPr>
          <w:pgSz w:w="11910" w:h="16840"/>
          <w:pgMar w:header="1067" w:footer="580" w:top="2440" w:bottom="780" w:left="566" w:right="566"/>
        </w:sectPr>
      </w:pPr>
    </w:p>
    <w:p>
      <w:pPr>
        <w:pStyle w:val="BodyText"/>
        <w:spacing w:before="245"/>
        <w:ind w:left="569"/>
        <w:jc w:val="both"/>
      </w:pPr>
      <w:r>
        <w:rPr/>
        <w:t>assistenciais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dos</w:t>
      </w:r>
      <w:r>
        <w:rPr>
          <w:spacing w:val="-5"/>
        </w:rPr>
        <w:t> </w:t>
      </w:r>
      <w:r>
        <w:rPr/>
        <w:t>demais</w:t>
      </w:r>
      <w:r>
        <w:rPr>
          <w:spacing w:val="-4"/>
        </w:rPr>
        <w:t> </w:t>
      </w:r>
      <w:r>
        <w:rPr>
          <w:spacing w:val="-2"/>
        </w:rPr>
        <w:t>pacientes.</w:t>
      </w:r>
    </w:p>
    <w:p>
      <w:pPr>
        <w:pStyle w:val="BodyText"/>
        <w:spacing w:line="350" w:lineRule="auto" w:before="117"/>
        <w:ind w:left="569" w:right="562" w:firstLine="810"/>
        <w:jc w:val="both"/>
      </w:pPr>
      <w:r>
        <w:rPr/>
        <w:t>Em junho as precauções de contato responderam por 86,7% das medidas especiais adotadas, seguidas pelas precauções respiratórias. A Tabela 1 apresenta a distribuição atual dos principais microrganismos multirresistentes (MDR) que demandam precaução especial no HUGO. Esses perfis de resistência frequentemente requerem esquemas antimicrobianos específicos e de alto custo, o que pode prolongar o tempo de internação.</w:t>
      </w:r>
    </w:p>
    <w:p>
      <w:pPr>
        <w:spacing w:line="345" w:lineRule="auto" w:before="244" w:after="13"/>
        <w:ind w:left="569" w:right="572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Tabela 2. Média da distribuição dos principais microrganismos MDR com necessidade de precaução especial no HUGO no mês de junho de 2025.</w:t>
      </w:r>
    </w:p>
    <w:tbl>
      <w:tblPr>
        <w:tblW w:w="0" w:type="auto"/>
        <w:jc w:val="left"/>
        <w:tblInd w:w="5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8"/>
        <w:gridCol w:w="1063"/>
        <w:gridCol w:w="2262"/>
      </w:tblGrid>
      <w:tr>
        <w:trPr>
          <w:trHeight w:val="300" w:hRule="atLeast"/>
        </w:trPr>
        <w:tc>
          <w:tcPr>
            <w:tcW w:w="574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9"/>
              <w:ind w:left="112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Microrganismo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difícil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tratamento</w:t>
            </w:r>
          </w:p>
        </w:tc>
        <w:tc>
          <w:tcPr>
            <w:tcW w:w="106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9"/>
              <w:ind w:left="157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5"/>
                <w:sz w:val="22"/>
              </w:rPr>
              <w:t>Nº</w:t>
            </w:r>
          </w:p>
        </w:tc>
        <w:tc>
          <w:tcPr>
            <w:tcW w:w="226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9"/>
              <w:ind w:left="65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%</w:t>
            </w:r>
          </w:p>
        </w:tc>
      </w:tr>
      <w:tr>
        <w:trPr>
          <w:trHeight w:val="298" w:hRule="atLeast"/>
        </w:trPr>
        <w:tc>
          <w:tcPr>
            <w:tcW w:w="574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8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Acinetobacter</w:t>
            </w:r>
            <w:r>
              <w:rPr>
                <w:rFonts w:ascii="Arial" w:hAnsi="Arial"/>
                <w:i/>
                <w:spacing w:val="-5"/>
                <w:sz w:val="22"/>
              </w:rPr>
              <w:t> </w:t>
            </w:r>
            <w:r>
              <w:rPr>
                <w:rFonts w:ascii="Arial" w:hAnsi="Arial"/>
                <w:i/>
                <w:sz w:val="22"/>
              </w:rPr>
              <w:t>baummannii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resistente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carbapenêmicos</w:t>
            </w:r>
          </w:p>
        </w:tc>
        <w:tc>
          <w:tcPr>
            <w:tcW w:w="10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8"/>
              <w:ind w:left="15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22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8"/>
              <w:ind w:left="654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42,9</w:t>
            </w:r>
          </w:p>
        </w:tc>
      </w:tr>
      <w:tr>
        <w:trPr>
          <w:trHeight w:val="300" w:hRule="atLeast"/>
        </w:trPr>
        <w:tc>
          <w:tcPr>
            <w:tcW w:w="5748" w:type="dxa"/>
          </w:tcPr>
          <w:p>
            <w:pPr>
              <w:pStyle w:val="TableParagraph"/>
              <w:spacing w:before="20"/>
              <w:ind w:left="112"/>
              <w:rPr>
                <w:rFonts w:ascii="Arial MT"/>
                <w:sz w:val="22"/>
              </w:rPr>
            </w:pPr>
            <w:r>
              <w:rPr>
                <w:rFonts w:ascii="Arial"/>
                <w:i/>
                <w:sz w:val="22"/>
              </w:rPr>
              <w:t>Klebsiella</w:t>
            </w:r>
            <w:r>
              <w:rPr>
                <w:rFonts w:ascii="Arial"/>
                <w:i/>
                <w:spacing w:val="-4"/>
                <w:sz w:val="22"/>
              </w:rPr>
              <w:t> </w:t>
            </w:r>
            <w:r>
              <w:rPr>
                <w:rFonts w:ascii="Arial"/>
                <w:i/>
                <w:sz w:val="22"/>
              </w:rPr>
              <w:t>pneumoniae</w:t>
            </w:r>
            <w:r>
              <w:rPr>
                <w:rFonts w:ascii="Arial"/>
                <w:i/>
                <w:spacing w:val="2"/>
                <w:sz w:val="22"/>
              </w:rPr>
              <w:t> </w:t>
            </w:r>
            <w:r>
              <w:rPr>
                <w:rFonts w:ascii="Arial MT"/>
                <w:sz w:val="22"/>
              </w:rPr>
              <w:t>KPC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ou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5"/>
                <w:sz w:val="22"/>
              </w:rPr>
              <w:t>NDM</w:t>
            </w:r>
          </w:p>
        </w:tc>
        <w:tc>
          <w:tcPr>
            <w:tcW w:w="1063" w:type="dxa"/>
          </w:tcPr>
          <w:p>
            <w:pPr>
              <w:pStyle w:val="TableParagraph"/>
              <w:spacing w:before="20"/>
              <w:ind w:left="15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29</w:t>
            </w:r>
          </w:p>
        </w:tc>
        <w:tc>
          <w:tcPr>
            <w:tcW w:w="2262" w:type="dxa"/>
          </w:tcPr>
          <w:p>
            <w:pPr>
              <w:pStyle w:val="TableParagraph"/>
              <w:spacing w:before="20"/>
              <w:ind w:left="654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42,9</w:t>
            </w:r>
          </w:p>
        </w:tc>
      </w:tr>
      <w:tr>
        <w:trPr>
          <w:trHeight w:val="297" w:hRule="atLeast"/>
        </w:trPr>
        <w:tc>
          <w:tcPr>
            <w:tcW w:w="5748" w:type="dxa"/>
          </w:tcPr>
          <w:p>
            <w:pPr>
              <w:pStyle w:val="TableParagraph"/>
              <w:spacing w:before="20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Pseudomonas</w:t>
            </w:r>
            <w:r>
              <w:rPr>
                <w:rFonts w:ascii="Arial" w:hAnsi="Arial"/>
                <w:i/>
                <w:spacing w:val="-7"/>
                <w:sz w:val="22"/>
              </w:rPr>
              <w:t> </w:t>
            </w:r>
            <w:r>
              <w:rPr>
                <w:rFonts w:ascii="Arial" w:hAnsi="Arial"/>
                <w:i/>
                <w:sz w:val="22"/>
              </w:rPr>
              <w:t>aeruginosa </w:t>
            </w:r>
            <w:r>
              <w:rPr>
                <w:rFonts w:ascii="Arial MT" w:hAnsi="Arial MT"/>
                <w:sz w:val="22"/>
              </w:rPr>
              <w:t>resistente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carbapenêmicos</w:t>
            </w:r>
          </w:p>
        </w:tc>
        <w:tc>
          <w:tcPr>
            <w:tcW w:w="1063" w:type="dxa"/>
          </w:tcPr>
          <w:p>
            <w:pPr>
              <w:pStyle w:val="TableParagraph"/>
              <w:spacing w:before="20"/>
              <w:ind w:left="15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2262" w:type="dxa"/>
          </w:tcPr>
          <w:p>
            <w:pPr>
              <w:pStyle w:val="TableParagraph"/>
              <w:spacing w:before="20"/>
              <w:ind w:left="65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5,7</w:t>
            </w:r>
          </w:p>
        </w:tc>
      </w:tr>
      <w:tr>
        <w:trPr>
          <w:trHeight w:val="302" w:hRule="atLeast"/>
        </w:trPr>
        <w:tc>
          <w:tcPr>
            <w:tcW w:w="5748" w:type="dxa"/>
          </w:tcPr>
          <w:p>
            <w:pPr>
              <w:pStyle w:val="TableParagraph"/>
              <w:spacing w:before="17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Enterococo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resistente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à </w:t>
            </w:r>
            <w:r>
              <w:rPr>
                <w:rFonts w:ascii="Arial MT" w:hAnsi="Arial MT"/>
                <w:spacing w:val="-2"/>
                <w:sz w:val="22"/>
              </w:rPr>
              <w:t>vancomicina</w:t>
            </w:r>
          </w:p>
        </w:tc>
        <w:tc>
          <w:tcPr>
            <w:tcW w:w="1063" w:type="dxa"/>
          </w:tcPr>
          <w:p>
            <w:pPr>
              <w:pStyle w:val="TableParagraph"/>
              <w:spacing w:before="22"/>
              <w:ind w:left="15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2262" w:type="dxa"/>
          </w:tcPr>
          <w:p>
            <w:pPr>
              <w:pStyle w:val="TableParagraph"/>
              <w:spacing w:before="22"/>
              <w:ind w:left="65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48" w:type="dxa"/>
          </w:tcPr>
          <w:p>
            <w:pPr>
              <w:pStyle w:val="TableParagraph"/>
              <w:spacing w:before="20"/>
              <w:ind w:left="112"/>
              <w:rPr>
                <w:rFonts w:ascii="Arial MT"/>
                <w:sz w:val="22"/>
              </w:rPr>
            </w:pPr>
            <w:r>
              <w:rPr>
                <w:rFonts w:ascii="Arial"/>
                <w:i/>
                <w:sz w:val="22"/>
              </w:rPr>
              <w:t>Enterobacter</w:t>
            </w:r>
            <w:r>
              <w:rPr>
                <w:rFonts w:ascii="Arial"/>
                <w:i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complex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KPC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ou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5"/>
                <w:sz w:val="22"/>
              </w:rPr>
              <w:t>NDM</w:t>
            </w:r>
          </w:p>
        </w:tc>
        <w:tc>
          <w:tcPr>
            <w:tcW w:w="1063" w:type="dxa"/>
          </w:tcPr>
          <w:p>
            <w:pPr>
              <w:pStyle w:val="TableParagraph"/>
              <w:spacing w:before="20"/>
              <w:ind w:left="15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2262" w:type="dxa"/>
          </w:tcPr>
          <w:p>
            <w:pPr>
              <w:pStyle w:val="TableParagraph"/>
              <w:spacing w:before="20"/>
              <w:ind w:left="65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48" w:type="dxa"/>
          </w:tcPr>
          <w:p>
            <w:pPr>
              <w:pStyle w:val="TableParagraph"/>
              <w:spacing w:before="20"/>
              <w:ind w:left="112"/>
              <w:rPr>
                <w:rFonts w:ascii="Arial MT"/>
                <w:sz w:val="22"/>
              </w:rPr>
            </w:pPr>
            <w:r>
              <w:rPr>
                <w:rFonts w:ascii="Arial"/>
                <w:i/>
                <w:sz w:val="22"/>
              </w:rPr>
              <w:t>Serratia</w:t>
            </w:r>
            <w:r>
              <w:rPr>
                <w:rFonts w:ascii="Arial"/>
                <w:i/>
                <w:spacing w:val="-4"/>
                <w:sz w:val="22"/>
              </w:rPr>
              <w:t> </w:t>
            </w:r>
            <w:r>
              <w:rPr>
                <w:rFonts w:ascii="Arial"/>
                <w:i/>
                <w:sz w:val="22"/>
              </w:rPr>
              <w:t>marcescens</w:t>
            </w:r>
            <w:r>
              <w:rPr>
                <w:rFonts w:ascii="Arial"/>
                <w:i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KPC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ou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5"/>
                <w:sz w:val="22"/>
              </w:rPr>
              <w:t>NDM</w:t>
            </w:r>
          </w:p>
        </w:tc>
        <w:tc>
          <w:tcPr>
            <w:tcW w:w="1063" w:type="dxa"/>
          </w:tcPr>
          <w:p>
            <w:pPr>
              <w:pStyle w:val="TableParagraph"/>
              <w:spacing w:before="20"/>
              <w:ind w:left="15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2262" w:type="dxa"/>
          </w:tcPr>
          <w:p>
            <w:pPr>
              <w:pStyle w:val="TableParagraph"/>
              <w:spacing w:before="20"/>
              <w:ind w:left="65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48" w:type="dxa"/>
          </w:tcPr>
          <w:p>
            <w:pPr>
              <w:pStyle w:val="TableParagraph"/>
              <w:spacing w:before="20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MRSA</w:t>
            </w:r>
          </w:p>
        </w:tc>
        <w:tc>
          <w:tcPr>
            <w:tcW w:w="1063" w:type="dxa"/>
          </w:tcPr>
          <w:p>
            <w:pPr>
              <w:pStyle w:val="TableParagraph"/>
              <w:spacing w:before="20"/>
              <w:ind w:left="15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2262" w:type="dxa"/>
          </w:tcPr>
          <w:p>
            <w:pPr>
              <w:pStyle w:val="TableParagraph"/>
              <w:spacing w:before="20"/>
              <w:ind w:left="65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1,4</w:t>
            </w:r>
          </w:p>
        </w:tc>
      </w:tr>
      <w:tr>
        <w:trPr>
          <w:trHeight w:val="301" w:hRule="atLeast"/>
        </w:trPr>
        <w:tc>
          <w:tcPr>
            <w:tcW w:w="574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20"/>
              <w:ind w:left="112"/>
              <w:rPr>
                <w:rFonts w:ascii="Arial MT"/>
                <w:sz w:val="22"/>
              </w:rPr>
            </w:pPr>
            <w:r>
              <w:rPr>
                <w:rFonts w:ascii="Arial"/>
                <w:i/>
                <w:sz w:val="22"/>
              </w:rPr>
              <w:t>Escherichia</w:t>
            </w:r>
            <w:r>
              <w:rPr>
                <w:rFonts w:ascii="Arial"/>
                <w:i/>
                <w:spacing w:val="-3"/>
                <w:sz w:val="22"/>
              </w:rPr>
              <w:t> </w:t>
            </w:r>
            <w:r>
              <w:rPr>
                <w:rFonts w:ascii="Arial"/>
                <w:i/>
                <w:sz w:val="22"/>
              </w:rPr>
              <w:t>coli</w:t>
            </w:r>
            <w:r>
              <w:rPr>
                <w:rFonts w:ascii="Arial"/>
                <w:i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KPC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ou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5"/>
                <w:sz w:val="22"/>
              </w:rPr>
              <w:t>NDM</w:t>
            </w:r>
          </w:p>
        </w:tc>
        <w:tc>
          <w:tcPr>
            <w:tcW w:w="106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20"/>
              <w:ind w:left="15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226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20"/>
              <w:ind w:left="65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4,3</w:t>
            </w:r>
          </w:p>
        </w:tc>
      </w:tr>
    </w:tbl>
    <w:p>
      <w:pPr>
        <w:pStyle w:val="BodyText"/>
        <w:spacing w:before="113"/>
        <w:rPr>
          <w:rFonts w:ascii="Arial"/>
          <w:b/>
        </w:rPr>
      </w:pPr>
    </w:p>
    <w:p>
      <w:pPr>
        <w:pStyle w:val="BodyText"/>
        <w:spacing w:line="350" w:lineRule="auto"/>
        <w:ind w:left="569" w:right="561" w:firstLine="870"/>
        <w:jc w:val="both"/>
      </w:pPr>
      <w:bookmarkStart w:name="Outro cenário crítico enfrentado no HUGO" w:id="22"/>
      <w:bookmarkEnd w:id="22"/>
      <w:r>
        <w:rPr/>
      </w:r>
      <w:r>
        <w:rPr/>
        <w:t>Outro</w:t>
      </w:r>
      <w:r>
        <w:rPr>
          <w:spacing w:val="-14"/>
        </w:rPr>
        <w:t> </w:t>
      </w:r>
      <w:r>
        <w:rPr/>
        <w:t>cenário</w:t>
      </w:r>
      <w:r>
        <w:rPr>
          <w:spacing w:val="-12"/>
        </w:rPr>
        <w:t> </w:t>
      </w:r>
      <w:r>
        <w:rPr/>
        <w:t>crítico</w:t>
      </w:r>
      <w:r>
        <w:rPr>
          <w:spacing w:val="-12"/>
        </w:rPr>
        <w:t> </w:t>
      </w:r>
      <w:r>
        <w:rPr/>
        <w:t>enfrentado</w:t>
      </w:r>
      <w:r>
        <w:rPr>
          <w:spacing w:val="-12"/>
        </w:rPr>
        <w:t> </w:t>
      </w:r>
      <w:r>
        <w:rPr/>
        <w:t>no</w:t>
      </w:r>
      <w:r>
        <w:rPr>
          <w:spacing w:val="-12"/>
        </w:rPr>
        <w:t> </w:t>
      </w:r>
      <w:r>
        <w:rPr/>
        <w:t>HUGO</w:t>
      </w:r>
      <w:r>
        <w:rPr>
          <w:spacing w:val="-16"/>
        </w:rPr>
        <w:t> </w:t>
      </w:r>
      <w:r>
        <w:rPr/>
        <w:t>corresponde</w:t>
      </w:r>
      <w:r>
        <w:rPr>
          <w:spacing w:val="-12"/>
        </w:rPr>
        <w:t> </w:t>
      </w:r>
      <w:r>
        <w:rPr/>
        <w:t>ao</w:t>
      </w:r>
      <w:r>
        <w:rPr>
          <w:spacing w:val="-16"/>
        </w:rPr>
        <w:t> </w:t>
      </w:r>
      <w:r>
        <w:rPr/>
        <w:t>número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pacientes</w:t>
      </w:r>
      <w:r>
        <w:rPr>
          <w:spacing w:val="-15"/>
        </w:rPr>
        <w:t> </w:t>
      </w:r>
      <w:r>
        <w:rPr/>
        <w:t>com</w:t>
      </w:r>
      <w:r>
        <w:rPr>
          <w:spacing w:val="-13"/>
        </w:rPr>
        <w:t> </w:t>
      </w:r>
      <w:r>
        <w:rPr/>
        <w:t>lesão por pressão ou lesões decorrentes de complicações cirúrgicas tardia, principalmente àquelas decorrentes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infecções</w:t>
      </w:r>
      <w:r>
        <w:rPr>
          <w:spacing w:val="-4"/>
        </w:rPr>
        <w:t> </w:t>
      </w:r>
      <w:r>
        <w:rPr/>
        <w:t>relacionadas</w:t>
      </w:r>
      <w:r>
        <w:rPr>
          <w:spacing w:val="-5"/>
        </w:rPr>
        <w:t> </w:t>
      </w:r>
      <w:r>
        <w:rPr/>
        <w:t>às</w:t>
      </w:r>
      <w:r>
        <w:rPr>
          <w:spacing w:val="-5"/>
        </w:rPr>
        <w:t> </w:t>
      </w:r>
      <w:r>
        <w:rPr/>
        <w:t>fraturas</w:t>
      </w:r>
      <w:r>
        <w:rPr>
          <w:spacing w:val="-10"/>
        </w:rPr>
        <w:t> </w:t>
      </w:r>
      <w:r>
        <w:rPr/>
        <w:t>expostas.</w:t>
      </w:r>
      <w:r>
        <w:rPr>
          <w:spacing w:val="-6"/>
        </w:rPr>
        <w:t> </w:t>
      </w:r>
      <w:r>
        <w:rPr/>
        <w:t>Pacientes</w:t>
      </w:r>
      <w:r>
        <w:rPr>
          <w:spacing w:val="-5"/>
        </w:rPr>
        <w:t> </w:t>
      </w:r>
      <w:r>
        <w:rPr/>
        <w:t>com</w:t>
      </w:r>
      <w:r>
        <w:rPr>
          <w:spacing w:val="-3"/>
        </w:rPr>
        <w:t> </w:t>
      </w:r>
      <w:r>
        <w:rPr/>
        <w:t>lesão</w:t>
      </w:r>
      <w:r>
        <w:rPr>
          <w:spacing w:val="-3"/>
        </w:rPr>
        <w:t> </w:t>
      </w:r>
      <w:r>
        <w:rPr/>
        <w:t>por</w:t>
      </w:r>
      <w:r>
        <w:rPr>
          <w:spacing w:val="-8"/>
        </w:rPr>
        <w:t> </w:t>
      </w:r>
      <w:r>
        <w:rPr/>
        <w:t>pressão</w:t>
      </w:r>
      <w:r>
        <w:rPr>
          <w:spacing w:val="-3"/>
        </w:rPr>
        <w:t> </w:t>
      </w:r>
      <w:r>
        <w:rPr/>
        <w:t>(LP) refletem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complexidade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vulnerabilidade</w:t>
      </w:r>
      <w:r>
        <w:rPr>
          <w:spacing w:val="-12"/>
        </w:rPr>
        <w:t> </w:t>
      </w:r>
      <w:r>
        <w:rPr/>
        <w:t>do</w:t>
      </w:r>
      <w:r>
        <w:rPr>
          <w:spacing w:val="-12"/>
        </w:rPr>
        <w:t> </w:t>
      </w:r>
      <w:r>
        <w:rPr/>
        <w:t>estado</w:t>
      </w:r>
      <w:r>
        <w:rPr>
          <w:spacing w:val="-7"/>
        </w:rPr>
        <w:t> </w:t>
      </w:r>
      <w:r>
        <w:rPr/>
        <w:t>clínico dos</w:t>
      </w:r>
      <w:r>
        <w:rPr>
          <w:spacing w:val="-10"/>
        </w:rPr>
        <w:t> </w:t>
      </w:r>
      <w:r>
        <w:rPr/>
        <w:t>pacientes</w:t>
      </w:r>
      <w:r>
        <w:rPr>
          <w:spacing w:val="-8"/>
        </w:rPr>
        <w:t> </w:t>
      </w:r>
      <w:r>
        <w:rPr/>
        <w:t>internados.</w:t>
      </w:r>
      <w:r>
        <w:rPr>
          <w:spacing w:val="-11"/>
        </w:rPr>
        <w:t> </w:t>
      </w:r>
      <w:r>
        <w:rPr/>
        <w:t>Embora</w:t>
      </w:r>
      <w:r>
        <w:rPr>
          <w:spacing w:val="-12"/>
        </w:rPr>
        <w:t> </w:t>
      </w:r>
      <w:r>
        <w:rPr/>
        <w:t>as LPs</w:t>
      </w:r>
      <w:r>
        <w:rPr>
          <w:spacing w:val="-4"/>
        </w:rPr>
        <w:t> </w:t>
      </w:r>
      <w:r>
        <w:rPr/>
        <w:t>impactem</w:t>
      </w:r>
      <w:r>
        <w:rPr>
          <w:spacing w:val="-2"/>
        </w:rPr>
        <w:t> </w:t>
      </w:r>
      <w:r>
        <w:rPr/>
        <w:t>diretamente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tempo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internação,</w:t>
      </w:r>
      <w:r>
        <w:rPr>
          <w:spacing w:val="-5"/>
        </w:rPr>
        <w:t> </w:t>
      </w:r>
      <w:r>
        <w:rPr/>
        <w:t>é</w:t>
      </w:r>
      <w:r>
        <w:rPr>
          <w:spacing w:val="-1"/>
        </w:rPr>
        <w:t> </w:t>
      </w:r>
      <w:r>
        <w:rPr/>
        <w:t>importante</w:t>
      </w:r>
      <w:r>
        <w:rPr>
          <w:spacing w:val="-1"/>
        </w:rPr>
        <w:t> </w:t>
      </w:r>
      <w:r>
        <w:rPr/>
        <w:t>reconhecer</w:t>
      </w:r>
      <w:r>
        <w:rPr>
          <w:spacing w:val="-2"/>
        </w:rPr>
        <w:t> </w:t>
      </w:r>
      <w:r>
        <w:rPr/>
        <w:t>que,</w:t>
      </w:r>
      <w:r>
        <w:rPr>
          <w:spacing w:val="-5"/>
        </w:rPr>
        <w:t> </w:t>
      </w:r>
      <w:r>
        <w:rPr/>
        <w:t>em</w:t>
      </w:r>
      <w:r>
        <w:rPr>
          <w:spacing w:val="-2"/>
        </w:rPr>
        <w:t> </w:t>
      </w:r>
      <w:r>
        <w:rPr/>
        <w:t>determinados casos, sua ocorrência é inevitável, especialmente em pacientes com condições clínicas graves, como os acometidos por trauma raquimedular (TRM). Nestes casos, a ausência de mobilidade associada à instabilidade hemodinâmica aumenta consideravelmente o risco de desenvolvimento dessas lesões, mesmo com a adoção rigorosa de medidas preventivas.</w:t>
      </w:r>
    </w:p>
    <w:p>
      <w:pPr>
        <w:pStyle w:val="BodyText"/>
        <w:spacing w:line="350" w:lineRule="auto"/>
        <w:ind w:left="569" w:right="560" w:firstLine="720"/>
        <w:jc w:val="both"/>
      </w:pPr>
      <w:bookmarkStart w:name="A presença de LPs nesses pacientes evide" w:id="23"/>
      <w:bookmarkEnd w:id="23"/>
      <w:r>
        <w:rPr/>
      </w:r>
      <w:r>
        <w:rPr/>
        <w:t>A presença de LPs nesses pacientes evidencia a gravidade do quadro clínico e a necessidade de cuidados contínuos</w:t>
      </w:r>
      <w:r>
        <w:rPr>
          <w:spacing w:val="-5"/>
        </w:rPr>
        <w:t> </w:t>
      </w:r>
      <w:r>
        <w:rPr/>
        <w:t>e especializados.</w:t>
      </w:r>
      <w:r>
        <w:rPr>
          <w:spacing w:val="-1"/>
        </w:rPr>
        <w:t> </w:t>
      </w:r>
      <w:r>
        <w:rPr/>
        <w:t>Isso justifica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prolongação da permanência hospitalar,</w:t>
      </w:r>
      <w:r>
        <w:rPr>
          <w:spacing w:val="-7"/>
        </w:rPr>
        <w:t> </w:t>
      </w:r>
      <w:r>
        <w:rPr/>
        <w:t>uma vez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a alta precoce</w:t>
      </w:r>
      <w:r>
        <w:rPr>
          <w:spacing w:val="-3"/>
        </w:rPr>
        <w:t> </w:t>
      </w:r>
      <w:r>
        <w:rPr/>
        <w:t>representa</w:t>
      </w:r>
      <w:r>
        <w:rPr>
          <w:spacing w:val="-3"/>
        </w:rPr>
        <w:t> </w:t>
      </w:r>
      <w:r>
        <w:rPr/>
        <w:t>risco elevado de complicações, como infecções graves,</w:t>
      </w:r>
      <w:r>
        <w:rPr>
          <w:spacing w:val="-1"/>
        </w:rPr>
        <w:t> </w:t>
      </w:r>
      <w:r>
        <w:rPr/>
        <w:t>incluindo osteomielite e sepse.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ambiente hospitalar garante o monitoramento constante, o tratamento adequado das lesões e a intervenção imediata diante de qualquer intercorrência.</w:t>
      </w:r>
    </w:p>
    <w:p>
      <w:pPr>
        <w:pStyle w:val="BodyText"/>
        <w:spacing w:line="350" w:lineRule="auto"/>
        <w:ind w:left="569" w:right="564" w:firstLine="720"/>
        <w:jc w:val="both"/>
      </w:pPr>
      <w:bookmarkStart w:name="Além disso, muitos desses pacientes apre" w:id="24"/>
      <w:bookmarkEnd w:id="24"/>
      <w:r>
        <w:rPr/>
      </w:r>
      <w:r>
        <w:rPr/>
        <w:t>Além disso, muitos desses pacientes apresentam múltiplas comorbidades que requerem acompanhamento intensivo, o que torna inviável o manejo seguro em domicílio, especialmente na</w:t>
      </w:r>
    </w:p>
    <w:p>
      <w:pPr>
        <w:pStyle w:val="BodyText"/>
        <w:spacing w:after="0" w:line="350" w:lineRule="auto"/>
        <w:jc w:val="both"/>
        <w:sectPr>
          <w:pgSz w:w="11910" w:h="16840"/>
          <w:pgMar w:header="1067" w:footer="580" w:top="2440" w:bottom="780" w:left="566" w:right="566"/>
        </w:sectPr>
      </w:pPr>
    </w:p>
    <w:p>
      <w:pPr>
        <w:pStyle w:val="BodyText"/>
        <w:spacing w:before="245"/>
        <w:ind w:left="569"/>
        <w:jc w:val="both"/>
      </w:pPr>
      <w:r>
        <w:rPr/>
        <w:t>ausência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suporte</w:t>
      </w:r>
      <w:r>
        <w:rPr>
          <w:spacing w:val="-3"/>
        </w:rPr>
        <w:t> </w:t>
      </w:r>
      <w:r>
        <w:rPr/>
        <w:t>técnico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estrutura</w:t>
      </w:r>
      <w:r>
        <w:rPr>
          <w:spacing w:val="-2"/>
        </w:rPr>
        <w:t> adequados.</w:t>
      </w:r>
    </w:p>
    <w:p>
      <w:pPr>
        <w:pStyle w:val="BodyText"/>
        <w:spacing w:line="350" w:lineRule="auto" w:before="117"/>
        <w:ind w:left="569" w:right="564" w:firstLine="720"/>
        <w:jc w:val="both"/>
      </w:pPr>
      <w:bookmarkStart w:name="Com o objetivo de prevenir o surgimento " w:id="25"/>
      <w:bookmarkEnd w:id="25"/>
      <w:r>
        <w:rPr/>
      </w:r>
      <w:r>
        <w:rPr>
          <w:spacing w:val="-2"/>
        </w:rPr>
        <w:t>Com</w:t>
      </w:r>
      <w:r>
        <w:rPr>
          <w:spacing w:val="-8"/>
        </w:rPr>
        <w:t> </w:t>
      </w:r>
      <w:r>
        <w:rPr>
          <w:spacing w:val="-2"/>
        </w:rPr>
        <w:t>o</w:t>
      </w:r>
      <w:r>
        <w:rPr>
          <w:spacing w:val="-11"/>
        </w:rPr>
        <w:t> </w:t>
      </w:r>
      <w:r>
        <w:rPr>
          <w:spacing w:val="-2"/>
        </w:rPr>
        <w:t>objetivo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prevenir</w:t>
      </w:r>
      <w:r>
        <w:rPr>
          <w:spacing w:val="-6"/>
        </w:rPr>
        <w:t> </w:t>
      </w:r>
      <w:r>
        <w:rPr>
          <w:spacing w:val="-2"/>
        </w:rPr>
        <w:t>o</w:t>
      </w:r>
      <w:r>
        <w:rPr>
          <w:spacing w:val="-5"/>
        </w:rPr>
        <w:t> </w:t>
      </w:r>
      <w:r>
        <w:rPr>
          <w:spacing w:val="-2"/>
        </w:rPr>
        <w:t>surgimento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novas</w:t>
      </w:r>
      <w:r>
        <w:rPr>
          <w:spacing w:val="-9"/>
        </w:rPr>
        <w:t> </w:t>
      </w:r>
      <w:r>
        <w:rPr>
          <w:spacing w:val="-2"/>
        </w:rPr>
        <w:t>LPs</w:t>
      </w:r>
      <w:r>
        <w:rPr>
          <w:spacing w:val="-9"/>
        </w:rPr>
        <w:t> </w:t>
      </w:r>
      <w:r>
        <w:rPr>
          <w:spacing w:val="-2"/>
        </w:rPr>
        <w:t>e</w:t>
      </w:r>
      <w:r>
        <w:rPr>
          <w:spacing w:val="-5"/>
        </w:rPr>
        <w:t> </w:t>
      </w:r>
      <w:r>
        <w:rPr>
          <w:spacing w:val="-2"/>
        </w:rPr>
        <w:t>reduzir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progressão</w:t>
      </w:r>
      <w:r>
        <w:rPr>
          <w:spacing w:val="-5"/>
        </w:rPr>
        <w:t> </w:t>
      </w:r>
      <w:r>
        <w:rPr>
          <w:spacing w:val="-2"/>
        </w:rPr>
        <w:t>das</w:t>
      </w:r>
      <w:r>
        <w:rPr>
          <w:spacing w:val="-14"/>
        </w:rPr>
        <w:t> </w:t>
      </w:r>
      <w:r>
        <w:rPr>
          <w:spacing w:val="-2"/>
        </w:rPr>
        <w:t>existentes, </w:t>
      </w:r>
      <w:r>
        <w:rPr/>
        <w:t>a equipe multiprofissional</w:t>
      </w:r>
      <w:r>
        <w:rPr>
          <w:spacing w:val="-4"/>
        </w:rPr>
        <w:t> </w:t>
      </w:r>
      <w:r>
        <w:rPr/>
        <w:t>do HUGO</w:t>
      </w:r>
      <w:r>
        <w:rPr>
          <w:spacing w:val="-6"/>
        </w:rPr>
        <w:t> </w:t>
      </w:r>
      <w:r>
        <w:rPr/>
        <w:t>adota</w:t>
      </w:r>
      <w:r>
        <w:rPr>
          <w:spacing w:val="-2"/>
        </w:rPr>
        <w:t> </w:t>
      </w:r>
      <w:r>
        <w:rPr/>
        <w:t>estratégias sistematizadas que incluem</w:t>
      </w:r>
      <w:r>
        <w:rPr>
          <w:spacing w:val="-3"/>
        </w:rPr>
        <w:t> </w:t>
      </w:r>
      <w:r>
        <w:rPr/>
        <w:t>avaliação</w:t>
      </w:r>
      <w:r>
        <w:rPr>
          <w:spacing w:val="-2"/>
        </w:rPr>
        <w:t> </w:t>
      </w:r>
      <w:r>
        <w:rPr/>
        <w:t>diária do risco de desenvolvimento de lesões por pressão utilizando escalas validadas; mudança de decúbito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reposicionamento</w:t>
      </w:r>
      <w:r>
        <w:rPr>
          <w:spacing w:val="-2"/>
        </w:rPr>
        <w:t> </w:t>
      </w:r>
      <w:r>
        <w:rPr/>
        <w:t>frequentes,</w:t>
      </w:r>
      <w:r>
        <w:rPr>
          <w:spacing w:val="-5"/>
        </w:rPr>
        <w:t> </w:t>
      </w:r>
      <w:r>
        <w:rPr/>
        <w:t>conforme</w:t>
      </w:r>
      <w:r>
        <w:rPr>
          <w:spacing w:val="-6"/>
        </w:rPr>
        <w:t> </w:t>
      </w:r>
      <w:r>
        <w:rPr/>
        <w:t>protocolos</w:t>
      </w:r>
      <w:r>
        <w:rPr>
          <w:spacing w:val="-5"/>
        </w:rPr>
        <w:t> </w:t>
      </w:r>
      <w:r>
        <w:rPr/>
        <w:t>específicos</w:t>
      </w:r>
      <w:r>
        <w:rPr>
          <w:spacing w:val="-5"/>
        </w:rPr>
        <w:t> </w:t>
      </w:r>
      <w:r>
        <w:rPr/>
        <w:t>para</w:t>
      </w:r>
      <w:r>
        <w:rPr>
          <w:spacing w:val="-2"/>
        </w:rPr>
        <w:t> </w:t>
      </w:r>
      <w:r>
        <w:rPr/>
        <w:t>pacientes</w:t>
      </w:r>
      <w:r>
        <w:rPr>
          <w:spacing w:val="-5"/>
        </w:rPr>
        <w:t> </w:t>
      </w:r>
      <w:r>
        <w:rPr/>
        <w:t>críticos</w:t>
      </w:r>
      <w:r>
        <w:rPr>
          <w:spacing w:val="-5"/>
        </w:rPr>
        <w:t> </w:t>
      </w:r>
      <w:r>
        <w:rPr/>
        <w:t>e restritos ao leito; uso de dispositivos de alívio de pressão, como colchões e coxins especiais; cuidados rigorosos com a integridade da pele, incluindo hidratação e inspeção minuciosa durante todas as rotinas de enfermagem; manejo adequado da nutrição, garantindo aporte proteico e calórico necessário para cicatrização; e educação continuada da equipe assistencial para reforço das boas práticas de prevenção.</w:t>
      </w:r>
    </w:p>
    <w:p>
      <w:pPr>
        <w:pStyle w:val="BodyText"/>
        <w:spacing w:line="350" w:lineRule="auto"/>
        <w:ind w:left="569" w:right="573" w:firstLine="720"/>
        <w:jc w:val="both"/>
      </w:pPr>
      <w:bookmarkStart w:name="Essas medidas visam não apenas a redução" w:id="26"/>
      <w:bookmarkEnd w:id="26"/>
      <w:r>
        <w:rPr/>
      </w:r>
      <w:r>
        <w:rPr/>
        <w:t>Essas medidas visam não apenas a redução de complicações associadas às LPs, mas também a promoção de maior segurança e qualidade no cuidado de pacientes com alta dependência funcional e complexidade clínica.</w:t>
      </w:r>
    </w:p>
    <w:p>
      <w:pPr>
        <w:spacing w:line="350" w:lineRule="auto" w:before="0"/>
        <w:ind w:left="569" w:right="560" w:firstLine="720"/>
        <w:jc w:val="both"/>
        <w:rPr>
          <w:sz w:val="22"/>
        </w:rPr>
      </w:pPr>
      <w:r>
        <w:rPr>
          <w:sz w:val="22"/>
        </w:rPr>
        <w:t>Durante</w:t>
      </w:r>
      <w:r>
        <w:rPr>
          <w:spacing w:val="-10"/>
          <w:sz w:val="22"/>
        </w:rPr>
        <w:t> </w:t>
      </w:r>
      <w:r>
        <w:rPr>
          <w:sz w:val="22"/>
        </w:rPr>
        <w:t>o</w:t>
      </w:r>
      <w:r>
        <w:rPr>
          <w:spacing w:val="-10"/>
          <w:sz w:val="22"/>
        </w:rPr>
        <w:t> </w:t>
      </w:r>
      <w:r>
        <w:rPr>
          <w:sz w:val="22"/>
        </w:rPr>
        <w:t>mês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junho,</w:t>
      </w:r>
      <w:r>
        <w:rPr>
          <w:spacing w:val="-14"/>
          <w:sz w:val="22"/>
        </w:rPr>
        <w:t> </w:t>
      </w:r>
      <w:r>
        <w:rPr>
          <w:sz w:val="22"/>
        </w:rPr>
        <w:t>foram</w:t>
      </w:r>
      <w:r>
        <w:rPr>
          <w:spacing w:val="-11"/>
          <w:sz w:val="22"/>
        </w:rPr>
        <w:t> </w:t>
      </w:r>
      <w:r>
        <w:rPr>
          <w:sz w:val="22"/>
        </w:rPr>
        <w:t>mantidas</w:t>
      </w:r>
      <w:r>
        <w:rPr>
          <w:spacing w:val="-13"/>
          <w:sz w:val="22"/>
        </w:rPr>
        <w:t> </w:t>
      </w:r>
      <w:r>
        <w:rPr>
          <w:sz w:val="22"/>
        </w:rPr>
        <w:t>as</w:t>
      </w:r>
      <w:r>
        <w:rPr>
          <w:spacing w:val="-13"/>
          <w:sz w:val="22"/>
        </w:rPr>
        <w:t> </w:t>
      </w:r>
      <w:r>
        <w:rPr>
          <w:sz w:val="22"/>
        </w:rPr>
        <w:t>estratégias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prevenção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lesões</w:t>
      </w:r>
      <w:r>
        <w:rPr>
          <w:spacing w:val="-13"/>
          <w:sz w:val="22"/>
        </w:rPr>
        <w:t> </w:t>
      </w:r>
      <w:r>
        <w:rPr>
          <w:sz w:val="22"/>
        </w:rPr>
        <w:t>por</w:t>
      </w:r>
      <w:r>
        <w:rPr>
          <w:spacing w:val="-11"/>
          <w:sz w:val="22"/>
        </w:rPr>
        <w:t> </w:t>
      </w:r>
      <w:r>
        <w:rPr>
          <w:sz w:val="22"/>
        </w:rPr>
        <w:t>pressão conforme os protocolos institucionais, com foco em pacientes de maior risco. As ações incluem a </w:t>
      </w:r>
      <w:r>
        <w:rPr>
          <w:rFonts w:ascii="Arial" w:hAnsi="Arial"/>
          <w:b/>
          <w:sz w:val="22"/>
        </w:rPr>
        <w:t>realização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mudança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decúbito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em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intervalos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regulares</w:t>
      </w:r>
      <w:r>
        <w:rPr>
          <w:sz w:val="22"/>
        </w:rPr>
        <w:t>,</w:t>
      </w:r>
      <w:r>
        <w:rPr>
          <w:spacing w:val="-12"/>
          <w:sz w:val="22"/>
        </w:rPr>
        <w:t> </w:t>
      </w:r>
      <w:r>
        <w:rPr>
          <w:sz w:val="22"/>
        </w:rPr>
        <w:t>uso</w:t>
      </w:r>
      <w:r>
        <w:rPr>
          <w:spacing w:val="-13"/>
          <w:sz w:val="22"/>
        </w:rPr>
        <w:t> </w:t>
      </w:r>
      <w:r>
        <w:rPr>
          <w:sz w:val="22"/>
        </w:rPr>
        <w:t>adequado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rFonts w:ascii="Arial" w:hAnsi="Arial"/>
          <w:b/>
          <w:sz w:val="22"/>
        </w:rPr>
        <w:t>dispositivos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 alívio de pressão</w:t>
      </w:r>
      <w:r>
        <w:rPr>
          <w:sz w:val="22"/>
        </w:rPr>
        <w:t>, </w:t>
      </w:r>
      <w:r>
        <w:rPr>
          <w:rFonts w:ascii="Arial" w:hAnsi="Arial"/>
          <w:b/>
          <w:sz w:val="22"/>
        </w:rPr>
        <w:t>mobilização precoce </w:t>
      </w:r>
      <w:r>
        <w:rPr>
          <w:sz w:val="22"/>
        </w:rPr>
        <w:t>e a </w:t>
      </w:r>
      <w:r>
        <w:rPr>
          <w:rFonts w:ascii="Arial" w:hAnsi="Arial"/>
          <w:b/>
          <w:sz w:val="22"/>
        </w:rPr>
        <w:t>aplicação sistemática da escala de Braden </w:t>
      </w:r>
      <w:r>
        <w:rPr>
          <w:sz w:val="22"/>
        </w:rPr>
        <w:t>para estratificação de risco.</w:t>
      </w:r>
      <w:r>
        <w:rPr>
          <w:spacing w:val="-1"/>
          <w:sz w:val="22"/>
        </w:rPr>
        <w:t> </w:t>
      </w:r>
      <w:r>
        <w:rPr>
          <w:sz w:val="22"/>
        </w:rPr>
        <w:t>Também foram realizadas </w:t>
      </w:r>
      <w:r>
        <w:rPr>
          <w:rFonts w:ascii="Arial" w:hAnsi="Arial"/>
          <w:b/>
          <w:sz w:val="22"/>
        </w:rPr>
        <w:t>ações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educação continuada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com a equipe de enfermagem</w:t>
      </w:r>
      <w:r>
        <w:rPr>
          <w:sz w:val="22"/>
        </w:rPr>
        <w:t>, reforçando as boas práticas e promovendo a adesão aos cuidados preventivos.</w:t>
      </w:r>
    </w:p>
    <w:p>
      <w:pPr>
        <w:pStyle w:val="BodyText"/>
      </w:pPr>
    </w:p>
    <w:p>
      <w:pPr>
        <w:pStyle w:val="BodyText"/>
        <w:spacing w:before="228"/>
      </w:pPr>
    </w:p>
    <w:p>
      <w:pPr>
        <w:pStyle w:val="ListParagraph"/>
        <w:numPr>
          <w:ilvl w:val="1"/>
          <w:numId w:val="2"/>
        </w:numPr>
        <w:tabs>
          <w:tab w:pos="1714" w:val="left" w:leader="none"/>
        </w:tabs>
        <w:spacing w:line="240" w:lineRule="auto" w:before="0" w:after="0"/>
        <w:ind w:left="1714" w:right="0" w:hanging="359"/>
        <w:jc w:val="left"/>
        <w:rPr>
          <w:rFonts w:ascii="Symbol" w:hAnsi="Symbol"/>
          <w:sz w:val="20"/>
        </w:rPr>
      </w:pPr>
      <w:bookmarkStart w:name="• Incidência de Lesões por Pressão estág" w:id="27"/>
      <w:bookmarkEnd w:id="27"/>
      <w:r>
        <w:rPr/>
      </w:r>
      <w:r>
        <w:rPr>
          <w:rFonts w:ascii="Arial" w:hAnsi="Arial"/>
          <w:b/>
          <w:sz w:val="20"/>
        </w:rPr>
        <w:t>Incidência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Lesões por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Pressão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estágio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1, 2,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3,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4,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não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classificável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tissular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pacing w:val="-2"/>
          <w:sz w:val="20"/>
        </w:rPr>
        <w:t>profunda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7"/>
        <w:rPr>
          <w:rFonts w:ascii="Arial"/>
          <w:b/>
          <w:sz w:val="20"/>
        </w:rPr>
      </w:pPr>
    </w:p>
    <w:tbl>
      <w:tblPr>
        <w:tblW w:w="0" w:type="auto"/>
        <w:jc w:val="left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5"/>
        <w:gridCol w:w="660"/>
        <w:gridCol w:w="660"/>
        <w:gridCol w:w="734"/>
        <w:gridCol w:w="674"/>
        <w:gridCol w:w="714"/>
        <w:gridCol w:w="720"/>
        <w:gridCol w:w="704"/>
        <w:gridCol w:w="634"/>
        <w:gridCol w:w="629"/>
        <w:gridCol w:w="778"/>
        <w:gridCol w:w="773"/>
        <w:gridCol w:w="748"/>
        <w:gridCol w:w="739"/>
      </w:tblGrid>
      <w:tr>
        <w:trPr>
          <w:trHeight w:val="312" w:hRule="atLeast"/>
        </w:trPr>
        <w:tc>
          <w:tcPr>
            <w:tcW w:w="58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  <w:shd w:val="clear" w:color="auto" w:fill="0E4661"/>
          </w:tcPr>
          <w:p>
            <w:pPr>
              <w:pStyle w:val="TableParagraph"/>
              <w:spacing w:before="67"/>
              <w:ind w:left="6" w:right="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jun/24</w:t>
            </w:r>
          </w:p>
        </w:tc>
        <w:tc>
          <w:tcPr>
            <w:tcW w:w="660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7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jul/24</w:t>
            </w:r>
          </w:p>
        </w:tc>
        <w:tc>
          <w:tcPr>
            <w:tcW w:w="734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7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ago/24</w:t>
            </w:r>
          </w:p>
        </w:tc>
        <w:tc>
          <w:tcPr>
            <w:tcW w:w="674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7"/>
              <w:ind w:left="11"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set/24</w:t>
            </w:r>
          </w:p>
        </w:tc>
        <w:tc>
          <w:tcPr>
            <w:tcW w:w="714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7"/>
              <w:ind w:left="14" w:right="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out/24</w:t>
            </w:r>
          </w:p>
        </w:tc>
        <w:tc>
          <w:tcPr>
            <w:tcW w:w="720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7"/>
              <w:ind w:left="20" w:right="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nov/24</w:t>
            </w:r>
          </w:p>
        </w:tc>
        <w:tc>
          <w:tcPr>
            <w:tcW w:w="704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7"/>
              <w:ind w:left="17"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dez/24</w:t>
            </w:r>
          </w:p>
        </w:tc>
        <w:tc>
          <w:tcPr>
            <w:tcW w:w="634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7"/>
              <w:ind w:left="30" w:right="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jan/25</w:t>
            </w:r>
          </w:p>
        </w:tc>
        <w:tc>
          <w:tcPr>
            <w:tcW w:w="629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7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fev/25</w:t>
            </w:r>
          </w:p>
        </w:tc>
        <w:tc>
          <w:tcPr>
            <w:tcW w:w="778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7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mar/25</w:t>
            </w:r>
          </w:p>
        </w:tc>
        <w:tc>
          <w:tcPr>
            <w:tcW w:w="773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7"/>
              <w:ind w:left="30"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abr/25</w:t>
            </w:r>
          </w:p>
        </w:tc>
        <w:tc>
          <w:tcPr>
            <w:tcW w:w="748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7"/>
              <w:ind w:left="30"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mai/25</w:t>
            </w:r>
          </w:p>
        </w:tc>
        <w:tc>
          <w:tcPr>
            <w:tcW w:w="739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7"/>
              <w:ind w:left="43" w:right="1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jun/25</w:t>
            </w:r>
          </w:p>
        </w:tc>
      </w:tr>
      <w:tr>
        <w:trPr>
          <w:trHeight w:val="342" w:hRule="atLeast"/>
        </w:trPr>
        <w:tc>
          <w:tcPr>
            <w:tcW w:w="585" w:type="dxa"/>
          </w:tcPr>
          <w:p>
            <w:pPr>
              <w:pStyle w:val="TableParagraph"/>
              <w:spacing w:line="192" w:lineRule="exact" w:before="130"/>
              <w:ind w:left="140"/>
              <w:rPr>
                <w:sz w:val="16"/>
              </w:rPr>
            </w:pPr>
            <w:r>
              <w:rPr>
                <w:spacing w:val="-4"/>
                <w:sz w:val="16"/>
              </w:rPr>
              <w:t>Taxa</w:t>
            </w:r>
          </w:p>
        </w:tc>
        <w:tc>
          <w:tcPr>
            <w:tcW w:w="660" w:type="dxa"/>
          </w:tcPr>
          <w:p>
            <w:pPr>
              <w:pStyle w:val="TableParagraph"/>
              <w:spacing w:line="192" w:lineRule="exact" w:before="130"/>
              <w:ind w:left="6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11,5</w:t>
            </w:r>
          </w:p>
        </w:tc>
        <w:tc>
          <w:tcPr>
            <w:tcW w:w="660" w:type="dxa"/>
            <w:tcBorders>
              <w:top w:val="single" w:sz="12" w:space="0" w:color="0E4661"/>
            </w:tcBorders>
          </w:tcPr>
          <w:p>
            <w:pPr>
              <w:pStyle w:val="TableParagraph"/>
              <w:spacing w:line="192" w:lineRule="exact" w:before="130"/>
              <w:ind w:left="6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11,6</w:t>
            </w:r>
          </w:p>
        </w:tc>
        <w:tc>
          <w:tcPr>
            <w:tcW w:w="734" w:type="dxa"/>
            <w:tcBorders>
              <w:top w:val="single" w:sz="12" w:space="0" w:color="0E4661"/>
            </w:tcBorders>
          </w:tcPr>
          <w:p>
            <w:pPr>
              <w:pStyle w:val="TableParagraph"/>
              <w:spacing w:line="192" w:lineRule="exact" w:before="130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8,6</w:t>
            </w:r>
          </w:p>
        </w:tc>
        <w:tc>
          <w:tcPr>
            <w:tcW w:w="674" w:type="dxa"/>
            <w:tcBorders>
              <w:top w:val="single" w:sz="12" w:space="0" w:color="0E4661"/>
            </w:tcBorders>
          </w:tcPr>
          <w:p>
            <w:pPr>
              <w:pStyle w:val="TableParagraph"/>
              <w:spacing w:line="192" w:lineRule="exact" w:before="130"/>
              <w:ind w:lef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10,0</w:t>
            </w:r>
          </w:p>
        </w:tc>
        <w:tc>
          <w:tcPr>
            <w:tcW w:w="714" w:type="dxa"/>
            <w:tcBorders>
              <w:top w:val="single" w:sz="12" w:space="0" w:color="0E4661"/>
            </w:tcBorders>
          </w:tcPr>
          <w:p>
            <w:pPr>
              <w:pStyle w:val="TableParagraph"/>
              <w:spacing w:line="192" w:lineRule="exact" w:before="1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4,6</w:t>
            </w:r>
          </w:p>
        </w:tc>
        <w:tc>
          <w:tcPr>
            <w:tcW w:w="720" w:type="dxa"/>
            <w:tcBorders>
              <w:top w:val="single" w:sz="12" w:space="0" w:color="0E4661"/>
            </w:tcBorders>
          </w:tcPr>
          <w:p>
            <w:pPr>
              <w:pStyle w:val="TableParagraph"/>
              <w:spacing w:line="192" w:lineRule="exact" w:before="130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8,0</w:t>
            </w:r>
          </w:p>
        </w:tc>
        <w:tc>
          <w:tcPr>
            <w:tcW w:w="704" w:type="dxa"/>
            <w:tcBorders>
              <w:top w:val="single" w:sz="12" w:space="0" w:color="0E4661"/>
            </w:tcBorders>
          </w:tcPr>
          <w:p>
            <w:pPr>
              <w:pStyle w:val="TableParagraph"/>
              <w:spacing w:line="192" w:lineRule="exact" w:before="130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3,8</w:t>
            </w:r>
          </w:p>
        </w:tc>
        <w:tc>
          <w:tcPr>
            <w:tcW w:w="634" w:type="dxa"/>
            <w:tcBorders>
              <w:top w:val="single" w:sz="12" w:space="0" w:color="0E4661"/>
            </w:tcBorders>
          </w:tcPr>
          <w:p>
            <w:pPr>
              <w:pStyle w:val="TableParagraph"/>
              <w:spacing w:line="192" w:lineRule="exact" w:before="130"/>
              <w:ind w:lef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4,8</w:t>
            </w:r>
          </w:p>
        </w:tc>
        <w:tc>
          <w:tcPr>
            <w:tcW w:w="629" w:type="dxa"/>
            <w:tcBorders>
              <w:top w:val="single" w:sz="12" w:space="0" w:color="0E4661"/>
            </w:tcBorders>
          </w:tcPr>
          <w:p>
            <w:pPr>
              <w:pStyle w:val="TableParagraph"/>
              <w:spacing w:line="192" w:lineRule="exact" w:before="130"/>
              <w:ind w:left="21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10,2</w:t>
            </w:r>
          </w:p>
        </w:tc>
        <w:tc>
          <w:tcPr>
            <w:tcW w:w="778" w:type="dxa"/>
            <w:tcBorders>
              <w:top w:val="single" w:sz="12" w:space="0" w:color="0E4661"/>
            </w:tcBorders>
          </w:tcPr>
          <w:p>
            <w:pPr>
              <w:pStyle w:val="TableParagraph"/>
              <w:spacing w:line="192" w:lineRule="exact" w:before="130"/>
              <w:ind w:left="26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  <w:tc>
          <w:tcPr>
            <w:tcW w:w="773" w:type="dxa"/>
            <w:tcBorders>
              <w:top w:val="single" w:sz="12" w:space="0" w:color="0E4661"/>
            </w:tcBorders>
          </w:tcPr>
          <w:p>
            <w:pPr>
              <w:pStyle w:val="TableParagraph"/>
              <w:spacing w:line="192" w:lineRule="exact" w:before="130"/>
              <w:ind w:lef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4,3</w:t>
            </w:r>
          </w:p>
        </w:tc>
        <w:tc>
          <w:tcPr>
            <w:tcW w:w="748" w:type="dxa"/>
            <w:tcBorders>
              <w:top w:val="single" w:sz="12" w:space="0" w:color="0E4661"/>
            </w:tcBorders>
          </w:tcPr>
          <w:p>
            <w:pPr>
              <w:pStyle w:val="TableParagraph"/>
              <w:spacing w:line="192" w:lineRule="exact" w:before="130"/>
              <w:ind w:left="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10,3</w:t>
            </w:r>
          </w:p>
        </w:tc>
        <w:tc>
          <w:tcPr>
            <w:tcW w:w="739" w:type="dxa"/>
            <w:tcBorders>
              <w:top w:val="single" w:sz="12" w:space="0" w:color="0E4661"/>
            </w:tcBorders>
          </w:tcPr>
          <w:p>
            <w:pPr>
              <w:pStyle w:val="TableParagraph"/>
              <w:spacing w:line="192" w:lineRule="exact" w:before="130"/>
              <w:ind w:lef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2,4</w:t>
            </w:r>
          </w:p>
        </w:tc>
      </w:tr>
    </w:tbl>
    <w:p>
      <w:pPr>
        <w:spacing w:before="0"/>
        <w:ind w:left="1001" w:right="580" w:firstLine="0"/>
        <w:jc w:val="center"/>
        <w:rPr>
          <w:sz w:val="12"/>
        </w:rPr>
      </w:pPr>
      <w:bookmarkStart w:name="Taxa LP – Total de LP / Paciente dia-mês" w:id="28"/>
      <w:bookmarkEnd w:id="28"/>
      <w:r>
        <w:rPr/>
      </w:r>
      <w:r>
        <w:rPr>
          <w:sz w:val="12"/>
        </w:rPr>
        <w:t>Taxa</w:t>
      </w:r>
      <w:r>
        <w:rPr>
          <w:spacing w:val="-4"/>
          <w:sz w:val="12"/>
        </w:rPr>
        <w:t> </w:t>
      </w:r>
      <w:r>
        <w:rPr>
          <w:sz w:val="12"/>
        </w:rPr>
        <w:t>LP</w:t>
      </w:r>
      <w:r>
        <w:rPr>
          <w:spacing w:val="-1"/>
          <w:sz w:val="12"/>
        </w:rPr>
        <w:t> </w:t>
      </w:r>
      <w:r>
        <w:rPr>
          <w:sz w:val="12"/>
        </w:rPr>
        <w:t>–</w:t>
      </w:r>
      <w:r>
        <w:rPr>
          <w:spacing w:val="-2"/>
          <w:sz w:val="12"/>
        </w:rPr>
        <w:t> </w:t>
      </w:r>
      <w:r>
        <w:rPr>
          <w:sz w:val="12"/>
        </w:rPr>
        <w:t>Total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LP</w:t>
      </w:r>
      <w:r>
        <w:rPr>
          <w:spacing w:val="-2"/>
          <w:sz w:val="12"/>
        </w:rPr>
        <w:t> </w:t>
      </w:r>
      <w:r>
        <w:rPr>
          <w:sz w:val="12"/>
        </w:rPr>
        <w:t>/</w:t>
      </w:r>
      <w:r>
        <w:rPr>
          <w:spacing w:val="1"/>
          <w:sz w:val="12"/>
        </w:rPr>
        <w:t> </w:t>
      </w:r>
      <w:r>
        <w:rPr>
          <w:sz w:val="12"/>
        </w:rPr>
        <w:t>Paciente</w:t>
      </w:r>
      <w:r>
        <w:rPr>
          <w:spacing w:val="-3"/>
          <w:sz w:val="12"/>
        </w:rPr>
        <w:t> </w:t>
      </w:r>
      <w:r>
        <w:rPr>
          <w:sz w:val="12"/>
        </w:rPr>
        <w:t>dia-mês</w:t>
      </w:r>
      <w:r>
        <w:rPr>
          <w:spacing w:val="-1"/>
          <w:sz w:val="12"/>
        </w:rPr>
        <w:t> </w:t>
      </w:r>
      <w:r>
        <w:rPr>
          <w:sz w:val="12"/>
        </w:rPr>
        <w:t>*</w:t>
      </w:r>
      <w:r>
        <w:rPr>
          <w:spacing w:val="-3"/>
          <w:sz w:val="12"/>
        </w:rPr>
        <w:t> </w:t>
      </w:r>
      <w:r>
        <w:rPr>
          <w:spacing w:val="-4"/>
          <w:sz w:val="12"/>
        </w:rPr>
        <w:t>1000</w:t>
      </w:r>
    </w:p>
    <w:p>
      <w:pPr>
        <w:spacing w:after="0"/>
        <w:jc w:val="center"/>
        <w:rPr>
          <w:sz w:val="12"/>
        </w:rPr>
        <w:sectPr>
          <w:pgSz w:w="11910" w:h="16840"/>
          <w:pgMar w:header="1067" w:footer="580" w:top="2440" w:bottom="780" w:left="566" w:right="566"/>
        </w:sectPr>
      </w:pPr>
    </w:p>
    <w:p>
      <w:pPr>
        <w:pStyle w:val="BodyText"/>
        <w:spacing w:before="13"/>
        <w:rPr>
          <w:sz w:val="20"/>
        </w:rPr>
      </w:pPr>
    </w:p>
    <w:p>
      <w:pPr>
        <w:pStyle w:val="BodyText"/>
        <w:ind w:left="74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886450" cy="2695575"/>
                <wp:effectExtent l="0" t="0" r="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886450" cy="2695575"/>
                          <a:chExt cx="5886450" cy="26955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95592" y="2105723"/>
                            <a:ext cx="534670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0" h="36195">
                                <a:moveTo>
                                  <a:pt x="0" y="0"/>
                                </a:moveTo>
                                <a:lnTo>
                                  <a:pt x="5346395" y="0"/>
                                </a:lnTo>
                              </a:path>
                              <a:path w="5346700" h="36195">
                                <a:moveTo>
                                  <a:pt x="0" y="0"/>
                                </a:moveTo>
                                <a:lnTo>
                                  <a:pt x="0" y="36195"/>
                                </a:lnTo>
                              </a:path>
                              <a:path w="5346700" h="36195">
                                <a:moveTo>
                                  <a:pt x="412445" y="0"/>
                                </a:moveTo>
                                <a:lnTo>
                                  <a:pt x="412445" y="36195"/>
                                </a:lnTo>
                              </a:path>
                              <a:path w="5346700" h="36195">
                                <a:moveTo>
                                  <a:pt x="822020" y="0"/>
                                </a:moveTo>
                                <a:lnTo>
                                  <a:pt x="822020" y="36195"/>
                                </a:lnTo>
                              </a:path>
                              <a:path w="5346700" h="36195">
                                <a:moveTo>
                                  <a:pt x="1234770" y="0"/>
                                </a:moveTo>
                                <a:lnTo>
                                  <a:pt x="1234770" y="36195"/>
                                </a:lnTo>
                              </a:path>
                              <a:path w="5346700" h="36195">
                                <a:moveTo>
                                  <a:pt x="1644345" y="0"/>
                                </a:moveTo>
                                <a:lnTo>
                                  <a:pt x="1644345" y="36195"/>
                                </a:lnTo>
                              </a:path>
                              <a:path w="5346700" h="36195">
                                <a:moveTo>
                                  <a:pt x="2057095" y="0"/>
                                </a:moveTo>
                                <a:lnTo>
                                  <a:pt x="2057095" y="36195"/>
                                </a:lnTo>
                              </a:path>
                              <a:path w="5346700" h="36195">
                                <a:moveTo>
                                  <a:pt x="2466670" y="0"/>
                                </a:moveTo>
                                <a:lnTo>
                                  <a:pt x="2466670" y="36195"/>
                                </a:lnTo>
                              </a:path>
                              <a:path w="5346700" h="36195">
                                <a:moveTo>
                                  <a:pt x="2879420" y="0"/>
                                </a:moveTo>
                                <a:lnTo>
                                  <a:pt x="2879420" y="36195"/>
                                </a:lnTo>
                              </a:path>
                              <a:path w="5346700" h="36195">
                                <a:moveTo>
                                  <a:pt x="3288995" y="0"/>
                                </a:moveTo>
                                <a:lnTo>
                                  <a:pt x="3288995" y="36195"/>
                                </a:lnTo>
                              </a:path>
                              <a:path w="5346700" h="36195">
                                <a:moveTo>
                                  <a:pt x="3701745" y="0"/>
                                </a:moveTo>
                                <a:lnTo>
                                  <a:pt x="3701745" y="36195"/>
                                </a:lnTo>
                              </a:path>
                              <a:path w="5346700" h="36195">
                                <a:moveTo>
                                  <a:pt x="4111320" y="0"/>
                                </a:moveTo>
                                <a:lnTo>
                                  <a:pt x="4111320" y="36195"/>
                                </a:lnTo>
                              </a:path>
                              <a:path w="5346700" h="36195">
                                <a:moveTo>
                                  <a:pt x="4524070" y="0"/>
                                </a:moveTo>
                                <a:lnTo>
                                  <a:pt x="4524070" y="36195"/>
                                </a:lnTo>
                              </a:path>
                              <a:path w="5346700" h="36195">
                                <a:moveTo>
                                  <a:pt x="4933645" y="0"/>
                                </a:moveTo>
                                <a:lnTo>
                                  <a:pt x="4933645" y="36195"/>
                                </a:lnTo>
                              </a:path>
                              <a:path w="5346700" h="36195">
                                <a:moveTo>
                                  <a:pt x="5346395" y="0"/>
                                </a:moveTo>
                                <a:lnTo>
                                  <a:pt x="5346395" y="3619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01281" y="844105"/>
                            <a:ext cx="4935220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5220" h="1005840">
                                <a:moveTo>
                                  <a:pt x="0" y="14731"/>
                                </a:moveTo>
                                <a:lnTo>
                                  <a:pt x="409956" y="0"/>
                                </a:lnTo>
                                <a:lnTo>
                                  <a:pt x="822706" y="332231"/>
                                </a:lnTo>
                                <a:lnTo>
                                  <a:pt x="1232281" y="176656"/>
                                </a:lnTo>
                                <a:lnTo>
                                  <a:pt x="1645031" y="764031"/>
                                </a:lnTo>
                                <a:lnTo>
                                  <a:pt x="2057781" y="392556"/>
                                </a:lnTo>
                                <a:lnTo>
                                  <a:pt x="2467356" y="846581"/>
                                </a:lnTo>
                                <a:lnTo>
                                  <a:pt x="2880106" y="741806"/>
                                </a:lnTo>
                                <a:lnTo>
                                  <a:pt x="3289680" y="154431"/>
                                </a:lnTo>
                                <a:lnTo>
                                  <a:pt x="3702430" y="830706"/>
                                </a:lnTo>
                                <a:lnTo>
                                  <a:pt x="4112005" y="795781"/>
                                </a:lnTo>
                                <a:lnTo>
                                  <a:pt x="4524756" y="144906"/>
                                </a:lnTo>
                                <a:lnTo>
                                  <a:pt x="4935093" y="1005585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626" y="823975"/>
                            <a:ext cx="69723" cy="69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6375" y="808101"/>
                            <a:ext cx="69723" cy="69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5950" y="1138300"/>
                            <a:ext cx="69723" cy="69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701" y="985900"/>
                            <a:ext cx="69723" cy="69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8276" y="1569974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1026" y="1201800"/>
                            <a:ext cx="69723" cy="69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3776" y="1655698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3351" y="1547749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6101" y="960500"/>
                            <a:ext cx="69723" cy="69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5676" y="1636648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426" y="1604899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8001" y="950975"/>
                            <a:ext cx="69723" cy="69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0751" y="1814448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601281" y="1236408"/>
                            <a:ext cx="4935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5220" h="1270">
                                <a:moveTo>
                                  <a:pt x="0" y="1015"/>
                                </a:moveTo>
                                <a:lnTo>
                                  <a:pt x="409956" y="0"/>
                                </a:lnTo>
                                <a:lnTo>
                                  <a:pt x="822706" y="0"/>
                                </a:lnTo>
                                <a:lnTo>
                                  <a:pt x="1232281" y="0"/>
                                </a:lnTo>
                                <a:lnTo>
                                  <a:pt x="4524756" y="0"/>
                                </a:lnTo>
                                <a:lnTo>
                                  <a:pt x="4935093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68388" y="1231837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60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68388" y="1231837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0" y="9523"/>
                                </a:move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981138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60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81138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0" y="9523"/>
                                </a:move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390713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60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390713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0" y="9523"/>
                                </a:move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803463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60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803463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0" y="9523"/>
                                </a:move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213038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60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213038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0" y="9523"/>
                                </a:move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625788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60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625788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0" y="9523"/>
                                </a:move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038538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60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038538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0" y="9523"/>
                                </a:move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448113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60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448113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0" y="9523"/>
                                </a:move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860863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60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860863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0" y="9523"/>
                                </a:move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270438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60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270438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0" y="9523"/>
                                </a:move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683188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60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683188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0" y="9523"/>
                                </a:move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092763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60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092763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0" y="9523"/>
                                </a:move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505513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60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505513" y="122866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0" y="9523"/>
                                </a:moveTo>
                                <a:lnTo>
                                  <a:pt x="60323" y="9523"/>
                                </a:lnTo>
                                <a:lnTo>
                                  <a:pt x="603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5242" y="2471673"/>
                            <a:ext cx="243839" cy="69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3945953" y="2507424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0">
                                <a:moveTo>
                                  <a:pt x="0" y="0"/>
                                </a:moveTo>
                                <a:lnTo>
                                  <a:pt x="243839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033837" y="250031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60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0325" y="9525"/>
                                </a:lnTo>
                                <a:lnTo>
                                  <a:pt x="60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033837" y="2500312"/>
                            <a:ext cx="6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525">
                                <a:moveTo>
                                  <a:pt x="0" y="9525"/>
                                </a:moveTo>
                                <a:lnTo>
                                  <a:pt x="60325" y="9525"/>
                                </a:lnTo>
                                <a:lnTo>
                                  <a:pt x="60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762" y="4762"/>
                            <a:ext cx="5876925" cy="268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6925" h="2686050">
                                <a:moveTo>
                                  <a:pt x="0" y="2686050"/>
                                </a:moveTo>
                                <a:lnTo>
                                  <a:pt x="5876925" y="2686050"/>
                                </a:lnTo>
                                <a:lnTo>
                                  <a:pt x="5876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60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3741483" y="2178375"/>
                            <a:ext cx="1965325" cy="393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fev/25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73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mar/25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63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abr/25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74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mai/25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30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>jun/25</w:t>
                              </w:r>
                            </w:p>
                            <w:p>
                              <w:pPr>
                                <w:spacing w:before="179"/>
                                <w:ind w:left="749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>Mediana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575752" y="2431740"/>
                            <a:ext cx="213931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Taxa de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LP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(total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LP/paciente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dia-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mês*1000)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47992" y="2178375"/>
                            <a:ext cx="319976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jun/24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51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jul/24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44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ago/24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35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set/24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38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out/24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74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nov/24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70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dez/24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36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>jan/25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45732" y="2029912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5465762" y="1621480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2,4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4642802" y="1412311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4,3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4231322" y="1444950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4,0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408362" y="1357447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4,8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2997263" y="1463111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3,8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174303" y="1378354"/>
                            <a:ext cx="15684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4,6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45732" y="1485923"/>
                            <a:ext cx="15684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5,0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2585783" y="1009086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8,0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351343" y="946475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8,6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87630" y="943046"/>
                            <a:ext cx="21399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>10,0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5025707" y="759912"/>
                            <a:ext cx="21399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4"/>
                                  <w:sz w:val="18"/>
                                </w:rPr>
                                <w:t>10,3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791267" y="769691"/>
                            <a:ext cx="21399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4"/>
                                  <w:sz w:val="18"/>
                                </w:rPr>
                                <w:t>10,2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734121" y="792551"/>
                            <a:ext cx="21399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4"/>
                                  <w:sz w:val="18"/>
                                </w:rPr>
                                <w:t>10,0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500062" y="615386"/>
                            <a:ext cx="62484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47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4"/>
                                  <w:position w:val="-1"/>
                                  <w:sz w:val="18"/>
                                </w:rPr>
                                <w:t>11,5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position w:val="-1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4"/>
                                  <w:sz w:val="18"/>
                                </w:rPr>
                                <w:t>11,6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87630" y="399486"/>
                            <a:ext cx="21399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>15,0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987613" y="99630"/>
                            <a:ext cx="1926589" cy="21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z w:val="28"/>
                                </w:rPr>
                                <w:t>Taxa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pacing w:val="-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pacing w:val="-8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z w:val="28"/>
                                </w:rPr>
                                <w:t>Lesão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pacing w:val="-1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z w:val="28"/>
                                </w:rPr>
                                <w:t>por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pacing w:val="-2"/>
                                  <w:sz w:val="28"/>
                                </w:rPr>
                                <w:t>Pressão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3.5pt;height:212.25pt;mso-position-horizontal-relative:char;mso-position-vertical-relative:line" id="docshapegroup4" coordorigin="0,0" coordsize="9270,4245">
                <v:shape style="position:absolute;left:622;top:3316;width:8420;height:57" id="docshape5" coordorigin="623,3316" coordsize="8420,57" path="m623,3316l9043,3316m623,3316l623,3373m1273,3316l1273,3373m1918,3316l1918,3373m2568,3316l2568,3373m3213,3316l3213,3373m3863,3316l3863,3373m4508,3316l4508,3373m5158,3316l5158,3373m5803,3316l5803,3373m6453,3316l6453,3373m7098,3316l7098,3373m7748,3316l7748,3373m8393,3316l8393,3373m9043,3316l9043,3373e" filled="false" stroked="true" strokeweight=".75pt" strokecolor="#d9d9d9">
                  <v:path arrowok="t"/>
                  <v:stroke dashstyle="solid"/>
                </v:shape>
                <v:shape style="position:absolute;left:946;top:1329;width:7772;height:1584" id="docshape6" coordorigin="947,1329" coordsize="7772,1584" path="m947,1352l1593,1329,2243,1852,2888,1607,3538,2532,4188,1947,4833,2662,5483,2497,6128,1572,6778,2637,7423,2582,8073,1557,8719,2913e" filled="false" stroked="true" strokeweight="2.25pt" strokecolor="#4f81bc">
                  <v:path arrowok="t"/>
                  <v:stroke dashstyle="solid"/>
                </v:shape>
                <v:shape style="position:absolute;left:887;top:1297;width:110;height:110" type="#_x0000_t75" id="docshape7" stroked="false">
                  <v:imagedata r:id="rId9" o:title=""/>
                </v:shape>
                <v:shape style="position:absolute;left:1537;top:1272;width:110;height:110" type="#_x0000_t75" id="docshape8" stroked="false">
                  <v:imagedata r:id="rId10" o:title=""/>
                </v:shape>
                <v:shape style="position:absolute;left:2182;top:1792;width:110;height:110" type="#_x0000_t75" id="docshape9" stroked="false">
                  <v:imagedata r:id="rId9" o:title=""/>
                </v:shape>
                <v:shape style="position:absolute;left:2832;top:1552;width:110;height:110" type="#_x0000_t75" id="docshape10" stroked="false">
                  <v:imagedata r:id="rId11" o:title=""/>
                </v:shape>
                <v:shape style="position:absolute;left:3477;top:2472;width:110;height:110" type="#_x0000_t75" id="docshape11" stroked="false">
                  <v:imagedata r:id="rId12" o:title=""/>
                </v:shape>
                <v:shape style="position:absolute;left:4127;top:1892;width:110;height:110" type="#_x0000_t75" id="docshape12" stroked="false">
                  <v:imagedata r:id="rId10" o:title=""/>
                </v:shape>
                <v:shape style="position:absolute;left:4777;top:2607;width:110;height:110" type="#_x0000_t75" id="docshape13" stroked="false">
                  <v:imagedata r:id="rId13" o:title=""/>
                </v:shape>
                <v:shape style="position:absolute;left:5422;top:2437;width:110;height:110" type="#_x0000_t75" id="docshape14" stroked="false">
                  <v:imagedata r:id="rId14" o:title=""/>
                </v:shape>
                <v:shape style="position:absolute;left:6072;top:1512;width:110;height:110" type="#_x0000_t75" id="docshape15" stroked="false">
                  <v:imagedata r:id="rId15" o:title=""/>
                </v:shape>
                <v:shape style="position:absolute;left:6717;top:2577;width:110;height:110" type="#_x0000_t75" id="docshape16" stroked="false">
                  <v:imagedata r:id="rId12" o:title=""/>
                </v:shape>
                <v:shape style="position:absolute;left:7367;top:2527;width:110;height:110" type="#_x0000_t75" id="docshape17" stroked="false">
                  <v:imagedata r:id="rId14" o:title=""/>
                </v:shape>
                <v:shape style="position:absolute;left:8012;top:1497;width:110;height:110" type="#_x0000_t75" id="docshape18" stroked="false">
                  <v:imagedata r:id="rId10" o:title=""/>
                </v:shape>
                <v:shape style="position:absolute;left:8662;top:2857;width:110;height:110" type="#_x0000_t75" id="docshape19" stroked="false">
                  <v:imagedata r:id="rId14" o:title=""/>
                </v:shape>
                <v:shape style="position:absolute;left:946;top:1947;width:7772;height:2" id="docshape20" coordorigin="947,1947" coordsize="7772,2" path="m947,1949l1593,1947,2243,1947,2888,1947,8073,1947,8719,1947e" filled="false" stroked="true" strokeweight="2.25pt" strokecolor="#c0504d">
                  <v:path arrowok="t"/>
                  <v:stroke dashstyle="solid"/>
                </v:shape>
                <v:rect style="position:absolute;left:895;top:1939;width:95;height:15" id="docshape21" filled="true" fillcolor="#c0504d" stroked="false">
                  <v:fill type="solid"/>
                </v:rect>
                <v:rect style="position:absolute;left:895;top:1939;width:95;height:15" id="docshape22" filled="false" stroked="true" strokeweight=".75pt" strokecolor="#c0504d">
                  <v:stroke dashstyle="solid"/>
                </v:rect>
                <v:rect style="position:absolute;left:1545;top:1934;width:95;height:15" id="docshape23" filled="true" fillcolor="#c0504d" stroked="false">
                  <v:fill type="solid"/>
                </v:rect>
                <v:rect style="position:absolute;left:1545;top:1934;width:95;height:15" id="docshape24" filled="false" stroked="true" strokeweight=".75pt" strokecolor="#c0504d">
                  <v:stroke dashstyle="solid"/>
                </v:rect>
                <v:rect style="position:absolute;left:2190;top:1934;width:95;height:15" id="docshape25" filled="true" fillcolor="#c0504d" stroked="false">
                  <v:fill type="solid"/>
                </v:rect>
                <v:rect style="position:absolute;left:2190;top:1934;width:95;height:15" id="docshape26" filled="false" stroked="true" strokeweight=".75pt" strokecolor="#c0504d">
                  <v:stroke dashstyle="solid"/>
                </v:rect>
                <v:rect style="position:absolute;left:2840;top:1934;width:95;height:15" id="docshape27" filled="true" fillcolor="#c0504d" stroked="false">
                  <v:fill type="solid"/>
                </v:rect>
                <v:rect style="position:absolute;left:2840;top:1934;width:95;height:15" id="docshape28" filled="false" stroked="true" strokeweight=".75pt" strokecolor="#c0504d">
                  <v:stroke dashstyle="solid"/>
                </v:rect>
                <v:rect style="position:absolute;left:3485;top:1934;width:95;height:15" id="docshape29" filled="true" fillcolor="#c0504d" stroked="false">
                  <v:fill type="solid"/>
                </v:rect>
                <v:rect style="position:absolute;left:3485;top:1934;width:95;height:15" id="docshape30" filled="false" stroked="true" strokeweight=".75pt" strokecolor="#c0504d">
                  <v:stroke dashstyle="solid"/>
                </v:rect>
                <v:rect style="position:absolute;left:4135;top:1934;width:95;height:15" id="docshape31" filled="true" fillcolor="#c0504d" stroked="false">
                  <v:fill type="solid"/>
                </v:rect>
                <v:rect style="position:absolute;left:4135;top:1934;width:95;height:15" id="docshape32" filled="false" stroked="true" strokeweight=".75pt" strokecolor="#c0504d">
                  <v:stroke dashstyle="solid"/>
                </v:rect>
                <v:rect style="position:absolute;left:4785;top:1934;width:95;height:15" id="docshape33" filled="true" fillcolor="#c0504d" stroked="false">
                  <v:fill type="solid"/>
                </v:rect>
                <v:rect style="position:absolute;left:4785;top:1934;width:95;height:15" id="docshape34" filled="false" stroked="true" strokeweight=".75pt" strokecolor="#c0504d">
                  <v:stroke dashstyle="solid"/>
                </v:rect>
                <v:rect style="position:absolute;left:5430;top:1934;width:95;height:15" id="docshape35" filled="true" fillcolor="#c0504d" stroked="false">
                  <v:fill type="solid"/>
                </v:rect>
                <v:rect style="position:absolute;left:5430;top:1934;width:95;height:15" id="docshape36" filled="false" stroked="true" strokeweight=".75pt" strokecolor="#c0504d">
                  <v:stroke dashstyle="solid"/>
                </v:rect>
                <v:rect style="position:absolute;left:6080;top:1934;width:95;height:15" id="docshape37" filled="true" fillcolor="#c0504d" stroked="false">
                  <v:fill type="solid"/>
                </v:rect>
                <v:rect style="position:absolute;left:6080;top:1934;width:95;height:15" id="docshape38" filled="false" stroked="true" strokeweight=".75pt" strokecolor="#c0504d">
                  <v:stroke dashstyle="solid"/>
                </v:rect>
                <v:rect style="position:absolute;left:6725;top:1934;width:95;height:15" id="docshape39" filled="true" fillcolor="#c0504d" stroked="false">
                  <v:fill type="solid"/>
                </v:rect>
                <v:rect style="position:absolute;left:6725;top:1934;width:95;height:15" id="docshape40" filled="false" stroked="true" strokeweight=".75pt" strokecolor="#c0504d">
                  <v:stroke dashstyle="solid"/>
                </v:rect>
                <v:rect style="position:absolute;left:7375;top:1934;width:95;height:15" id="docshape41" filled="true" fillcolor="#c0504d" stroked="false">
                  <v:fill type="solid"/>
                </v:rect>
                <v:rect style="position:absolute;left:7375;top:1934;width:95;height:15" id="docshape42" filled="false" stroked="true" strokeweight=".75pt" strokecolor="#c0504d">
                  <v:stroke dashstyle="solid"/>
                </v:rect>
                <v:rect style="position:absolute;left:8020;top:1934;width:95;height:15" id="docshape43" filled="true" fillcolor="#c0504d" stroked="false">
                  <v:fill type="solid"/>
                </v:rect>
                <v:rect style="position:absolute;left:8020;top:1934;width:95;height:15" id="docshape44" filled="false" stroked="true" strokeweight=".75pt" strokecolor="#c0504d">
                  <v:stroke dashstyle="solid"/>
                </v:rect>
                <v:rect style="position:absolute;left:8670;top:1934;width:95;height:15" id="docshape45" filled="true" fillcolor="#c0504d" stroked="false">
                  <v:fill type="solid"/>
                </v:rect>
                <v:rect style="position:absolute;left:8670;top:1934;width:95;height:15" id="docshape46" filled="false" stroked="true" strokeweight=".75pt" strokecolor="#c0504d">
                  <v:stroke dashstyle="solid"/>
                </v:rect>
                <v:shape style="position:absolute;left:2055;top:3892;width:384;height:110" type="#_x0000_t75" id="docshape47" stroked="false">
                  <v:imagedata r:id="rId16" o:title=""/>
                </v:shape>
                <v:line style="position:absolute" from="6214,3949" to="6598,3949" stroked="true" strokeweight="2.25pt" strokecolor="#c0504d">
                  <v:stroke dashstyle="solid"/>
                </v:line>
                <v:rect style="position:absolute;left:6352;top:3937;width:95;height:15" id="docshape48" filled="true" fillcolor="#c0504d" stroked="false">
                  <v:fill type="solid"/>
                </v:rect>
                <v:rect style="position:absolute;left:6352;top:3937;width:95;height:15" id="docshape49" filled="false" stroked="true" strokeweight=".75pt" strokecolor="#c0504d">
                  <v:stroke dashstyle="solid"/>
                </v:rect>
                <v:rect style="position:absolute;left:7;top:7;width:9255;height:4230" id="docshape50" filled="false" stroked="true" strokeweight=".75pt" strokecolor="#d9d9d9">
                  <v:stroke dashstyle="solid"/>
                </v:rect>
                <v:shape style="position:absolute;left:5892;top:3430;width:3095;height:619" type="#_x0000_t202" id="docshape5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fev/25</w:t>
                        </w:r>
                        <w:r>
                          <w:rPr>
                            <w:rFonts w:ascii="Calibri"/>
                            <w:color w:val="585858"/>
                            <w:spacing w:val="73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mar/25</w:t>
                        </w:r>
                        <w:r>
                          <w:rPr>
                            <w:rFonts w:ascii="Calibri"/>
                            <w:color w:val="585858"/>
                            <w:spacing w:val="63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abr/25</w:t>
                        </w:r>
                        <w:r>
                          <w:rPr>
                            <w:rFonts w:ascii="Calibri"/>
                            <w:color w:val="585858"/>
                            <w:spacing w:val="74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mai/25</w:t>
                        </w:r>
                        <w:r>
                          <w:rPr>
                            <w:rFonts w:ascii="Calibri"/>
                            <w:color w:val="585858"/>
                            <w:spacing w:val="30"/>
                            <w:sz w:val="18"/>
                          </w:rPr>
                          <w:t>  </w:t>
                        </w: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>jun/25</w:t>
                        </w:r>
                      </w:p>
                      <w:p>
                        <w:pPr>
                          <w:spacing w:before="179"/>
                          <w:ind w:left="74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>Mediana</w:t>
                        </w:r>
                      </w:p>
                    </w:txbxContent>
                  </v:textbox>
                  <w10:wrap type="none"/>
                </v:shape>
                <v:shape style="position:absolute;left:2481;top:3829;width:3369;height:220" type="#_x0000_t202" id="docshape5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Taxa de</w:t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LP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(total</w:t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LP/paciente</w:t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dia-</w:t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mês*1000)</w:t>
                        </w:r>
                      </w:p>
                    </w:txbxContent>
                  </v:textbox>
                  <w10:wrap type="none"/>
                </v:shape>
                <v:shape style="position:absolute;left:705;top:3430;width:5039;height:220" type="#_x0000_t202" id="docshape5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jun/24</w:t>
                        </w:r>
                        <w:r>
                          <w:rPr>
                            <w:rFonts w:ascii="Calibri"/>
                            <w:color w:val="585858"/>
                            <w:spacing w:val="51"/>
                            <w:sz w:val="18"/>
                          </w:rPr>
                          <w:t> 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jul/24</w:t>
                        </w:r>
                        <w:r>
                          <w:rPr>
                            <w:rFonts w:ascii="Calibri"/>
                            <w:color w:val="585858"/>
                            <w:spacing w:val="44"/>
                            <w:sz w:val="18"/>
                          </w:rPr>
                          <w:t> 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ago/24</w:t>
                        </w:r>
                        <w:r>
                          <w:rPr>
                            <w:rFonts w:ascii="Calibri"/>
                            <w:color w:val="585858"/>
                            <w:spacing w:val="35"/>
                            <w:sz w:val="18"/>
                          </w:rPr>
                          <w:t> 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set/24</w:t>
                        </w:r>
                        <w:r>
                          <w:rPr>
                            <w:rFonts w:ascii="Calibri"/>
                            <w:color w:val="585858"/>
                            <w:spacing w:val="38"/>
                            <w:sz w:val="18"/>
                          </w:rPr>
                          <w:t> 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out/24</w:t>
                        </w:r>
                        <w:r>
                          <w:rPr>
                            <w:rFonts w:ascii="Calibri"/>
                            <w:color w:val="585858"/>
                            <w:spacing w:val="74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nov/24</w:t>
                        </w:r>
                        <w:r>
                          <w:rPr>
                            <w:rFonts w:ascii="Calibri"/>
                            <w:color w:val="585858"/>
                            <w:spacing w:val="70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dez/24</w:t>
                        </w:r>
                        <w:r>
                          <w:rPr>
                            <w:rFonts w:ascii="Calibri"/>
                            <w:color w:val="585858"/>
                            <w:spacing w:val="36"/>
                            <w:sz w:val="18"/>
                          </w:rPr>
                          <w:t>  </w:t>
                        </w: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>jan/25</w:t>
                        </w:r>
                      </w:p>
                    </w:txbxContent>
                  </v:textbox>
                  <w10:wrap type="none"/>
                </v:shape>
                <v:shape style="position:absolute;left:229;top:3196;width:247;height:220" type="#_x0000_t202" id="docshape5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0,0</w:t>
                        </w:r>
                      </w:p>
                    </w:txbxContent>
                  </v:textbox>
                  <w10:wrap type="none"/>
                </v:shape>
                <v:shape style="position:absolute;left:8607;top:2553;width:247;height:220" type="#_x0000_t202" id="docshape5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2,4</w:t>
                        </w:r>
                      </w:p>
                    </w:txbxContent>
                  </v:textbox>
                  <w10:wrap type="none"/>
                </v:shape>
                <v:shape style="position:absolute;left:7311;top:2224;width:247;height:220" type="#_x0000_t202" id="docshape5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4,3</w:t>
                        </w:r>
                      </w:p>
                    </w:txbxContent>
                  </v:textbox>
                  <w10:wrap type="none"/>
                </v:shape>
                <v:shape style="position:absolute;left:6663;top:2275;width:247;height:220" type="#_x0000_t202" id="docshape5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4,0</w:t>
                        </w:r>
                      </w:p>
                    </w:txbxContent>
                  </v:textbox>
                  <w10:wrap type="none"/>
                </v:shape>
                <v:shape style="position:absolute;left:5367;top:2137;width:247;height:220" type="#_x0000_t202" id="docshape5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4,8</w:t>
                        </w:r>
                      </w:p>
                    </w:txbxContent>
                  </v:textbox>
                  <w10:wrap type="none"/>
                </v:shape>
                <v:shape style="position:absolute;left:4720;top:2304;width:247;height:220" type="#_x0000_t202" id="docshape5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3,8</w:t>
                        </w:r>
                      </w:p>
                    </w:txbxContent>
                  </v:textbox>
                  <w10:wrap type="none"/>
                </v:shape>
                <v:shape style="position:absolute;left:3424;top:2170;width:247;height:221" type="#_x0000_t202" id="docshape6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4,6</w:t>
                        </w:r>
                      </w:p>
                    </w:txbxContent>
                  </v:textbox>
                  <w10:wrap type="none"/>
                </v:shape>
                <v:shape style="position:absolute;left:229;top:2340;width:247;height:221" type="#_x0000_t202" id="docshape6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5,0</w:t>
                        </w:r>
                      </w:p>
                    </w:txbxContent>
                  </v:textbox>
                  <w10:wrap type="none"/>
                </v:shape>
                <v:shape style="position:absolute;left:4072;top:1589;width:247;height:220" type="#_x0000_t202" id="docshape6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8,0</w:t>
                        </w:r>
                      </w:p>
                    </w:txbxContent>
                  </v:textbox>
                  <w10:wrap type="none"/>
                </v:shape>
                <v:shape style="position:absolute;left:2128;top:1490;width:247;height:220" type="#_x0000_t202" id="docshape6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8,6</w:t>
                        </w:r>
                      </w:p>
                    </w:txbxContent>
                  </v:textbox>
                  <w10:wrap type="none"/>
                </v:shape>
                <v:shape style="position:absolute;left:138;top:1485;width:337;height:220" type="#_x0000_t202" id="docshape6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>10,0</w:t>
                        </w:r>
                      </w:p>
                    </w:txbxContent>
                  </v:textbox>
                  <w10:wrap type="none"/>
                </v:shape>
                <v:shape style="position:absolute;left:7914;top:1196;width:337;height:220" type="#_x0000_t202" id="docshape6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4"/>
                            <w:sz w:val="18"/>
                          </w:rPr>
                          <w:t>10,3</w:t>
                        </w:r>
                      </w:p>
                    </w:txbxContent>
                  </v:textbox>
                  <w10:wrap type="none"/>
                </v:shape>
                <v:shape style="position:absolute;left:5970;top:1212;width:337;height:220" type="#_x0000_t202" id="docshape6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4"/>
                            <w:sz w:val="18"/>
                          </w:rPr>
                          <w:t>10,2</w:t>
                        </w:r>
                      </w:p>
                    </w:txbxContent>
                  </v:textbox>
                  <w10:wrap type="none"/>
                </v:shape>
                <v:shape style="position:absolute;left:2730;top:1248;width:337;height:220" type="#_x0000_t202" id="docshape6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4"/>
                            <w:sz w:val="18"/>
                          </w:rPr>
                          <w:t>10,0</w:t>
                        </w:r>
                      </w:p>
                    </w:txbxContent>
                  </v:textbox>
                  <w10:wrap type="none"/>
                </v:shape>
                <v:shape style="position:absolute;left:787;top:969;width:984;height:244" type="#_x0000_t202" id="docshape68" filled="false" stroked="false">
                  <v:textbox inset="0,0,0,0">
                    <w:txbxContent>
                      <w:p>
                        <w:pPr>
                          <w:tabs>
                            <w:tab w:pos="647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4"/>
                            <w:position w:val="-1"/>
                            <w:sz w:val="18"/>
                          </w:rPr>
                          <w:t>11,5</w:t>
                        </w:r>
                        <w:r>
                          <w:rPr>
                            <w:rFonts w:ascii="Calibri"/>
                            <w:color w:val="404040"/>
                            <w:position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404040"/>
                            <w:spacing w:val="-4"/>
                            <w:sz w:val="18"/>
                          </w:rPr>
                          <w:t>11,6</w:t>
                        </w:r>
                      </w:p>
                    </w:txbxContent>
                  </v:textbox>
                  <w10:wrap type="none"/>
                </v:shape>
                <v:shape style="position:absolute;left:138;top:629;width:337;height:220" type="#_x0000_t202" id="docshape6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>15,0</w:t>
                        </w:r>
                      </w:p>
                    </w:txbxContent>
                  </v:textbox>
                  <w10:wrap type="none"/>
                </v:shape>
                <v:shape style="position:absolute;left:3130;top:156;width:3034;height:342" type="#_x0000_t202" id="docshape7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585858"/>
                            <w:sz w:val="28"/>
                          </w:rPr>
                          <w:t>Taxa</w:t>
                        </w:r>
                        <w:r>
                          <w:rPr>
                            <w:rFonts w:ascii="Calibri" w:hAnsi="Calibri"/>
                            <w:b/>
                            <w:color w:val="585858"/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585858"/>
                            <w:sz w:val="28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color w:val="585858"/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585858"/>
                            <w:sz w:val="28"/>
                          </w:rPr>
                          <w:t>Lesão</w:t>
                        </w:r>
                        <w:r>
                          <w:rPr>
                            <w:rFonts w:ascii="Calibri" w:hAnsi="Calibri"/>
                            <w:b/>
                            <w:color w:val="585858"/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585858"/>
                            <w:sz w:val="28"/>
                          </w:rPr>
                          <w:t>por</w:t>
                        </w:r>
                        <w:r>
                          <w:rPr>
                            <w:rFonts w:ascii="Calibri" w:hAnsi="Calibri"/>
                            <w:b/>
                            <w:color w:val="585858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585858"/>
                            <w:spacing w:val="-2"/>
                            <w:sz w:val="28"/>
                          </w:rPr>
                          <w:t>Pressão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75"/>
        <w:ind w:left="9" w:right="0" w:firstLine="0"/>
        <w:jc w:val="center"/>
        <w:rPr>
          <w:sz w:val="16"/>
        </w:rPr>
      </w:pPr>
      <w:r>
        <w:rPr>
          <w:sz w:val="16"/>
        </w:rPr>
        <w:t>Gráfico</w:t>
      </w:r>
      <w:r>
        <w:rPr>
          <w:spacing w:val="-3"/>
          <w:sz w:val="16"/>
        </w:rPr>
        <w:t> </w:t>
      </w:r>
      <w:r>
        <w:rPr>
          <w:sz w:val="16"/>
        </w:rPr>
        <w:t>2</w:t>
      </w:r>
      <w:r>
        <w:rPr>
          <w:spacing w:val="-1"/>
          <w:sz w:val="16"/>
        </w:rPr>
        <w:t> </w:t>
      </w:r>
      <w:r>
        <w:rPr>
          <w:sz w:val="16"/>
        </w:rPr>
        <w:t>–</w:t>
      </w:r>
      <w:r>
        <w:rPr>
          <w:spacing w:val="-6"/>
          <w:sz w:val="16"/>
        </w:rPr>
        <w:t> </w:t>
      </w:r>
      <w:r>
        <w:rPr>
          <w:sz w:val="16"/>
        </w:rPr>
        <w:t>Taxa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Lesão</w:t>
      </w:r>
      <w:r>
        <w:rPr>
          <w:spacing w:val="-2"/>
          <w:sz w:val="16"/>
        </w:rPr>
        <w:t> </w:t>
      </w:r>
      <w:r>
        <w:rPr>
          <w:sz w:val="16"/>
        </w:rPr>
        <w:t>por</w:t>
      </w:r>
      <w:r>
        <w:rPr>
          <w:spacing w:val="-3"/>
          <w:sz w:val="16"/>
        </w:rPr>
        <w:t> </w:t>
      </w:r>
      <w:r>
        <w:rPr>
          <w:sz w:val="16"/>
        </w:rPr>
        <w:t>pressão,</w:t>
      </w:r>
      <w:r>
        <w:rPr>
          <w:spacing w:val="-7"/>
          <w:sz w:val="16"/>
        </w:rPr>
        <w:t> </w:t>
      </w:r>
      <w:r>
        <w:rPr>
          <w:sz w:val="16"/>
        </w:rPr>
        <w:t>referente</w:t>
      </w:r>
      <w:r>
        <w:rPr>
          <w:spacing w:val="-3"/>
          <w:sz w:val="16"/>
        </w:rPr>
        <w:t> </w:t>
      </w:r>
      <w:r>
        <w:rPr>
          <w:sz w:val="16"/>
        </w:rPr>
        <w:t>aos</w:t>
      </w:r>
      <w:r>
        <w:rPr>
          <w:spacing w:val="-3"/>
          <w:sz w:val="16"/>
        </w:rPr>
        <w:t> </w:t>
      </w:r>
      <w:r>
        <w:rPr>
          <w:sz w:val="16"/>
        </w:rPr>
        <w:t>meses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junho/2024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4"/>
          <w:sz w:val="16"/>
        </w:rPr>
        <w:t> </w:t>
      </w:r>
      <w:r>
        <w:rPr>
          <w:sz w:val="16"/>
        </w:rPr>
        <w:t>junho/2025.</w:t>
      </w:r>
      <w:r>
        <w:rPr>
          <w:spacing w:val="-2"/>
          <w:sz w:val="16"/>
        </w:rPr>
        <w:t> </w:t>
      </w:r>
      <w:r>
        <w:rPr>
          <w:sz w:val="16"/>
        </w:rPr>
        <w:t>Fonte: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Sinapse.</w:t>
      </w:r>
    </w:p>
    <w:p>
      <w:pPr>
        <w:pStyle w:val="BodyText"/>
        <w:rPr>
          <w:sz w:val="16"/>
        </w:rPr>
      </w:pPr>
    </w:p>
    <w:p>
      <w:pPr>
        <w:pStyle w:val="BodyText"/>
        <w:spacing w:before="132"/>
        <w:rPr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714" w:val="left" w:leader="none"/>
        </w:tabs>
        <w:spacing w:line="240" w:lineRule="auto" w:before="0" w:after="0"/>
        <w:ind w:left="1714" w:right="0" w:hanging="359"/>
        <w:jc w:val="left"/>
        <w:rPr>
          <w:rFonts w:ascii="Symbol" w:hAnsi="Symbol"/>
          <w:sz w:val="20"/>
        </w:rPr>
      </w:pPr>
      <w:bookmarkStart w:name="• Incidência de Lesões por Pressão Never" w:id="29"/>
      <w:bookmarkEnd w:id="29"/>
      <w:r>
        <w:rPr/>
      </w:r>
      <w:r>
        <w:rPr>
          <w:rFonts w:ascii="Arial" w:hAnsi="Arial"/>
          <w:b/>
          <w:sz w:val="20"/>
        </w:rPr>
        <w:t>Incidência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 Lesões por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Pressão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Never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Event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– Estágio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3, 4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não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pacing w:val="-2"/>
          <w:sz w:val="20"/>
        </w:rPr>
        <w:t>classificável</w:t>
      </w:r>
    </w:p>
    <w:p>
      <w:pPr>
        <w:pStyle w:val="BodyText"/>
        <w:spacing w:before="2" w:after="1"/>
        <w:rPr>
          <w:rFonts w:ascii="Arial"/>
          <w:b/>
          <w:sz w:val="9"/>
        </w:rPr>
      </w:pPr>
    </w:p>
    <w:tbl>
      <w:tblPr>
        <w:tblW w:w="0" w:type="auto"/>
        <w:jc w:val="left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635"/>
        <w:gridCol w:w="591"/>
        <w:gridCol w:w="670"/>
        <w:gridCol w:w="625"/>
        <w:gridCol w:w="655"/>
        <w:gridCol w:w="679"/>
        <w:gridCol w:w="659"/>
        <w:gridCol w:w="629"/>
        <w:gridCol w:w="635"/>
        <w:gridCol w:w="699"/>
        <w:gridCol w:w="649"/>
        <w:gridCol w:w="679"/>
        <w:gridCol w:w="680"/>
      </w:tblGrid>
      <w:tr>
        <w:trPr>
          <w:trHeight w:val="312" w:hRule="atLeast"/>
        </w:trPr>
        <w:tc>
          <w:tcPr>
            <w:tcW w:w="61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" w:type="dxa"/>
            <w:shd w:val="clear" w:color="auto" w:fill="0E4661"/>
          </w:tcPr>
          <w:p>
            <w:pPr>
              <w:pStyle w:val="TableParagraph"/>
              <w:spacing w:before="62"/>
              <w:ind w:left="15" w:right="1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jun/24</w:t>
            </w:r>
          </w:p>
        </w:tc>
        <w:tc>
          <w:tcPr>
            <w:tcW w:w="591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2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jul/24</w:t>
            </w:r>
          </w:p>
        </w:tc>
        <w:tc>
          <w:tcPr>
            <w:tcW w:w="670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2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ago/24</w:t>
            </w:r>
          </w:p>
        </w:tc>
        <w:tc>
          <w:tcPr>
            <w:tcW w:w="625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2"/>
              <w:ind w:left="7"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set/24</w:t>
            </w:r>
          </w:p>
        </w:tc>
        <w:tc>
          <w:tcPr>
            <w:tcW w:w="655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2"/>
              <w:ind w:left="7" w:right="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out/24</w:t>
            </w:r>
          </w:p>
        </w:tc>
        <w:tc>
          <w:tcPr>
            <w:tcW w:w="679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2"/>
              <w:ind w:left="26" w:right="1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nov/24</w:t>
            </w:r>
          </w:p>
        </w:tc>
        <w:tc>
          <w:tcPr>
            <w:tcW w:w="659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2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dez/24</w:t>
            </w:r>
          </w:p>
        </w:tc>
        <w:tc>
          <w:tcPr>
            <w:tcW w:w="629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2"/>
              <w:ind w:left="21" w:right="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jan/25</w:t>
            </w:r>
          </w:p>
        </w:tc>
        <w:tc>
          <w:tcPr>
            <w:tcW w:w="635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2"/>
              <w:ind w:left="15" w:right="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fev/25</w:t>
            </w:r>
          </w:p>
        </w:tc>
        <w:tc>
          <w:tcPr>
            <w:tcW w:w="699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2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mar/25</w:t>
            </w:r>
          </w:p>
        </w:tc>
        <w:tc>
          <w:tcPr>
            <w:tcW w:w="649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2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abr/25</w:t>
            </w:r>
          </w:p>
        </w:tc>
        <w:tc>
          <w:tcPr>
            <w:tcW w:w="679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2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mai/25</w:t>
            </w:r>
          </w:p>
        </w:tc>
        <w:tc>
          <w:tcPr>
            <w:tcW w:w="680" w:type="dxa"/>
            <w:tcBorders>
              <w:bottom w:val="single" w:sz="12" w:space="0" w:color="0E4661"/>
            </w:tcBorders>
            <w:shd w:val="clear" w:color="auto" w:fill="0E4661"/>
          </w:tcPr>
          <w:p>
            <w:pPr>
              <w:pStyle w:val="TableParagraph"/>
              <w:spacing w:before="62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jun/25</w:t>
            </w:r>
          </w:p>
        </w:tc>
      </w:tr>
      <w:tr>
        <w:trPr>
          <w:trHeight w:val="327" w:hRule="atLeast"/>
        </w:trPr>
        <w:tc>
          <w:tcPr>
            <w:tcW w:w="615" w:type="dxa"/>
          </w:tcPr>
          <w:p>
            <w:pPr>
              <w:pStyle w:val="TableParagraph"/>
              <w:spacing w:before="117"/>
              <w:ind w:left="155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4"/>
                <w:w w:val="95"/>
                <w:sz w:val="16"/>
              </w:rPr>
              <w:t>Taxa</w:t>
            </w:r>
          </w:p>
        </w:tc>
        <w:tc>
          <w:tcPr>
            <w:tcW w:w="635" w:type="dxa"/>
          </w:tcPr>
          <w:p>
            <w:pPr>
              <w:pStyle w:val="TableParagraph"/>
              <w:spacing w:before="117"/>
              <w:ind w:left="15" w:right="15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5"/>
                <w:w w:val="95"/>
                <w:sz w:val="16"/>
              </w:rPr>
              <w:t>6,3</w:t>
            </w:r>
          </w:p>
        </w:tc>
        <w:tc>
          <w:tcPr>
            <w:tcW w:w="591" w:type="dxa"/>
            <w:tcBorders>
              <w:top w:val="single" w:sz="12" w:space="0" w:color="0E4661"/>
            </w:tcBorders>
          </w:tcPr>
          <w:p>
            <w:pPr>
              <w:pStyle w:val="TableParagraph"/>
              <w:spacing w:before="117"/>
              <w:ind w:left="5" w:right="3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5"/>
                <w:w w:val="95"/>
                <w:sz w:val="16"/>
              </w:rPr>
              <w:t>4,2</w:t>
            </w:r>
          </w:p>
        </w:tc>
        <w:tc>
          <w:tcPr>
            <w:tcW w:w="670" w:type="dxa"/>
            <w:tcBorders>
              <w:top w:val="single" w:sz="12" w:space="0" w:color="0E4661"/>
            </w:tcBorders>
          </w:tcPr>
          <w:p>
            <w:pPr>
              <w:pStyle w:val="TableParagraph"/>
              <w:spacing w:before="117"/>
              <w:ind w:left="10" w:right="9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5"/>
                <w:w w:val="95"/>
                <w:sz w:val="16"/>
              </w:rPr>
              <w:t>2,4</w:t>
            </w:r>
          </w:p>
        </w:tc>
        <w:tc>
          <w:tcPr>
            <w:tcW w:w="625" w:type="dxa"/>
            <w:tcBorders>
              <w:top w:val="single" w:sz="12" w:space="0" w:color="0E4661"/>
            </w:tcBorders>
          </w:tcPr>
          <w:p>
            <w:pPr>
              <w:pStyle w:val="TableParagraph"/>
              <w:spacing w:before="117"/>
              <w:ind w:left="7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5"/>
                <w:w w:val="95"/>
                <w:sz w:val="16"/>
              </w:rPr>
              <w:t>1,8</w:t>
            </w:r>
          </w:p>
        </w:tc>
        <w:tc>
          <w:tcPr>
            <w:tcW w:w="655" w:type="dxa"/>
            <w:tcBorders>
              <w:top w:val="single" w:sz="12" w:space="0" w:color="0E4661"/>
            </w:tcBorders>
          </w:tcPr>
          <w:p>
            <w:pPr>
              <w:pStyle w:val="TableParagraph"/>
              <w:spacing w:before="117"/>
              <w:ind w:left="7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5"/>
                <w:w w:val="95"/>
                <w:sz w:val="16"/>
              </w:rPr>
              <w:t>1,6</w:t>
            </w:r>
          </w:p>
        </w:tc>
        <w:tc>
          <w:tcPr>
            <w:tcW w:w="679" w:type="dxa"/>
            <w:tcBorders>
              <w:top w:val="single" w:sz="12" w:space="0" w:color="0E4661"/>
            </w:tcBorders>
          </w:tcPr>
          <w:p>
            <w:pPr>
              <w:pStyle w:val="TableParagraph"/>
              <w:spacing w:before="117"/>
              <w:ind w:left="26" w:right="22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5"/>
                <w:w w:val="95"/>
                <w:sz w:val="16"/>
              </w:rPr>
              <w:t>3,1</w:t>
            </w:r>
          </w:p>
        </w:tc>
        <w:tc>
          <w:tcPr>
            <w:tcW w:w="659" w:type="dxa"/>
            <w:tcBorders>
              <w:top w:val="single" w:sz="12" w:space="0" w:color="0E4661"/>
            </w:tcBorders>
          </w:tcPr>
          <w:p>
            <w:pPr>
              <w:pStyle w:val="TableParagraph"/>
              <w:spacing w:before="117"/>
              <w:ind w:left="15" w:right="9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5"/>
                <w:w w:val="95"/>
                <w:sz w:val="16"/>
              </w:rPr>
              <w:t>0,9</w:t>
            </w:r>
          </w:p>
        </w:tc>
        <w:tc>
          <w:tcPr>
            <w:tcW w:w="629" w:type="dxa"/>
            <w:tcBorders>
              <w:top w:val="single" w:sz="12" w:space="0" w:color="0E4661"/>
            </w:tcBorders>
          </w:tcPr>
          <w:p>
            <w:pPr>
              <w:pStyle w:val="TableParagraph"/>
              <w:spacing w:before="117"/>
              <w:ind w:left="21" w:right="12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5"/>
                <w:w w:val="95"/>
                <w:sz w:val="16"/>
              </w:rPr>
              <w:t>1,2</w:t>
            </w:r>
          </w:p>
        </w:tc>
        <w:tc>
          <w:tcPr>
            <w:tcW w:w="635" w:type="dxa"/>
            <w:tcBorders>
              <w:top w:val="single" w:sz="12" w:space="0" w:color="0E4661"/>
            </w:tcBorders>
          </w:tcPr>
          <w:p>
            <w:pPr>
              <w:pStyle w:val="TableParagraph"/>
              <w:spacing w:before="117"/>
              <w:ind w:left="16" w:right="1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5"/>
                <w:w w:val="95"/>
                <w:sz w:val="16"/>
              </w:rPr>
              <w:t>2,5</w:t>
            </w:r>
          </w:p>
        </w:tc>
        <w:tc>
          <w:tcPr>
            <w:tcW w:w="699" w:type="dxa"/>
            <w:tcBorders>
              <w:top w:val="single" w:sz="12" w:space="0" w:color="0E4661"/>
            </w:tcBorders>
          </w:tcPr>
          <w:p>
            <w:pPr>
              <w:pStyle w:val="TableParagraph"/>
              <w:spacing w:before="117"/>
              <w:ind w:left="16" w:right="5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5"/>
                <w:w w:val="95"/>
                <w:sz w:val="16"/>
              </w:rPr>
              <w:t>0,4</w:t>
            </w:r>
          </w:p>
        </w:tc>
        <w:tc>
          <w:tcPr>
            <w:tcW w:w="649" w:type="dxa"/>
            <w:tcBorders>
              <w:top w:val="single" w:sz="12" w:space="0" w:color="0E4661"/>
            </w:tcBorders>
          </w:tcPr>
          <w:p>
            <w:pPr>
              <w:pStyle w:val="TableParagraph"/>
              <w:spacing w:before="117"/>
              <w:ind w:left="13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5"/>
                <w:w w:val="95"/>
                <w:sz w:val="16"/>
              </w:rPr>
              <w:t>0,4</w:t>
            </w:r>
          </w:p>
        </w:tc>
        <w:tc>
          <w:tcPr>
            <w:tcW w:w="679" w:type="dxa"/>
            <w:tcBorders>
              <w:top w:val="single" w:sz="12" w:space="0" w:color="0E4661"/>
            </w:tcBorders>
          </w:tcPr>
          <w:p>
            <w:pPr>
              <w:pStyle w:val="TableParagraph"/>
              <w:spacing w:before="117"/>
              <w:ind w:left="26" w:right="9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5"/>
                <w:w w:val="95"/>
                <w:sz w:val="16"/>
              </w:rPr>
              <w:t>4,2</w:t>
            </w:r>
          </w:p>
        </w:tc>
        <w:tc>
          <w:tcPr>
            <w:tcW w:w="680" w:type="dxa"/>
            <w:tcBorders>
              <w:top w:val="single" w:sz="12" w:space="0" w:color="0E4661"/>
            </w:tcBorders>
          </w:tcPr>
          <w:p>
            <w:pPr>
              <w:pStyle w:val="TableParagraph"/>
              <w:spacing w:before="117"/>
              <w:ind w:left="18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5"/>
                <w:w w:val="95"/>
                <w:sz w:val="16"/>
              </w:rPr>
              <w:t>0,7</w:t>
            </w:r>
          </w:p>
        </w:tc>
      </w:tr>
    </w:tbl>
    <w:p>
      <w:pPr>
        <w:spacing w:before="0"/>
        <w:ind w:left="3940" w:right="0" w:firstLine="0"/>
        <w:jc w:val="left"/>
        <w:rPr>
          <w:sz w:val="12"/>
        </w:rPr>
      </w:pPr>
      <w:bookmarkStart w:name="Taxa LP – Total de LP never events / Pac" w:id="30"/>
      <w:bookmarkEnd w:id="30"/>
      <w:r>
        <w:rPr/>
      </w:r>
      <w:r>
        <w:rPr>
          <w:sz w:val="12"/>
        </w:rPr>
        <w:t>Taxa</w:t>
      </w:r>
      <w:r>
        <w:rPr>
          <w:spacing w:val="-4"/>
          <w:sz w:val="12"/>
        </w:rPr>
        <w:t> </w:t>
      </w:r>
      <w:r>
        <w:rPr>
          <w:sz w:val="12"/>
        </w:rPr>
        <w:t>LP</w:t>
      </w:r>
      <w:r>
        <w:rPr>
          <w:spacing w:val="-1"/>
          <w:sz w:val="12"/>
        </w:rPr>
        <w:t> </w:t>
      </w:r>
      <w:r>
        <w:rPr>
          <w:sz w:val="12"/>
        </w:rPr>
        <w:t>–</w:t>
      </w:r>
      <w:r>
        <w:rPr>
          <w:spacing w:val="-4"/>
          <w:sz w:val="12"/>
        </w:rPr>
        <w:t> </w:t>
      </w:r>
      <w:r>
        <w:rPr>
          <w:sz w:val="12"/>
        </w:rPr>
        <w:t>Total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4"/>
          <w:sz w:val="12"/>
        </w:rPr>
        <w:t> </w:t>
      </w:r>
      <w:r>
        <w:rPr>
          <w:sz w:val="12"/>
        </w:rPr>
        <w:t>LP never</w:t>
      </w:r>
      <w:r>
        <w:rPr>
          <w:spacing w:val="-2"/>
          <w:sz w:val="12"/>
        </w:rPr>
        <w:t> </w:t>
      </w:r>
      <w:r>
        <w:rPr>
          <w:sz w:val="12"/>
        </w:rPr>
        <w:t>events</w:t>
      </w:r>
      <w:r>
        <w:rPr>
          <w:spacing w:val="-1"/>
          <w:sz w:val="12"/>
        </w:rPr>
        <w:t> </w:t>
      </w:r>
      <w:r>
        <w:rPr>
          <w:sz w:val="12"/>
        </w:rPr>
        <w:t>/ Paciente</w:t>
      </w:r>
      <w:r>
        <w:rPr>
          <w:spacing w:val="-4"/>
          <w:sz w:val="12"/>
        </w:rPr>
        <w:t> </w:t>
      </w:r>
      <w:r>
        <w:rPr>
          <w:sz w:val="12"/>
        </w:rPr>
        <w:t>dia-mês</w:t>
      </w:r>
      <w:r>
        <w:rPr>
          <w:spacing w:val="-1"/>
          <w:sz w:val="12"/>
        </w:rPr>
        <w:t> </w:t>
      </w:r>
      <w:r>
        <w:rPr>
          <w:sz w:val="12"/>
        </w:rPr>
        <w:t>*</w:t>
      </w:r>
      <w:r>
        <w:rPr>
          <w:spacing w:val="-3"/>
          <w:sz w:val="12"/>
        </w:rPr>
        <w:t> </w:t>
      </w:r>
      <w:r>
        <w:rPr>
          <w:spacing w:val="-4"/>
          <w:sz w:val="12"/>
        </w:rPr>
        <w:t>1000</w:t>
      </w:r>
    </w:p>
    <w:p>
      <w:pPr>
        <w:pStyle w:val="BodyText"/>
        <w:spacing w:before="13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957262</wp:posOffset>
                </wp:positionH>
                <wp:positionV relativeFrom="paragraph">
                  <wp:posOffset>246196</wp:posOffset>
                </wp:positionV>
                <wp:extent cx="5636260" cy="2031364"/>
                <wp:effectExtent l="0" t="0" r="0" b="0"/>
                <wp:wrapTopAndBottom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5636260" cy="2031364"/>
                          <a:chExt cx="5636260" cy="2031364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337629" y="1731962"/>
                            <a:ext cx="515429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4295" h="36830">
                                <a:moveTo>
                                  <a:pt x="0" y="0"/>
                                </a:moveTo>
                                <a:lnTo>
                                  <a:pt x="5154168" y="0"/>
                                </a:lnTo>
                              </a:path>
                              <a:path w="5154295" h="36830">
                                <a:moveTo>
                                  <a:pt x="0" y="0"/>
                                </a:moveTo>
                                <a:lnTo>
                                  <a:pt x="0" y="36321"/>
                                </a:lnTo>
                              </a:path>
                              <a:path w="5154295" h="36830">
                                <a:moveTo>
                                  <a:pt x="397383" y="0"/>
                                </a:moveTo>
                                <a:lnTo>
                                  <a:pt x="397383" y="36321"/>
                                </a:lnTo>
                              </a:path>
                              <a:path w="5154295" h="36830">
                                <a:moveTo>
                                  <a:pt x="794258" y="0"/>
                                </a:moveTo>
                                <a:lnTo>
                                  <a:pt x="794258" y="36321"/>
                                </a:lnTo>
                              </a:path>
                              <a:path w="5154295" h="36830">
                                <a:moveTo>
                                  <a:pt x="1187958" y="0"/>
                                </a:moveTo>
                                <a:lnTo>
                                  <a:pt x="1187958" y="36321"/>
                                </a:lnTo>
                              </a:path>
                              <a:path w="5154295" h="36830">
                                <a:moveTo>
                                  <a:pt x="1584833" y="0"/>
                                </a:moveTo>
                                <a:lnTo>
                                  <a:pt x="1584833" y="36321"/>
                                </a:lnTo>
                              </a:path>
                              <a:path w="5154295" h="36830">
                                <a:moveTo>
                                  <a:pt x="1981708" y="0"/>
                                </a:moveTo>
                                <a:lnTo>
                                  <a:pt x="1981708" y="36321"/>
                                </a:lnTo>
                              </a:path>
                              <a:path w="5154295" h="36830">
                                <a:moveTo>
                                  <a:pt x="2378583" y="0"/>
                                </a:moveTo>
                                <a:lnTo>
                                  <a:pt x="2378583" y="36321"/>
                                </a:lnTo>
                              </a:path>
                              <a:path w="5154295" h="36830">
                                <a:moveTo>
                                  <a:pt x="2775458" y="0"/>
                                </a:moveTo>
                                <a:lnTo>
                                  <a:pt x="2775458" y="36321"/>
                                </a:lnTo>
                              </a:path>
                              <a:path w="5154295" h="36830">
                                <a:moveTo>
                                  <a:pt x="3172333" y="0"/>
                                </a:moveTo>
                                <a:lnTo>
                                  <a:pt x="3172333" y="36321"/>
                                </a:lnTo>
                              </a:path>
                              <a:path w="5154295" h="36830">
                                <a:moveTo>
                                  <a:pt x="3569208" y="0"/>
                                </a:moveTo>
                                <a:lnTo>
                                  <a:pt x="3569208" y="36321"/>
                                </a:lnTo>
                              </a:path>
                              <a:path w="5154295" h="36830">
                                <a:moveTo>
                                  <a:pt x="3966083" y="0"/>
                                </a:moveTo>
                                <a:lnTo>
                                  <a:pt x="3966083" y="36321"/>
                                </a:lnTo>
                              </a:path>
                              <a:path w="5154295" h="36830">
                                <a:moveTo>
                                  <a:pt x="4359783" y="0"/>
                                </a:moveTo>
                                <a:lnTo>
                                  <a:pt x="4359783" y="36321"/>
                                </a:lnTo>
                              </a:path>
                              <a:path w="5154295" h="36830">
                                <a:moveTo>
                                  <a:pt x="4756658" y="0"/>
                                </a:moveTo>
                                <a:lnTo>
                                  <a:pt x="4756658" y="36321"/>
                                </a:lnTo>
                              </a:path>
                              <a:path w="5154295" h="36830">
                                <a:moveTo>
                                  <a:pt x="5154168" y="0"/>
                                </a:moveTo>
                                <a:lnTo>
                                  <a:pt x="5154168" y="3632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35876" y="599757"/>
                            <a:ext cx="4758055" cy="1064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055" h="1064260">
                                <a:moveTo>
                                  <a:pt x="0" y="0"/>
                                </a:moveTo>
                                <a:lnTo>
                                  <a:pt x="395986" y="373634"/>
                                </a:lnTo>
                                <a:lnTo>
                                  <a:pt x="792861" y="707009"/>
                                </a:lnTo>
                                <a:lnTo>
                                  <a:pt x="1189736" y="814959"/>
                                </a:lnTo>
                                <a:lnTo>
                                  <a:pt x="1586611" y="843534"/>
                                </a:lnTo>
                                <a:lnTo>
                                  <a:pt x="1983486" y="567309"/>
                                </a:lnTo>
                                <a:lnTo>
                                  <a:pt x="2380361" y="970534"/>
                                </a:lnTo>
                                <a:lnTo>
                                  <a:pt x="2774061" y="913384"/>
                                </a:lnTo>
                                <a:lnTo>
                                  <a:pt x="3170936" y="691134"/>
                                </a:lnTo>
                                <a:lnTo>
                                  <a:pt x="3567811" y="1064260"/>
                                </a:lnTo>
                                <a:lnTo>
                                  <a:pt x="3964686" y="1059434"/>
                                </a:lnTo>
                                <a:lnTo>
                                  <a:pt x="4361561" y="386334"/>
                                </a:lnTo>
                                <a:lnTo>
                                  <a:pt x="4757674" y="1011809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126" y="563626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7000" y="935100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3875" y="1271650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7576" y="1379600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4451" y="1408175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1326" y="1131950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8201" y="1535175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5076" y="1474850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1951" y="1252600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8826" y="1627251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5701" y="1620900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9401" y="950975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6276" y="1573275"/>
                            <a:ext cx="69723" cy="69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4762" y="4762"/>
                            <a:ext cx="5626735" cy="2021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735" h="2021839">
                                <a:moveTo>
                                  <a:pt x="0" y="2021839"/>
                                </a:moveTo>
                                <a:lnTo>
                                  <a:pt x="5626734" y="2021839"/>
                                </a:lnTo>
                                <a:lnTo>
                                  <a:pt x="56267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183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382841" y="1805884"/>
                            <a:ext cx="508254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jun/24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40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jul/24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32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ago/24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65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set/24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74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out/24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6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nov/24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6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dez/24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69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jan/25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31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fev/25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mar/25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6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abr/25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7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mai/25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7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>jun/25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5222557" y="1383990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0,7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4429188" y="1431313"/>
                            <a:ext cx="15684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0,4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4032567" y="1437076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0,4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3239198" y="1285184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1,2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2842577" y="1343985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0,9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2049462" y="1216604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1,6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1652587" y="1188791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1,8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3635946" y="1063315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2,5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256093" y="1080079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2,4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2446083" y="939744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3,1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4825682" y="759404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4,2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859472" y="745180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4,2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462978" y="372435"/>
                            <a:ext cx="15684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6,3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87630" y="400756"/>
                            <a:ext cx="156845" cy="1396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7,0</w:t>
                              </w:r>
                            </w:p>
                            <w:p>
                              <w:pPr>
                                <w:spacing w:before="63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6,0</w:t>
                              </w:r>
                            </w:p>
                            <w:p>
                              <w:pPr>
                                <w:spacing w:before="63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5,0</w:t>
                              </w:r>
                            </w:p>
                            <w:p>
                              <w:pPr>
                                <w:spacing w:before="62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4,0</w:t>
                              </w:r>
                            </w:p>
                            <w:p>
                              <w:pPr>
                                <w:spacing w:before="64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3,0</w:t>
                              </w:r>
                            </w:p>
                            <w:p>
                              <w:pPr>
                                <w:spacing w:before="62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2,0</w:t>
                              </w:r>
                            </w:p>
                            <w:p>
                              <w:pPr>
                                <w:spacing w:before="63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1,0</w:t>
                              </w:r>
                            </w:p>
                            <w:p>
                              <w:pPr>
                                <w:spacing w:before="63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1940242" y="100773"/>
                            <a:ext cx="1772285" cy="21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28"/>
                                </w:rPr>
                                <w:t>Taxa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8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28"/>
                                </w:rPr>
                                <w:t>LP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28"/>
                                </w:rPr>
                                <w:t>Never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28"/>
                                </w:rPr>
                                <w:t>Events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375pt;margin-top:19.385586pt;width:443.8pt;height:159.950pt;mso-position-horizontal-relative:page;mso-position-vertical-relative:paragraph;z-index:-15727616;mso-wrap-distance-left:0;mso-wrap-distance-right:0" id="docshapegroup71" coordorigin="1508,388" coordsize="8876,3199">
                <v:shape style="position:absolute;left:2039;top:3115;width:8117;height:58" id="docshape72" coordorigin="2039,3115" coordsize="8117,58" path="m2039,3115l10156,3115m2039,3115l2039,3172m2665,3115l2665,3172m3290,3115l3290,3172m3910,3115l3910,3172m4535,3115l4535,3172m5160,3115l5160,3172m5785,3115l5785,3172m6410,3115l6410,3172m7035,3115l7035,3172m7660,3115l7660,3172m8285,3115l8285,3172m8905,3115l8905,3172m9530,3115l9530,3172m10156,3115l10156,3172e" filled="false" stroked="true" strokeweight=".75pt" strokecolor="#d9d9d9">
                  <v:path arrowok="t"/>
                  <v:stroke dashstyle="solid"/>
                </v:shape>
                <v:shape style="position:absolute;left:2351;top:1332;width:7493;height:1676" id="docshape73" coordorigin="2351,1332" coordsize="7493,1676" path="m2351,1332l2975,1921,3600,2446,4225,2616,4850,2661,5475,2226,6100,2861,6720,2771,7345,2421,7970,3008,8595,3001,9220,1941,9844,2926e" filled="false" stroked="true" strokeweight="2.25pt" strokecolor="#4f81bc">
                  <v:path arrowok="t"/>
                  <v:stroke dashstyle="solid"/>
                </v:shape>
                <v:shape style="position:absolute;left:2295;top:1275;width:110;height:110" type="#_x0000_t75" id="docshape74" stroked="false">
                  <v:imagedata r:id="rId17" o:title=""/>
                </v:shape>
                <v:shape style="position:absolute;left:2920;top:1860;width:110;height:110" type="#_x0000_t75" id="docshape75" stroked="false">
                  <v:imagedata r:id="rId17" o:title=""/>
                </v:shape>
                <v:shape style="position:absolute;left:3545;top:2390;width:110;height:110" type="#_x0000_t75" id="docshape76" stroked="false">
                  <v:imagedata r:id="rId18" o:title=""/>
                </v:shape>
                <v:shape style="position:absolute;left:4165;top:2560;width:110;height:110" type="#_x0000_t75" id="docshape77" stroked="false">
                  <v:imagedata r:id="rId19" o:title=""/>
                </v:shape>
                <v:shape style="position:absolute;left:4790;top:2605;width:110;height:110" type="#_x0000_t75" id="docshape78" stroked="false">
                  <v:imagedata r:id="rId18" o:title=""/>
                </v:shape>
                <v:shape style="position:absolute;left:5415;top:2170;width:110;height:110" type="#_x0000_t75" id="docshape79" stroked="false">
                  <v:imagedata r:id="rId19" o:title=""/>
                </v:shape>
                <v:shape style="position:absolute;left:6040;top:2805;width:110;height:110" type="#_x0000_t75" id="docshape80" stroked="false">
                  <v:imagedata r:id="rId17" o:title=""/>
                </v:shape>
                <v:shape style="position:absolute;left:6665;top:2710;width:110;height:110" type="#_x0000_t75" id="docshape81" stroked="false">
                  <v:imagedata r:id="rId18" o:title=""/>
                </v:shape>
                <v:shape style="position:absolute;left:7290;top:2360;width:110;height:110" type="#_x0000_t75" id="docshape82" stroked="false">
                  <v:imagedata r:id="rId19" o:title=""/>
                </v:shape>
                <v:shape style="position:absolute;left:7915;top:2950;width:110;height:110" type="#_x0000_t75" id="docshape83" stroked="false">
                  <v:imagedata r:id="rId19" o:title=""/>
                </v:shape>
                <v:shape style="position:absolute;left:8540;top:2940;width:110;height:110" type="#_x0000_t75" id="docshape84" stroked="false">
                  <v:imagedata r:id="rId20" o:title=""/>
                </v:shape>
                <v:shape style="position:absolute;left:9160;top:1885;width:110;height:110" type="#_x0000_t75" id="docshape85" stroked="false">
                  <v:imagedata r:id="rId19" o:title=""/>
                </v:shape>
                <v:shape style="position:absolute;left:9785;top:2865;width:110;height:110" type="#_x0000_t75" id="docshape86" stroked="false">
                  <v:imagedata r:id="rId20" o:title=""/>
                </v:shape>
                <v:rect style="position:absolute;left:1515;top:395;width:8861;height:3184" id="docshape87" filled="false" stroked="true" strokeweight=".75pt" strokecolor="#d9d9d9">
                  <v:stroke dashstyle="solid"/>
                </v:rect>
                <v:shape style="position:absolute;left:2110;top:3231;width:8004;height:220" type="#_x0000_t202" id="docshape8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jun/24</w:t>
                        </w:r>
                        <w:r>
                          <w:rPr>
                            <w:rFonts w:ascii="Calibri"/>
                            <w:color w:val="585858"/>
                            <w:spacing w:val="40"/>
                            <w:sz w:val="18"/>
                          </w:rPr>
                          <w:t> 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jul/24</w:t>
                        </w:r>
                        <w:r>
                          <w:rPr>
                            <w:rFonts w:ascii="Calibri"/>
                            <w:color w:val="585858"/>
                            <w:spacing w:val="32"/>
                            <w:sz w:val="18"/>
                          </w:rPr>
                          <w:t> 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ago/24</w:t>
                        </w:r>
                        <w:r>
                          <w:rPr>
                            <w:rFonts w:ascii="Calibri"/>
                            <w:color w:val="585858"/>
                            <w:spacing w:val="65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set/24</w:t>
                        </w:r>
                        <w:r>
                          <w:rPr>
                            <w:rFonts w:ascii="Calibri"/>
                            <w:color w:val="585858"/>
                            <w:spacing w:val="74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out/24</w:t>
                        </w:r>
                        <w:r>
                          <w:rPr>
                            <w:rFonts w:ascii="Calibri"/>
                            <w:color w:val="585858"/>
                            <w:spacing w:val="6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nov/24</w:t>
                        </w:r>
                        <w:r>
                          <w:rPr>
                            <w:rFonts w:ascii="Calibri"/>
                            <w:color w:val="585858"/>
                            <w:spacing w:val="68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dez/24</w:t>
                        </w:r>
                        <w:r>
                          <w:rPr>
                            <w:rFonts w:ascii="Calibri"/>
                            <w:color w:val="585858"/>
                            <w:spacing w:val="69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jan/25</w:t>
                        </w:r>
                        <w:r>
                          <w:rPr>
                            <w:rFonts w:ascii="Calibri"/>
                            <w:color w:val="585858"/>
                            <w:spacing w:val="31"/>
                            <w:sz w:val="18"/>
                          </w:rPr>
                          <w:t> 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fev/25</w:t>
                        </w:r>
                        <w:r>
                          <w:rPr>
                            <w:rFonts w:ascii="Calibri"/>
                            <w:color w:val="585858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mar/25</w:t>
                        </w:r>
                        <w:r>
                          <w:rPr>
                            <w:rFonts w:ascii="Calibri"/>
                            <w:color w:val="585858"/>
                            <w:spacing w:val="6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abr/25</w:t>
                        </w:r>
                        <w:r>
                          <w:rPr>
                            <w:rFonts w:ascii="Calibri"/>
                            <w:color w:val="585858"/>
                            <w:spacing w:val="7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mai/25</w:t>
                        </w:r>
                        <w:r>
                          <w:rPr>
                            <w:rFonts w:ascii="Calibri"/>
                            <w:color w:val="585858"/>
                            <w:spacing w:val="7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>jun/25</w:t>
                        </w:r>
                      </w:p>
                    </w:txbxContent>
                  </v:textbox>
                  <w10:wrap type="none"/>
                </v:shape>
                <v:shape style="position:absolute;left:9732;top:2567;width:247;height:220" type="#_x0000_t202" id="docshape8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0,7</w:t>
                        </w:r>
                      </w:p>
                    </w:txbxContent>
                  </v:textbox>
                  <w10:wrap type="none"/>
                </v:shape>
                <v:shape style="position:absolute;left:8482;top:2641;width:247;height:221" type="#_x0000_t202" id="docshape9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0,4</w:t>
                        </w:r>
                      </w:p>
                    </w:txbxContent>
                  </v:textbox>
                  <w10:wrap type="none"/>
                </v:shape>
                <v:shape style="position:absolute;left:7858;top:2650;width:247;height:220" type="#_x0000_t202" id="docshape9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0,4</w:t>
                        </w:r>
                      </w:p>
                    </w:txbxContent>
                  </v:textbox>
                  <w10:wrap type="none"/>
                </v:shape>
                <v:shape style="position:absolute;left:6608;top:2411;width:247;height:220" type="#_x0000_t202" id="docshape9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1,2</w:t>
                        </w:r>
                      </w:p>
                    </w:txbxContent>
                  </v:textbox>
                  <w10:wrap type="none"/>
                </v:shape>
                <v:shape style="position:absolute;left:5984;top:2504;width:247;height:220" type="#_x0000_t202" id="docshape9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0,9</w:t>
                        </w:r>
                      </w:p>
                    </w:txbxContent>
                  </v:textbox>
                  <w10:wrap type="none"/>
                </v:shape>
                <v:shape style="position:absolute;left:4735;top:2303;width:247;height:220" type="#_x0000_t202" id="docshape9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1,6</w:t>
                        </w:r>
                      </w:p>
                    </w:txbxContent>
                  </v:textbox>
                  <w10:wrap type="none"/>
                </v:shape>
                <v:shape style="position:absolute;left:4110;top:2259;width:247;height:220" type="#_x0000_t202" id="docshape9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1,8</w:t>
                        </w:r>
                      </w:p>
                    </w:txbxContent>
                  </v:textbox>
                  <w10:wrap type="none"/>
                </v:shape>
                <v:shape style="position:absolute;left:7233;top:2062;width:247;height:220" type="#_x0000_t202" id="docshape9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2,5</w:t>
                        </w:r>
                      </w:p>
                    </w:txbxContent>
                  </v:textbox>
                  <w10:wrap type="none"/>
                </v:shape>
                <v:shape style="position:absolute;left:3485;top:2088;width:247;height:220" type="#_x0000_t202" id="docshape9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2,4</w:t>
                        </w:r>
                      </w:p>
                    </w:txbxContent>
                  </v:textbox>
                  <w10:wrap type="none"/>
                </v:shape>
                <v:shape style="position:absolute;left:5359;top:1867;width:247;height:220" type="#_x0000_t202" id="docshape9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3,1</w:t>
                        </w:r>
                      </w:p>
                    </w:txbxContent>
                  </v:textbox>
                  <w10:wrap type="none"/>
                </v:shape>
                <v:shape style="position:absolute;left:9107;top:1583;width:247;height:220" type="#_x0000_t202" id="docshape9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4,2</w:t>
                        </w:r>
                      </w:p>
                    </w:txbxContent>
                  </v:textbox>
                  <w10:wrap type="none"/>
                </v:shape>
                <v:shape style="position:absolute;left:2861;top:1561;width:247;height:220" type="#_x0000_t202" id="docshape10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4,2</w:t>
                        </w:r>
                      </w:p>
                    </w:txbxContent>
                  </v:textbox>
                  <w10:wrap type="none"/>
                </v:shape>
                <v:shape style="position:absolute;left:2236;top:974;width:247;height:220" type="#_x0000_t202" id="docshape10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6,3</w:t>
                        </w:r>
                      </w:p>
                    </w:txbxContent>
                  </v:textbox>
                  <w10:wrap type="none"/>
                </v:shape>
                <v:shape style="position:absolute;left:1645;top:1018;width:247;height:2199" type="#_x0000_t202" id="docshape10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7,0</w:t>
                        </w:r>
                      </w:p>
                      <w:p>
                        <w:pPr>
                          <w:spacing w:before="63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6,0</w:t>
                        </w:r>
                      </w:p>
                      <w:p>
                        <w:pPr>
                          <w:spacing w:before="63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5,0</w:t>
                        </w:r>
                      </w:p>
                      <w:p>
                        <w:pPr>
                          <w:spacing w:before="62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4,0</w:t>
                        </w:r>
                      </w:p>
                      <w:p>
                        <w:pPr>
                          <w:spacing w:before="64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3,0</w:t>
                        </w:r>
                      </w:p>
                      <w:p>
                        <w:pPr>
                          <w:spacing w:before="62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2,0</w:t>
                        </w:r>
                      </w:p>
                      <w:p>
                        <w:pPr>
                          <w:spacing w:before="63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1,0</w:t>
                        </w:r>
                      </w:p>
                      <w:p>
                        <w:pPr>
                          <w:spacing w:before="63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0,0</w:t>
                        </w:r>
                      </w:p>
                    </w:txbxContent>
                  </v:textbox>
                  <w10:wrap type="none"/>
                </v:shape>
                <v:shape style="position:absolute;left:4563;top:546;width:2791;height:342" type="#_x0000_t202" id="docshape10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28"/>
                          </w:rPr>
                          <w:t>Taxa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28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28"/>
                          </w:rPr>
                          <w:t>LP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28"/>
                          </w:rPr>
                          <w:t>Never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28"/>
                          </w:rPr>
                          <w:t>Events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"/>
        <w:rPr>
          <w:sz w:val="12"/>
        </w:rPr>
      </w:pPr>
    </w:p>
    <w:p>
      <w:pPr>
        <w:spacing w:line="345" w:lineRule="auto" w:before="0"/>
        <w:ind w:left="516" w:right="510" w:firstLine="0"/>
        <w:jc w:val="center"/>
        <w:rPr>
          <w:sz w:val="16"/>
        </w:rPr>
      </w:pPr>
      <w:r>
        <w:rPr>
          <w:sz w:val="16"/>
        </w:rPr>
        <w:t>Gráfico</w:t>
      </w:r>
      <w:r>
        <w:rPr>
          <w:spacing w:val="-1"/>
          <w:sz w:val="16"/>
        </w:rPr>
        <w:t> </w:t>
      </w:r>
      <w:r>
        <w:rPr>
          <w:sz w:val="16"/>
        </w:rPr>
        <w:t>3 –</w:t>
      </w:r>
      <w:r>
        <w:rPr>
          <w:spacing w:val="-6"/>
          <w:sz w:val="16"/>
        </w:rPr>
        <w:t> </w:t>
      </w:r>
      <w:r>
        <w:rPr>
          <w:sz w:val="16"/>
        </w:rPr>
        <w:t>Taxa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Lesão</w:t>
      </w:r>
      <w:r>
        <w:rPr>
          <w:spacing w:val="-1"/>
          <w:sz w:val="16"/>
        </w:rPr>
        <w:t> </w:t>
      </w:r>
      <w:r>
        <w:rPr>
          <w:sz w:val="16"/>
        </w:rPr>
        <w:t>por</w:t>
      </w:r>
      <w:r>
        <w:rPr>
          <w:spacing w:val="-1"/>
          <w:sz w:val="16"/>
        </w:rPr>
        <w:t> </w:t>
      </w:r>
      <w:r>
        <w:rPr>
          <w:sz w:val="16"/>
        </w:rPr>
        <w:t>Pressão</w:t>
      </w:r>
      <w:r>
        <w:rPr>
          <w:spacing w:val="-6"/>
          <w:sz w:val="16"/>
        </w:rPr>
        <w:t> </w:t>
      </w:r>
      <w:r>
        <w:rPr>
          <w:sz w:val="16"/>
        </w:rPr>
        <w:t>x</w:t>
      </w:r>
      <w:r>
        <w:rPr>
          <w:spacing w:val="-2"/>
          <w:sz w:val="16"/>
        </w:rPr>
        <w:t> </w:t>
      </w:r>
      <w:r>
        <w:rPr>
          <w:sz w:val="16"/>
        </w:rPr>
        <w:t>Taxa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Lesões</w:t>
      </w:r>
      <w:r>
        <w:rPr>
          <w:spacing w:val="-2"/>
          <w:sz w:val="16"/>
        </w:rPr>
        <w:t> </w:t>
      </w:r>
      <w:r>
        <w:rPr>
          <w:sz w:val="16"/>
        </w:rPr>
        <w:t>Never</w:t>
      </w:r>
      <w:r>
        <w:rPr>
          <w:spacing w:val="-1"/>
          <w:sz w:val="16"/>
        </w:rPr>
        <w:t> </w:t>
      </w:r>
      <w:r>
        <w:rPr>
          <w:sz w:val="16"/>
        </w:rPr>
        <w:t>Events,</w:t>
      </w:r>
      <w:r>
        <w:rPr>
          <w:spacing w:val="-2"/>
          <w:sz w:val="16"/>
        </w:rPr>
        <w:t> </w:t>
      </w:r>
      <w:r>
        <w:rPr>
          <w:sz w:val="16"/>
        </w:rPr>
        <w:t>referente</w:t>
      </w:r>
      <w:r>
        <w:rPr>
          <w:spacing w:val="-1"/>
          <w:sz w:val="16"/>
        </w:rPr>
        <w:t> </w:t>
      </w:r>
      <w:r>
        <w:rPr>
          <w:sz w:val="16"/>
        </w:rPr>
        <w:t>aos</w:t>
      </w:r>
      <w:r>
        <w:rPr>
          <w:spacing w:val="-2"/>
          <w:sz w:val="16"/>
        </w:rPr>
        <w:t> </w:t>
      </w:r>
      <w:r>
        <w:rPr>
          <w:sz w:val="16"/>
        </w:rPr>
        <w:t>meses</w:t>
      </w:r>
      <w:r>
        <w:rPr>
          <w:spacing w:val="-2"/>
          <w:sz w:val="16"/>
        </w:rPr>
        <w:t> </w:t>
      </w:r>
      <w:r>
        <w:rPr>
          <w:sz w:val="16"/>
        </w:rPr>
        <w:t>de junho/2024 a</w:t>
      </w:r>
      <w:r>
        <w:rPr>
          <w:spacing w:val="-1"/>
          <w:sz w:val="16"/>
        </w:rPr>
        <w:t> </w:t>
      </w:r>
      <w:r>
        <w:rPr>
          <w:sz w:val="16"/>
        </w:rPr>
        <w:t>junho/2025.</w:t>
      </w:r>
      <w:r>
        <w:rPr>
          <w:spacing w:val="-1"/>
          <w:sz w:val="16"/>
        </w:rPr>
        <w:t> </w:t>
      </w:r>
      <w:r>
        <w:rPr>
          <w:sz w:val="16"/>
        </w:rPr>
        <w:t>Fonte: </w:t>
      </w:r>
      <w:r>
        <w:rPr>
          <w:spacing w:val="-2"/>
          <w:sz w:val="16"/>
        </w:rPr>
        <w:t>Sinapse.</w:t>
      </w:r>
    </w:p>
    <w:p>
      <w:pPr>
        <w:pStyle w:val="BodyText"/>
        <w:spacing w:before="90"/>
        <w:rPr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714" w:val="left" w:leader="none"/>
        </w:tabs>
        <w:spacing w:line="240" w:lineRule="auto" w:before="1" w:after="0"/>
        <w:ind w:left="1714" w:right="0" w:hanging="359"/>
        <w:jc w:val="left"/>
        <w:rPr>
          <w:rFonts w:ascii="Symbol" w:hAnsi="Symbol"/>
          <w:sz w:val="22"/>
        </w:rPr>
      </w:pPr>
      <w:bookmarkStart w:name="• Jornada da Cultura de Excelência:" w:id="31"/>
      <w:bookmarkEnd w:id="31"/>
      <w:r>
        <w:rPr/>
      </w:r>
      <w:r>
        <w:rPr>
          <w:rFonts w:ascii="Arial" w:hAnsi="Arial"/>
          <w:b/>
          <w:sz w:val="22"/>
        </w:rPr>
        <w:t>Jornada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Cultura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pacing w:val="-2"/>
          <w:sz w:val="22"/>
        </w:rPr>
        <w:t>Excelência:</w:t>
      </w:r>
    </w:p>
    <w:p>
      <w:pPr>
        <w:pStyle w:val="BodyText"/>
        <w:spacing w:line="348" w:lineRule="auto" w:before="120"/>
        <w:ind w:left="569" w:right="563" w:firstLine="720"/>
        <w:jc w:val="both"/>
      </w:pPr>
      <w:bookmarkStart w:name="Estamos em uma jornada contínua pela cul" w:id="32"/>
      <w:bookmarkEnd w:id="32"/>
      <w:r>
        <w:rPr/>
      </w:r>
      <w:r>
        <w:rPr/>
        <w:t>Estamos em uma jornada contínua pela cultura de excelência, e, como parte desse compromisso, realizamos trimestralmente a auditoria de prevalência, na qual todos os pacientes internados no hospital são avaliados.</w:t>
      </w:r>
      <w:r>
        <w:rPr>
          <w:spacing w:val="-1"/>
        </w:rPr>
        <w:t> </w:t>
      </w:r>
      <w:r>
        <w:rPr/>
        <w:t>Essa auditoria</w:t>
      </w:r>
      <w:r>
        <w:rPr>
          <w:spacing w:val="-2"/>
        </w:rPr>
        <w:t> </w:t>
      </w:r>
      <w:r>
        <w:rPr/>
        <w:t>tem como objetivo compreende</w:t>
      </w:r>
      <w:r>
        <w:rPr>
          <w:spacing w:val="-42"/>
        </w:rPr>
        <w:t> </w:t>
      </w:r>
      <w:r>
        <w:rPr/>
        <w:t>r,</w:t>
      </w:r>
      <w:r>
        <w:rPr>
          <w:spacing w:val="-1"/>
        </w:rPr>
        <w:t> </w:t>
      </w:r>
      <w:r>
        <w:rPr/>
        <w:t>por meio de</w:t>
      </w:r>
    </w:p>
    <w:p>
      <w:pPr>
        <w:pStyle w:val="BodyText"/>
        <w:spacing w:after="0" w:line="348" w:lineRule="auto"/>
        <w:jc w:val="both"/>
        <w:sectPr>
          <w:pgSz w:w="11910" w:h="16840"/>
          <w:pgMar w:header="1067" w:footer="580" w:top="2440" w:bottom="780" w:left="566" w:right="566"/>
        </w:sectPr>
      </w:pPr>
    </w:p>
    <w:p>
      <w:pPr>
        <w:pStyle w:val="BodyText"/>
        <w:spacing w:line="350" w:lineRule="auto" w:before="245" w:after="4"/>
        <w:ind w:left="569" w:right="564"/>
        <w:jc w:val="both"/>
      </w:pPr>
      <w:r>
        <w:rPr/>
        <w:t>uma amostra real e abrangente, o perfil assistencial</w:t>
      </w:r>
      <w:r>
        <w:rPr>
          <w:spacing w:val="-1"/>
        </w:rPr>
        <w:t> </w:t>
      </w:r>
      <w:r>
        <w:rPr/>
        <w:t>do hospital, fornecendo uma visão precisa do cenário atual. Observamos que, nos meses em que essa auditoria não é realizada, há uma fragilidade significativa no monitoramento, com evidência de subnotificações de lesões, o que reforça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importância</w:t>
      </w:r>
      <w:r>
        <w:rPr>
          <w:spacing w:val="-13"/>
        </w:rPr>
        <w:t> </w:t>
      </w:r>
      <w:r>
        <w:rPr/>
        <w:t>da</w:t>
      </w:r>
      <w:r>
        <w:rPr>
          <w:spacing w:val="-13"/>
        </w:rPr>
        <w:t> </w:t>
      </w:r>
      <w:r>
        <w:rPr/>
        <w:t>continuidade</w:t>
      </w:r>
      <w:r>
        <w:rPr>
          <w:spacing w:val="-13"/>
        </w:rPr>
        <w:t> </w:t>
      </w:r>
      <w:r>
        <w:rPr/>
        <w:t>e</w:t>
      </w:r>
      <w:r>
        <w:rPr>
          <w:spacing w:val="-13"/>
        </w:rPr>
        <w:t> </w:t>
      </w:r>
      <w:r>
        <w:rPr/>
        <w:t>da</w:t>
      </w:r>
      <w:r>
        <w:rPr>
          <w:spacing w:val="-13"/>
        </w:rPr>
        <w:t> </w:t>
      </w:r>
      <w:r>
        <w:rPr/>
        <w:t>regularidade</w:t>
      </w:r>
      <w:r>
        <w:rPr>
          <w:spacing w:val="-13"/>
        </w:rPr>
        <w:t> </w:t>
      </w:r>
      <w:r>
        <w:rPr/>
        <w:t>desse</w:t>
      </w:r>
      <w:r>
        <w:rPr>
          <w:spacing w:val="-13"/>
        </w:rPr>
        <w:t> </w:t>
      </w:r>
      <w:r>
        <w:rPr/>
        <w:t>processo</w:t>
      </w:r>
      <w:r>
        <w:rPr>
          <w:spacing w:val="-13"/>
        </w:rPr>
        <w:t> </w:t>
      </w:r>
      <w:r>
        <w:rPr/>
        <w:t>como</w:t>
      </w:r>
      <w:r>
        <w:rPr>
          <w:spacing w:val="-13"/>
        </w:rPr>
        <w:t> </w:t>
      </w:r>
      <w:r>
        <w:rPr/>
        <w:t>ferramenta</w:t>
      </w:r>
      <w:r>
        <w:rPr>
          <w:spacing w:val="-13"/>
        </w:rPr>
        <w:t> </w:t>
      </w:r>
      <w:r>
        <w:rPr/>
        <w:t>essencial para a melhoria da qualidade e segurança do cuidado.</w:t>
      </w:r>
    </w:p>
    <w:p>
      <w:pPr>
        <w:pStyle w:val="BodyText"/>
        <w:ind w:left="1714"/>
        <w:rPr>
          <w:sz w:val="20"/>
        </w:rPr>
      </w:pPr>
      <w:r>
        <w:rPr>
          <w:sz w:val="20"/>
        </w:rPr>
        <w:drawing>
          <wp:inline distT="0" distB="0" distL="0" distR="0">
            <wp:extent cx="4558848" cy="2545842"/>
            <wp:effectExtent l="0" t="0" r="0" b="0"/>
            <wp:docPr id="107" name="Image 107" descr="Grupo de pessoas posando para foto de uniforme  O conteúdo gerado por IA pode estar incorre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 descr="Grupo de pessoas posando para foto de uniforme  O conteúdo gerado por IA pode estar incorreto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8848" cy="254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350" w:lineRule="auto" w:after="2"/>
        <w:ind w:left="569" w:right="565" w:firstLine="720"/>
        <w:jc w:val="both"/>
      </w:pPr>
      <w:bookmarkStart w:name="Dentre as ações desenvolvidas pelo servi" w:id="33"/>
      <w:bookmarkEnd w:id="33"/>
      <w:r>
        <w:rPr/>
      </w:r>
      <w:r>
        <w:rPr/>
        <w:t>Dentre as ações desenvolvidas pelo serviço de Estomaterapia, destaca-se a realização de </w:t>
      </w:r>
      <w:r>
        <w:rPr>
          <w:spacing w:val="-2"/>
        </w:rPr>
        <w:t>intervenções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2"/>
        </w:rPr>
        <w:t>loco,</w:t>
      </w:r>
      <w:r>
        <w:rPr>
          <w:spacing w:val="-10"/>
        </w:rPr>
        <w:t> </w:t>
      </w:r>
      <w:r>
        <w:rPr>
          <w:spacing w:val="-2"/>
        </w:rPr>
        <w:t>como</w:t>
      </w:r>
      <w:r>
        <w:rPr>
          <w:spacing w:val="-5"/>
        </w:rPr>
        <w:t> </w:t>
      </w:r>
      <w:r>
        <w:rPr>
          <w:spacing w:val="-2"/>
        </w:rPr>
        <w:t>o </w:t>
      </w:r>
      <w:r>
        <w:rPr>
          <w:rFonts w:ascii="Arial" w:hAnsi="Arial"/>
          <w:i/>
          <w:spacing w:val="-2"/>
        </w:rPr>
        <w:t>Minuto</w:t>
      </w:r>
      <w:r>
        <w:rPr>
          <w:rFonts w:ascii="Arial" w:hAnsi="Arial"/>
          <w:i/>
          <w:spacing w:val="-5"/>
        </w:rPr>
        <w:t> </w:t>
      </w:r>
      <w:r>
        <w:rPr>
          <w:rFonts w:ascii="Arial" w:hAnsi="Arial"/>
          <w:i/>
          <w:spacing w:val="-2"/>
        </w:rPr>
        <w:t>Pele</w:t>
      </w:r>
      <w:r>
        <w:rPr>
          <w:rFonts w:ascii="Arial" w:hAnsi="Arial"/>
          <w:i/>
          <w:spacing w:val="-4"/>
        </w:rPr>
        <w:t> </w:t>
      </w:r>
      <w:r>
        <w:rPr>
          <w:spacing w:val="-2"/>
        </w:rPr>
        <w:t>—</w:t>
      </w:r>
      <w:r>
        <w:rPr>
          <w:spacing w:val="-8"/>
        </w:rPr>
        <w:t> </w:t>
      </w:r>
      <w:r>
        <w:rPr>
          <w:spacing w:val="-2"/>
        </w:rPr>
        <w:t>um</w:t>
      </w:r>
      <w:r>
        <w:rPr>
          <w:spacing w:val="-13"/>
        </w:rPr>
        <w:t> </w:t>
      </w:r>
      <w:r>
        <w:rPr>
          <w:spacing w:val="-2"/>
        </w:rPr>
        <w:t>momento</w:t>
      </w:r>
      <w:r>
        <w:rPr>
          <w:spacing w:val="-11"/>
        </w:rPr>
        <w:t> </w:t>
      </w:r>
      <w:r>
        <w:rPr>
          <w:spacing w:val="-2"/>
        </w:rPr>
        <w:t>breve,</w:t>
      </w:r>
      <w:r>
        <w:rPr>
          <w:spacing w:val="-10"/>
        </w:rPr>
        <w:t> </w:t>
      </w:r>
      <w:r>
        <w:rPr>
          <w:spacing w:val="-2"/>
        </w:rPr>
        <w:t>realizado</w:t>
      </w:r>
      <w:r>
        <w:rPr>
          <w:spacing w:val="-5"/>
        </w:rPr>
        <w:t> </w:t>
      </w:r>
      <w:r>
        <w:rPr>
          <w:spacing w:val="-2"/>
        </w:rPr>
        <w:t>durante</w:t>
      </w:r>
      <w:r>
        <w:rPr>
          <w:spacing w:val="-5"/>
        </w:rPr>
        <w:t> </w:t>
      </w:r>
      <w:r>
        <w:rPr>
          <w:spacing w:val="-2"/>
        </w:rPr>
        <w:t>o</w:t>
      </w:r>
      <w:r>
        <w:rPr>
          <w:spacing w:val="-5"/>
        </w:rPr>
        <w:t> </w:t>
      </w:r>
      <w:r>
        <w:rPr>
          <w:spacing w:val="-2"/>
        </w:rPr>
        <w:t>plantão,</w:t>
      </w:r>
      <w:r>
        <w:rPr>
          <w:spacing w:val="-10"/>
        </w:rPr>
        <w:t> </w:t>
      </w:r>
      <w:r>
        <w:rPr>
          <w:spacing w:val="-2"/>
        </w:rPr>
        <w:t>voltado </w:t>
      </w:r>
      <w:r>
        <w:rPr/>
        <w:t>à discussão de temas relacionados às boas práticas no cuidado com a pele. Essa ação tem como objetivo promover a educação contínua da equipe assistencial, reforçando condutas preventivas e fortalecendo a cultura de segurança do paciente no dia a dia do cuidado.</w:t>
      </w:r>
    </w:p>
    <w:p>
      <w:pPr>
        <w:pStyle w:val="BodyText"/>
        <w:ind w:left="568"/>
        <w:rPr>
          <w:sz w:val="20"/>
        </w:rPr>
      </w:pPr>
      <w:r>
        <w:rPr>
          <w:sz w:val="20"/>
        </w:rPr>
        <w:drawing>
          <wp:inline distT="0" distB="0" distL="0" distR="0">
            <wp:extent cx="5610668" cy="1920906"/>
            <wp:effectExtent l="0" t="0" r="0" b="0"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68" cy="192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10" w:h="16840"/>
          <w:pgMar w:header="1067" w:footer="580" w:top="2440" w:bottom="780" w:left="566" w:right="566"/>
        </w:sectPr>
      </w:pPr>
    </w:p>
    <w:p>
      <w:pPr>
        <w:pStyle w:val="BodyText"/>
        <w:spacing w:before="21"/>
        <w:rPr>
          <w:sz w:val="20"/>
        </w:rPr>
      </w:pPr>
    </w:p>
    <w:p>
      <w:pPr>
        <w:pStyle w:val="BodyText"/>
        <w:ind w:left="56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600065" cy="2400300"/>
                <wp:effectExtent l="0" t="0" r="0" b="0"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5600065" cy="2400300"/>
                          <a:chExt cx="5600065" cy="2400300"/>
                        </a:xfrm>
                      </wpg:grpSpPr>
                      <pic:pic>
                        <pic:nvPicPr>
                          <pic:cNvPr id="110" name="Image 110" descr="Grupo de pessoas posando para foto  O conteúdo gerado por IA pode estar incorreto.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845" cy="24000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 descr="Pessoas sentadas ao redor de um computador  O conteúdo gerado por IA pode estar incorreto.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35559"/>
                            <a:ext cx="2894838" cy="2364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40.95pt;height:189pt;mso-position-horizontal-relative:char;mso-position-vertical-relative:line" id="docshapegroup104" coordorigin="0,0" coordsize="8819,3780">
                <v:shape style="position:absolute;left:0;top:0;width:4247;height:3780" type="#_x0000_t75" id="docshape105" alt="Grupo de pessoas posando para foto  O conteúdo gerado por IA pode estar incorreto." stroked="false">
                  <v:imagedata r:id="rId23" o:title=""/>
                </v:shape>
                <v:shape style="position:absolute;left:4260;top:56;width:4559;height:3724" type="#_x0000_t75" id="docshape106" alt="Pessoas sentadas ao redor de um computador  O conteúdo gerado por IA pode estar incorreto." stroked="false">
                  <v:imagedata r:id="rId24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7"/>
      </w:pPr>
    </w:p>
    <w:p>
      <w:pPr>
        <w:pStyle w:val="ListParagraph"/>
        <w:numPr>
          <w:ilvl w:val="1"/>
          <w:numId w:val="1"/>
        </w:numPr>
        <w:tabs>
          <w:tab w:pos="722" w:val="left" w:leader="none"/>
        </w:tabs>
        <w:spacing w:line="240" w:lineRule="auto" w:before="1" w:after="0"/>
        <w:ind w:left="722" w:right="0" w:hanging="398"/>
        <w:jc w:val="left"/>
        <w:rPr>
          <w:rFonts w:ascii="Arial"/>
          <w:b/>
          <w:sz w:val="24"/>
        </w:rPr>
      </w:pPr>
      <w:bookmarkStart w:name="2.2 Atendimentos e consultas ambulatoria" w:id="34"/>
      <w:bookmarkEnd w:id="34"/>
      <w:r>
        <w:rPr/>
      </w:r>
      <w:r>
        <w:rPr>
          <w:rFonts w:ascii="Arial"/>
          <w:b/>
          <w:sz w:val="22"/>
        </w:rPr>
        <w:t>Atendimentos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consultas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pacing w:val="-2"/>
          <w:sz w:val="22"/>
        </w:rPr>
        <w:t>ambulatoriais</w:t>
      </w:r>
    </w:p>
    <w:p>
      <w:pPr>
        <w:pStyle w:val="BodyText"/>
        <w:spacing w:before="56"/>
        <w:rPr>
          <w:rFonts w:ascii="Arial"/>
          <w:b/>
        </w:rPr>
      </w:pPr>
    </w:p>
    <w:p>
      <w:pPr>
        <w:pStyle w:val="BodyText"/>
        <w:spacing w:line="232" w:lineRule="auto"/>
        <w:ind w:left="569" w:right="413" w:firstLine="480"/>
      </w:pPr>
      <w:r>
        <w:rPr/>
        <w:t>Em</w:t>
      </w:r>
      <w:r>
        <w:rPr>
          <w:spacing w:val="-2"/>
        </w:rPr>
        <w:t> </w:t>
      </w:r>
      <w:r>
        <w:rPr/>
        <w:t>junho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2025,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metas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consultas</w:t>
      </w:r>
      <w:r>
        <w:rPr>
          <w:spacing w:val="-4"/>
        </w:rPr>
        <w:t> </w:t>
      </w:r>
      <w:r>
        <w:rPr/>
        <w:t>ambulatoriais</w:t>
      </w:r>
      <w:r>
        <w:rPr>
          <w:spacing w:val="-9"/>
        </w:rPr>
        <w:t> </w:t>
      </w:r>
      <w:r>
        <w:rPr/>
        <w:t>do</w:t>
      </w:r>
      <w:r>
        <w:rPr>
          <w:spacing w:val="-1"/>
        </w:rPr>
        <w:t> </w:t>
      </w:r>
      <w:r>
        <w:rPr/>
        <w:t>HUGO</w:t>
      </w:r>
      <w:r>
        <w:rPr>
          <w:spacing w:val="-5"/>
        </w:rPr>
        <w:t> </w:t>
      </w:r>
      <w:r>
        <w:rPr/>
        <w:t>foram</w:t>
      </w:r>
      <w:r>
        <w:rPr>
          <w:spacing w:val="-7"/>
        </w:rPr>
        <w:t> </w:t>
      </w:r>
      <w:r>
        <w:rPr/>
        <w:t>atingidas parcialmente, conforme demonstrado nas tabelas abaixo.</w:t>
      </w:r>
    </w:p>
    <w:p>
      <w:pPr>
        <w:pStyle w:val="BodyText"/>
      </w:pPr>
    </w:p>
    <w:p>
      <w:pPr>
        <w:pStyle w:val="BodyText"/>
        <w:spacing w:before="227"/>
      </w:pPr>
    </w:p>
    <w:p>
      <w:pPr>
        <w:spacing w:before="0" w:after="19"/>
        <w:ind w:left="569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Tabela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–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Produção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acumulada</w:t>
      </w:r>
      <w:r>
        <w:rPr>
          <w:rFonts w:ascii="Arial" w:hAnsi="Arial"/>
          <w:b/>
          <w:spacing w:val="-2"/>
          <w:sz w:val="22"/>
        </w:rPr>
        <w:t> Junho/2025</w:t>
      </w:r>
    </w:p>
    <w:tbl>
      <w:tblPr>
        <w:tblW w:w="0" w:type="auto"/>
        <w:jc w:val="left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2"/>
        <w:gridCol w:w="760"/>
        <w:gridCol w:w="4432"/>
      </w:tblGrid>
      <w:tr>
        <w:trPr>
          <w:trHeight w:val="385" w:hRule="atLeast"/>
        </w:trPr>
        <w:tc>
          <w:tcPr>
            <w:tcW w:w="4672" w:type="dxa"/>
          </w:tcPr>
          <w:p>
            <w:pPr>
              <w:pStyle w:val="TableParagraph"/>
              <w:spacing w:before="63"/>
              <w:ind w:left="7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Atendimentos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ambulatoriais</w:t>
            </w:r>
          </w:p>
        </w:tc>
        <w:tc>
          <w:tcPr>
            <w:tcW w:w="760" w:type="dxa"/>
          </w:tcPr>
          <w:p>
            <w:pPr>
              <w:pStyle w:val="TableParagraph"/>
              <w:spacing w:before="63"/>
              <w:ind w:left="1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4432" w:type="dxa"/>
          </w:tcPr>
          <w:p>
            <w:pPr>
              <w:pStyle w:val="TableParagraph"/>
              <w:spacing w:line="246" w:lineRule="exact" w:before="118"/>
              <w:ind w:left="20" w:right="14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Junho</w:t>
            </w:r>
            <w:r>
              <w:rPr>
                <w:rFonts w:ascii="Arial" w:hAnsi="Arial"/>
                <w:b/>
                <w:spacing w:val="1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2025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8"/>
              <w:ind w:left="7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Consulta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médica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na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Atenção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Especializada</w:t>
            </w:r>
          </w:p>
        </w:tc>
        <w:tc>
          <w:tcPr>
            <w:tcW w:w="760" w:type="dxa"/>
          </w:tcPr>
          <w:p>
            <w:pPr>
              <w:pStyle w:val="TableParagraph"/>
              <w:spacing w:before="58"/>
              <w:ind w:left="12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3.400</w:t>
            </w:r>
          </w:p>
        </w:tc>
        <w:tc>
          <w:tcPr>
            <w:tcW w:w="4432" w:type="dxa"/>
          </w:tcPr>
          <w:p>
            <w:pPr>
              <w:pStyle w:val="TableParagraph"/>
              <w:spacing w:before="48"/>
              <w:ind w:left="20" w:right="1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2.926</w:t>
            </w:r>
          </w:p>
        </w:tc>
      </w:tr>
      <w:tr>
        <w:trPr>
          <w:trHeight w:val="525" w:hRule="atLeast"/>
        </w:trPr>
        <w:tc>
          <w:tcPr>
            <w:tcW w:w="4672" w:type="dxa"/>
          </w:tcPr>
          <w:p>
            <w:pPr>
              <w:pStyle w:val="TableParagraph"/>
              <w:tabs>
                <w:tab w:pos="1282" w:val="left" w:leader="none"/>
                <w:tab w:pos="3205" w:val="left" w:leader="none"/>
                <w:tab w:pos="3794" w:val="left" w:leader="none"/>
              </w:tabs>
              <w:spacing w:line="250" w:lineRule="exact" w:before="5"/>
              <w:ind w:left="70" w:right="58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pacing w:val="-2"/>
                <w:sz w:val="22"/>
              </w:rPr>
              <w:t>Consulta</w:t>
            </w:r>
            <w:r>
              <w:rPr>
                <w:rFonts w:ascii="Arial MT" w:hAnsi="Arial MT"/>
                <w:sz w:val="22"/>
              </w:rPr>
              <w:tab/>
            </w:r>
            <w:r>
              <w:rPr>
                <w:rFonts w:ascii="Arial MT" w:hAnsi="Arial MT"/>
                <w:spacing w:val="-2"/>
                <w:sz w:val="22"/>
              </w:rPr>
              <w:t>multiprofissional</w:t>
            </w:r>
            <w:r>
              <w:rPr>
                <w:rFonts w:ascii="Arial MT" w:hAnsi="Arial MT"/>
                <w:sz w:val="22"/>
              </w:rPr>
              <w:tab/>
            </w:r>
            <w:r>
              <w:rPr>
                <w:rFonts w:ascii="Arial MT" w:hAnsi="Arial MT"/>
                <w:spacing w:val="-6"/>
                <w:sz w:val="22"/>
              </w:rPr>
              <w:t>na</w:t>
            </w:r>
            <w:r>
              <w:rPr>
                <w:rFonts w:ascii="Arial MT" w:hAnsi="Arial MT"/>
                <w:sz w:val="22"/>
              </w:rPr>
              <w:tab/>
            </w:r>
            <w:r>
              <w:rPr>
                <w:rFonts w:ascii="Arial MT" w:hAnsi="Arial MT"/>
                <w:spacing w:val="-2"/>
                <w:sz w:val="22"/>
              </w:rPr>
              <w:t>Atenção Especializada</w:t>
            </w:r>
          </w:p>
        </w:tc>
        <w:tc>
          <w:tcPr>
            <w:tcW w:w="760" w:type="dxa"/>
          </w:tcPr>
          <w:p>
            <w:pPr>
              <w:pStyle w:val="TableParagraph"/>
              <w:spacing w:before="133"/>
              <w:ind w:left="12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1.700</w:t>
            </w:r>
          </w:p>
        </w:tc>
        <w:tc>
          <w:tcPr>
            <w:tcW w:w="4432" w:type="dxa"/>
          </w:tcPr>
          <w:p>
            <w:pPr>
              <w:pStyle w:val="TableParagraph"/>
              <w:spacing w:before="123"/>
              <w:ind w:left="20" w:right="1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1.995</w:t>
            </w:r>
          </w:p>
        </w:tc>
      </w:tr>
      <w:tr>
        <w:trPr>
          <w:trHeight w:val="520" w:hRule="atLeast"/>
        </w:trPr>
        <w:tc>
          <w:tcPr>
            <w:tcW w:w="4672" w:type="dxa"/>
          </w:tcPr>
          <w:p>
            <w:pPr>
              <w:pStyle w:val="TableParagraph"/>
              <w:tabs>
                <w:tab w:pos="1513" w:val="left" w:leader="none"/>
                <w:tab w:pos="3406" w:val="left" w:leader="none"/>
              </w:tabs>
              <w:spacing w:line="246" w:lineRule="exact" w:before="8"/>
              <w:ind w:left="70" w:right="56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Pequeno</w:t>
            </w:r>
            <w:r>
              <w:rPr>
                <w:rFonts w:ascii="Arial MT"/>
                <w:sz w:val="22"/>
              </w:rPr>
              <w:tab/>
            </w:r>
            <w:r>
              <w:rPr>
                <w:rFonts w:ascii="Arial MT"/>
                <w:spacing w:val="-2"/>
                <w:sz w:val="22"/>
              </w:rPr>
              <w:t>procedimento</w:t>
            </w:r>
            <w:r>
              <w:rPr>
                <w:rFonts w:ascii="Arial MT"/>
                <w:sz w:val="22"/>
              </w:rPr>
              <w:tab/>
            </w:r>
            <w:r>
              <w:rPr>
                <w:rFonts w:ascii="Arial MT"/>
                <w:spacing w:val="-2"/>
                <w:sz w:val="22"/>
              </w:rPr>
              <w:t>ambulatorial </w:t>
            </w:r>
            <w:r>
              <w:rPr>
                <w:rFonts w:ascii="Arial MT"/>
                <w:sz w:val="22"/>
              </w:rPr>
              <w:t>(faturamento via BPA)</w:t>
            </w:r>
          </w:p>
        </w:tc>
        <w:tc>
          <w:tcPr>
            <w:tcW w:w="760" w:type="dxa"/>
          </w:tcPr>
          <w:p>
            <w:pPr>
              <w:pStyle w:val="TableParagraph"/>
              <w:spacing w:before="128"/>
              <w:ind w:left="12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405</w:t>
            </w:r>
          </w:p>
        </w:tc>
        <w:tc>
          <w:tcPr>
            <w:tcW w:w="4432" w:type="dxa"/>
          </w:tcPr>
          <w:p>
            <w:pPr>
              <w:pStyle w:val="TableParagraph"/>
              <w:spacing w:before="118"/>
              <w:ind w:left="20" w:righ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314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3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Hospital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pacing w:val="-5"/>
                <w:sz w:val="22"/>
              </w:rPr>
              <w:t>Dia</w:t>
            </w:r>
          </w:p>
        </w:tc>
        <w:tc>
          <w:tcPr>
            <w:tcW w:w="760" w:type="dxa"/>
          </w:tcPr>
          <w:p>
            <w:pPr>
              <w:pStyle w:val="TableParagraph"/>
              <w:spacing w:before="53"/>
              <w:ind w:left="12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365</w:t>
            </w:r>
          </w:p>
        </w:tc>
        <w:tc>
          <w:tcPr>
            <w:tcW w:w="4432" w:type="dxa"/>
          </w:tcPr>
          <w:p>
            <w:pPr>
              <w:pStyle w:val="TableParagraph"/>
              <w:spacing w:before="44"/>
              <w:ind w:left="20" w:righ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389</w:t>
            </w:r>
          </w:p>
        </w:tc>
      </w:tr>
      <w:tr>
        <w:trPr>
          <w:trHeight w:val="359" w:hRule="atLeast"/>
        </w:trPr>
        <w:tc>
          <w:tcPr>
            <w:tcW w:w="9864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4672" w:type="dxa"/>
          </w:tcPr>
          <w:p>
            <w:pPr>
              <w:pStyle w:val="TableParagraph"/>
              <w:spacing w:before="33"/>
              <w:ind w:left="7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Consulta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médica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na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atenção</w:t>
            </w:r>
            <w:r>
              <w:rPr>
                <w:rFonts w:ascii="Arial" w:hAnsi="Arial"/>
                <w:b/>
                <w:spacing w:val="-2"/>
                <w:sz w:val="22"/>
              </w:rPr>
              <w:t> especializada</w:t>
            </w:r>
          </w:p>
        </w:tc>
        <w:tc>
          <w:tcPr>
            <w:tcW w:w="760" w:type="dxa"/>
          </w:tcPr>
          <w:p>
            <w:pPr>
              <w:pStyle w:val="TableParagraph"/>
              <w:spacing w:before="43"/>
              <w:ind w:left="1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4432" w:type="dxa"/>
          </w:tcPr>
          <w:p>
            <w:pPr>
              <w:pStyle w:val="TableParagraph"/>
              <w:spacing w:before="43"/>
              <w:ind w:left="20" w:right="14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Junho</w:t>
            </w:r>
            <w:r>
              <w:rPr>
                <w:rFonts w:ascii="Arial" w:hAnsi="Arial"/>
                <w:b/>
                <w:spacing w:val="1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2025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4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Anestesiologia</w:t>
            </w:r>
          </w:p>
        </w:tc>
        <w:tc>
          <w:tcPr>
            <w:tcW w:w="760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3.400</w:t>
            </w:r>
          </w:p>
        </w:tc>
        <w:tc>
          <w:tcPr>
            <w:tcW w:w="4432" w:type="dxa"/>
          </w:tcPr>
          <w:p>
            <w:pPr>
              <w:pStyle w:val="TableParagraph"/>
              <w:spacing w:before="43"/>
              <w:ind w:left="20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74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4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Cardiologia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4"/>
              <w:ind w:left="20" w:right="1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229</w:t>
            </w:r>
          </w:p>
        </w:tc>
      </w:tr>
      <w:tr>
        <w:trPr>
          <w:trHeight w:val="360" w:hRule="atLeast"/>
        </w:trPr>
        <w:tc>
          <w:tcPr>
            <w:tcW w:w="4672" w:type="dxa"/>
          </w:tcPr>
          <w:p>
            <w:pPr>
              <w:pStyle w:val="TableParagraph"/>
              <w:spacing w:before="48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Cirurgia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Vascular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38"/>
              <w:ind w:left="20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61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3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Cirurgia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Geral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3"/>
              <w:ind w:left="20" w:right="1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257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3"/>
              <w:ind w:left="7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Cirurgia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Torácica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3"/>
              <w:ind w:left="20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24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4"/>
              <w:ind w:left="7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Clínica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Médica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4"/>
              <w:ind w:left="20" w:right="1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</w:tr>
      <w:tr>
        <w:trPr>
          <w:trHeight w:val="369" w:hRule="atLeast"/>
        </w:trPr>
        <w:tc>
          <w:tcPr>
            <w:tcW w:w="4672" w:type="dxa"/>
          </w:tcPr>
          <w:p>
            <w:pPr>
              <w:pStyle w:val="TableParagraph"/>
              <w:spacing w:before="53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Geriatria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3"/>
              <w:ind w:left="20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</w:tr>
    </w:tbl>
    <w:p>
      <w:pPr>
        <w:pStyle w:val="TableParagraph"/>
        <w:spacing w:after="0"/>
        <w:jc w:val="center"/>
        <w:rPr>
          <w:rFonts w:ascii="Arial MT"/>
          <w:sz w:val="22"/>
        </w:rPr>
        <w:sectPr>
          <w:pgSz w:w="11910" w:h="16840"/>
          <w:pgMar w:header="1067" w:footer="580" w:top="2440" w:bottom="780" w:left="566" w:right="566"/>
        </w:sectPr>
      </w:pPr>
    </w:p>
    <w:p>
      <w:pPr>
        <w:pStyle w:val="BodyText"/>
        <w:spacing w:before="22"/>
        <w:rPr>
          <w:rFonts w:ascii="Arial"/>
          <w:b/>
          <w:sz w:val="20"/>
        </w:rPr>
      </w:pPr>
    </w:p>
    <w:tbl>
      <w:tblPr>
        <w:tblW w:w="0" w:type="auto"/>
        <w:jc w:val="left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2"/>
        <w:gridCol w:w="760"/>
        <w:gridCol w:w="4432"/>
      </w:tblGrid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3"/>
              <w:ind w:left="75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Neurologia</w:t>
            </w:r>
            <w:r>
              <w:rPr>
                <w:rFonts w:ascii="Arial MT" w:hAnsi="Arial MT"/>
                <w:spacing w:val="-2"/>
                <w:sz w:val="22"/>
              </w:rPr>
              <w:t> Clínica</w:t>
            </w:r>
          </w:p>
        </w:tc>
        <w:tc>
          <w:tcPr>
            <w:tcW w:w="76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3"/>
              <w:ind w:left="20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200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3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Neurocirurgia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83"/>
              <w:ind w:left="2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82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3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Otorrinolaringologia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53"/>
              <w:ind w:left="20" w:righ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3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Ortopedia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e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Traumatologia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3"/>
              <w:ind w:left="20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1600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4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Endocrinologia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4"/>
              <w:ind w:left="2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91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3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Nefrologia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3"/>
              <w:ind w:left="2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38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3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Infectologia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3"/>
              <w:ind w:left="2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40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3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Gastroenterologia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3"/>
              <w:ind w:left="2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45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4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Pneumologia/Tisiologia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4"/>
              <w:ind w:left="2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50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3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Urologia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3"/>
              <w:ind w:left="2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3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Hematologia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3"/>
              <w:ind w:left="2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34</w:t>
            </w:r>
          </w:p>
        </w:tc>
      </w:tr>
      <w:tr>
        <w:trPr>
          <w:trHeight w:val="370" w:hRule="atLeast"/>
        </w:trPr>
        <w:tc>
          <w:tcPr>
            <w:tcW w:w="4672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/>
              <w:ind w:left="7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/>
              <w:ind w:left="1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2.926</w:t>
            </w:r>
          </w:p>
        </w:tc>
      </w:tr>
      <w:tr>
        <w:trPr>
          <w:trHeight w:val="315" w:hRule="atLeast"/>
        </w:trPr>
        <w:tc>
          <w:tcPr>
            <w:tcW w:w="986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0" w:hRule="atLeast"/>
        </w:trPr>
        <w:tc>
          <w:tcPr>
            <w:tcW w:w="4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267" w:val="left" w:leader="none"/>
                <w:tab w:pos="3283" w:val="left" w:leader="none"/>
                <w:tab w:pos="3783" w:val="left" w:leader="none"/>
              </w:tabs>
              <w:spacing w:line="246" w:lineRule="exact" w:before="8"/>
              <w:ind w:left="77" w:right="47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Consulta</w:t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pacing w:val="-2"/>
                <w:sz w:val="22"/>
              </w:rPr>
              <w:t>multiprofissional</w:t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pacing w:val="-6"/>
                <w:sz w:val="22"/>
              </w:rPr>
              <w:t>na</w:t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pacing w:val="-2"/>
                <w:sz w:val="22"/>
              </w:rPr>
              <w:t>atenção especializada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4"/>
              <w:ind w:left="1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4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4"/>
              <w:ind w:left="16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Junho</w:t>
            </w:r>
            <w:r>
              <w:rPr>
                <w:rFonts w:ascii="Arial" w:hAnsi="Arial"/>
                <w:b/>
                <w:spacing w:val="1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2025</w:t>
            </w:r>
          </w:p>
        </w:tc>
      </w:tr>
      <w:tr>
        <w:trPr>
          <w:trHeight w:val="370" w:hRule="atLeast"/>
        </w:trPr>
        <w:tc>
          <w:tcPr>
            <w:tcW w:w="46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58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Buco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Maxilo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Facial</w:t>
            </w:r>
          </w:p>
        </w:tc>
        <w:tc>
          <w:tcPr>
            <w:tcW w:w="760" w:type="dxa"/>
            <w:vMerge w:val="restart"/>
            <w:tcBorders>
              <w:top w:val="single" w:sz="2" w:space="0" w:color="000000"/>
              <w:bottom w:val="nil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251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1.700</w:t>
            </w:r>
          </w:p>
        </w:tc>
        <w:tc>
          <w:tcPr>
            <w:tcW w:w="44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48"/>
              <w:ind w:left="20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672" w:type="dxa"/>
          </w:tcPr>
          <w:p>
            <w:pPr>
              <w:pStyle w:val="TableParagraph"/>
              <w:spacing w:before="63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Enfermagem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53"/>
              <w:ind w:left="20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1.820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8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Fisioterapia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58"/>
              <w:ind w:left="20" w:righ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9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Fonoaudiologia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59"/>
              <w:ind w:left="20" w:righ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8"/>
              <w:ind w:left="75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pacing w:val="-2"/>
                <w:sz w:val="22"/>
              </w:rPr>
              <w:t>Nutrição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8"/>
              <w:ind w:left="2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8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Psicologia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58"/>
              <w:ind w:left="20" w:righ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8"/>
              <w:ind w:left="75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Serviço </w:t>
            </w:r>
            <w:r>
              <w:rPr>
                <w:rFonts w:ascii="Arial MT" w:hAnsi="Arial MT"/>
                <w:spacing w:val="-2"/>
                <w:sz w:val="22"/>
              </w:rPr>
              <w:t>Social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58"/>
              <w:ind w:left="20" w:righ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8"/>
              <w:ind w:left="7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Terapia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Ocupacional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8"/>
              <w:ind w:left="2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59</w:t>
            </w:r>
          </w:p>
        </w:tc>
      </w:tr>
      <w:tr>
        <w:trPr>
          <w:trHeight w:val="370" w:hRule="atLeast"/>
        </w:trPr>
        <w:tc>
          <w:tcPr>
            <w:tcW w:w="4672" w:type="dxa"/>
          </w:tcPr>
          <w:p>
            <w:pPr>
              <w:pStyle w:val="TableParagraph"/>
              <w:spacing w:before="58"/>
              <w:ind w:left="75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pacing w:val="-2"/>
                <w:sz w:val="22"/>
              </w:rPr>
              <w:t>Farmácia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58"/>
              <w:ind w:left="20" w:righ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4672" w:type="dxa"/>
          </w:tcPr>
          <w:p>
            <w:pPr>
              <w:pStyle w:val="TableParagraph"/>
              <w:spacing w:before="58"/>
              <w:ind w:left="7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>
            <w:pPr>
              <w:pStyle w:val="TableParagraph"/>
              <w:spacing w:before="48"/>
              <w:ind w:left="20" w:right="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1.995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71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691" w:val="left" w:leader="none"/>
        </w:tabs>
        <w:spacing w:line="240" w:lineRule="auto" w:before="0" w:after="0"/>
        <w:ind w:left="691" w:right="0" w:hanging="367"/>
        <w:jc w:val="left"/>
        <w:rPr>
          <w:rFonts w:ascii="Arial" w:hAnsi="Arial"/>
          <w:b/>
          <w:sz w:val="22"/>
        </w:rPr>
      </w:pPr>
      <w:bookmarkStart w:name="2.3 Análise Crítica" w:id="35"/>
      <w:bookmarkEnd w:id="35"/>
      <w:r>
        <w:rPr/>
      </w: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Crítica</w:t>
      </w:r>
    </w:p>
    <w:p>
      <w:pPr>
        <w:pStyle w:val="BodyText"/>
        <w:spacing w:before="129"/>
        <w:rPr>
          <w:rFonts w:ascii="Arial"/>
          <w:b/>
        </w:rPr>
      </w:pPr>
    </w:p>
    <w:p>
      <w:pPr>
        <w:pStyle w:val="BodyText"/>
        <w:spacing w:line="350" w:lineRule="auto"/>
        <w:ind w:left="569" w:right="560" w:firstLine="720"/>
        <w:jc w:val="both"/>
      </w:pPr>
      <w:r>
        <w:rPr/>
        <w:t>Em junho de 2025, as metas de consultas ambulatoriais do HUGO foram atingidas parcialmente.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produção</w:t>
      </w:r>
      <w:r>
        <w:rPr>
          <w:spacing w:val="-8"/>
        </w:rPr>
        <w:t> </w:t>
      </w:r>
      <w:r>
        <w:rPr/>
        <w:t>acumulada</w:t>
      </w:r>
      <w:r>
        <w:rPr>
          <w:spacing w:val="-3"/>
        </w:rPr>
        <w:t> </w:t>
      </w:r>
      <w:r>
        <w:rPr/>
        <w:t>totalizou</w:t>
      </w:r>
      <w:r>
        <w:rPr>
          <w:spacing w:val="-3"/>
        </w:rPr>
        <w:t> </w:t>
      </w:r>
      <w:r>
        <w:rPr/>
        <w:t>2.926</w:t>
      </w:r>
      <w:r>
        <w:rPr>
          <w:spacing w:val="-3"/>
        </w:rPr>
        <w:t> </w:t>
      </w:r>
      <w:r>
        <w:rPr/>
        <w:t>consultas</w:t>
      </w:r>
      <w:r>
        <w:rPr>
          <w:spacing w:val="-6"/>
        </w:rPr>
        <w:t> </w:t>
      </w:r>
      <w:r>
        <w:rPr/>
        <w:t>médicas</w:t>
      </w:r>
      <w:r>
        <w:rPr>
          <w:spacing w:val="-11"/>
        </w:rPr>
        <w:t> </w:t>
      </w:r>
      <w:r>
        <w:rPr/>
        <w:t>na</w:t>
      </w:r>
      <w:r>
        <w:rPr>
          <w:spacing w:val="-8"/>
        </w:rPr>
        <w:t> </w:t>
      </w:r>
      <w:r>
        <w:rPr/>
        <w:t>Atenção</w:t>
      </w:r>
      <w:r>
        <w:rPr>
          <w:spacing w:val="-3"/>
        </w:rPr>
        <w:t> </w:t>
      </w:r>
      <w:r>
        <w:rPr/>
        <w:t>Especializada, frente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uma</w:t>
      </w:r>
      <w:r>
        <w:rPr>
          <w:spacing w:val="-12"/>
        </w:rPr>
        <w:t> </w:t>
      </w:r>
      <w:r>
        <w:rPr/>
        <w:t>meta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3.400,</w:t>
      </w:r>
      <w:r>
        <w:rPr>
          <w:spacing w:val="-11"/>
        </w:rPr>
        <w:t> </w:t>
      </w:r>
      <w:r>
        <w:rPr/>
        <w:t>representando</w:t>
      </w:r>
      <w:r>
        <w:rPr>
          <w:spacing w:val="-7"/>
        </w:rPr>
        <w:t> </w:t>
      </w:r>
      <w:r>
        <w:rPr/>
        <w:t>um</w:t>
      </w:r>
      <w:r>
        <w:rPr>
          <w:spacing w:val="-8"/>
        </w:rPr>
        <w:t> </w:t>
      </w:r>
      <w:r>
        <w:rPr/>
        <w:t>cumprimento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aproximadamente</w:t>
      </w:r>
      <w:r>
        <w:rPr>
          <w:spacing w:val="-7"/>
        </w:rPr>
        <w:t> </w:t>
      </w:r>
      <w:r>
        <w:rPr/>
        <w:t>86%,</w:t>
      </w:r>
      <w:r>
        <w:rPr>
          <w:spacing w:val="-11"/>
        </w:rPr>
        <w:t> </w:t>
      </w:r>
      <w:r>
        <w:rPr/>
        <w:t>com</w:t>
      </w:r>
      <w:r>
        <w:rPr>
          <w:spacing w:val="-13"/>
        </w:rPr>
        <w:t> </w:t>
      </w:r>
      <w:r>
        <w:rPr/>
        <w:t>maior volume registrado nas especialidades de Ortopedia e Traumatologia, Cirurgia Geral e Neurologia Clínica. As consultas multiprofissionais na Atenção Especializada somaram 1.995 atendimentos,</w:t>
      </w:r>
    </w:p>
    <w:p>
      <w:pPr>
        <w:pStyle w:val="BodyText"/>
        <w:spacing w:after="0" w:line="350" w:lineRule="auto"/>
        <w:jc w:val="both"/>
        <w:sectPr>
          <w:pgSz w:w="11910" w:h="16840"/>
          <w:pgMar w:header="1067" w:footer="580" w:top="2440" w:bottom="780" w:left="566" w:right="566"/>
        </w:sectPr>
      </w:pPr>
    </w:p>
    <w:p>
      <w:pPr>
        <w:pStyle w:val="BodyText"/>
        <w:spacing w:line="350" w:lineRule="auto" w:before="245"/>
        <w:ind w:left="569" w:right="563"/>
        <w:jc w:val="both"/>
      </w:pPr>
      <w:r>
        <w:rPr/>
        <w:t>superando a meta de 1.700 e atingindo 117%, sendo a Enfermagem responsável</w:t>
      </w:r>
      <w:r>
        <w:rPr>
          <w:spacing w:val="-2"/>
        </w:rPr>
        <w:t> </w:t>
      </w:r>
      <w:r>
        <w:rPr/>
        <w:t>pela maior parte desses atendimentos. Em relação aos pequenos procedimentos ambulatoriais, foram realizados 314 procedimentos de um total de 405 previstos, o que corresponde a 78% de cumprimento da meta. O Hospital Dia, por sua vez, realizou 389 atendimentos frente à meta de 365, alcançando 107% de cumprimento.</w:t>
      </w:r>
    </w:p>
    <w:p>
      <w:pPr>
        <w:pStyle w:val="BodyText"/>
        <w:spacing w:line="350" w:lineRule="auto"/>
        <w:ind w:left="569" w:right="562" w:firstLine="720"/>
        <w:jc w:val="both"/>
      </w:pPr>
      <w:r>
        <w:rPr/>
        <w:t>Entre os principais fatores que contribuem para a perda primária é o agendamento centralizado via Gercon, realizado pela SES-GO, que não considera plenamente a disponibilidade real de profissionais ou agenda da unidade. O absenteísmo, por sua vez, é impactado pela baixa adesão</w:t>
      </w:r>
      <w:r>
        <w:rPr>
          <w:spacing w:val="-16"/>
        </w:rPr>
        <w:t> </w:t>
      </w:r>
      <w:r>
        <w:rPr/>
        <w:t>dos</w:t>
      </w:r>
      <w:r>
        <w:rPr>
          <w:spacing w:val="-15"/>
        </w:rPr>
        <w:t> </w:t>
      </w:r>
      <w:r>
        <w:rPr/>
        <w:t>pacientes,</w:t>
      </w:r>
      <w:r>
        <w:rPr>
          <w:spacing w:val="-15"/>
        </w:rPr>
        <w:t> </w:t>
      </w:r>
      <w:r>
        <w:rPr/>
        <w:t>dificuldade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transporte</w:t>
      </w:r>
      <w:r>
        <w:rPr>
          <w:spacing w:val="-15"/>
        </w:rPr>
        <w:t> </w:t>
      </w:r>
      <w:r>
        <w:rPr/>
        <w:t>e</w:t>
      </w:r>
      <w:r>
        <w:rPr>
          <w:spacing w:val="-15"/>
        </w:rPr>
        <w:t> </w:t>
      </w:r>
      <w:r>
        <w:rPr/>
        <w:t>agendamento</w:t>
      </w:r>
      <w:r>
        <w:rPr>
          <w:spacing w:val="-16"/>
        </w:rPr>
        <w:t> </w:t>
      </w:r>
      <w:r>
        <w:rPr/>
        <w:t>com</w:t>
      </w:r>
      <w:r>
        <w:rPr>
          <w:spacing w:val="-15"/>
        </w:rPr>
        <w:t> </w:t>
      </w:r>
      <w:r>
        <w:rPr/>
        <w:t>curto</w:t>
      </w:r>
      <w:r>
        <w:rPr>
          <w:spacing w:val="-15"/>
        </w:rPr>
        <w:t> </w:t>
      </w:r>
      <w:r>
        <w:rPr/>
        <w:t>espaço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antecedência. Em</w:t>
      </w:r>
      <w:r>
        <w:rPr>
          <w:spacing w:val="-2"/>
        </w:rPr>
        <w:t> </w:t>
      </w:r>
      <w:r>
        <w:rPr/>
        <w:t>resposta,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unidade</w:t>
      </w:r>
      <w:r>
        <w:rPr>
          <w:spacing w:val="-1"/>
        </w:rPr>
        <w:t> </w:t>
      </w:r>
      <w:r>
        <w:rPr/>
        <w:t>tem</w:t>
      </w:r>
      <w:r>
        <w:rPr>
          <w:spacing w:val="-2"/>
        </w:rPr>
        <w:t> </w:t>
      </w:r>
      <w:r>
        <w:rPr/>
        <w:t>investido</w:t>
      </w:r>
      <w:r>
        <w:rPr>
          <w:spacing w:val="-1"/>
        </w:rPr>
        <w:t> </w:t>
      </w:r>
      <w:r>
        <w:rPr/>
        <w:t>em</w:t>
      </w:r>
      <w:r>
        <w:rPr>
          <w:spacing w:val="-2"/>
        </w:rPr>
        <w:t> </w:t>
      </w:r>
      <w:r>
        <w:rPr/>
        <w:t>confirmação</w:t>
      </w:r>
      <w:r>
        <w:rPr>
          <w:spacing w:val="-1"/>
        </w:rPr>
        <w:t> </w:t>
      </w:r>
      <w:r>
        <w:rPr/>
        <w:t>ativa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consultas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campanhas</w:t>
      </w:r>
      <w:r>
        <w:rPr>
          <w:spacing w:val="-4"/>
        </w:rPr>
        <w:t> </w:t>
      </w:r>
      <w:r>
        <w:rPr/>
        <w:t>educativas junto aos usuários, buscando reverter gradativamente esse cenário. Foram mantidas ações de busca</w:t>
      </w:r>
      <w:r>
        <w:rPr>
          <w:spacing w:val="-7"/>
        </w:rPr>
        <w:t> </w:t>
      </w:r>
      <w:r>
        <w:rPr/>
        <w:t>ativa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mitigar</w:t>
      </w:r>
      <w:r>
        <w:rPr>
          <w:spacing w:val="-8"/>
        </w:rPr>
        <w:t> </w:t>
      </w:r>
      <w:r>
        <w:rPr/>
        <w:t>o</w:t>
      </w:r>
      <w:r>
        <w:rPr>
          <w:spacing w:val="-12"/>
        </w:rPr>
        <w:t> </w:t>
      </w:r>
      <w:r>
        <w:rPr/>
        <w:t>absenteísmo</w:t>
      </w:r>
      <w:r>
        <w:rPr>
          <w:spacing w:val="-7"/>
        </w:rPr>
        <w:t> </w:t>
      </w:r>
      <w:r>
        <w:rPr/>
        <w:t>em</w:t>
      </w:r>
      <w:r>
        <w:rPr>
          <w:spacing w:val="-8"/>
        </w:rPr>
        <w:t> </w:t>
      </w:r>
      <w:r>
        <w:rPr/>
        <w:t>consultas</w:t>
      </w:r>
      <w:r>
        <w:rPr>
          <w:spacing w:val="-10"/>
        </w:rPr>
        <w:t> </w:t>
      </w:r>
      <w:r>
        <w:rPr/>
        <w:t>ambulatoriais</w:t>
      </w:r>
      <w:r>
        <w:rPr>
          <w:spacing w:val="-15"/>
        </w:rPr>
        <w:t> </w:t>
      </w:r>
      <w:r>
        <w:rPr/>
        <w:t>e</w:t>
      </w:r>
      <w:r>
        <w:rPr>
          <w:spacing w:val="-12"/>
        </w:rPr>
        <w:t> </w:t>
      </w:r>
      <w:r>
        <w:rPr/>
        <w:t>exames,</w:t>
      </w:r>
      <w:r>
        <w:rPr>
          <w:spacing w:val="-11"/>
        </w:rPr>
        <w:t> </w:t>
      </w:r>
      <w:r>
        <w:rPr/>
        <w:t>por</w:t>
      </w:r>
      <w:r>
        <w:rPr>
          <w:spacing w:val="-13"/>
        </w:rPr>
        <w:t> </w:t>
      </w:r>
      <w:r>
        <w:rPr/>
        <w:t>meio</w:t>
      </w:r>
      <w:r>
        <w:rPr>
          <w:spacing w:val="-12"/>
        </w:rPr>
        <w:t> </w:t>
      </w:r>
      <w:r>
        <w:rPr/>
        <w:t>de</w:t>
      </w:r>
      <w:r>
        <w:rPr>
          <w:spacing w:val="-7"/>
        </w:rPr>
        <w:t> </w:t>
      </w:r>
      <w:r>
        <w:rPr/>
        <w:t>ligações telefônicas e envio de mensagens para os pacientes com agendamento confirmado. Além disso, encontra-se</w:t>
      </w:r>
      <w:r>
        <w:rPr>
          <w:spacing w:val="-1"/>
        </w:rPr>
        <w:t> </w:t>
      </w:r>
      <w:r>
        <w:rPr>
          <w:rFonts w:ascii="Arial" w:hAnsi="Arial"/>
          <w:b/>
        </w:rPr>
        <w:t>em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estudo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implementação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soluções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tecnológicas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baseadas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em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inteligência artificial</w:t>
      </w:r>
      <w:r>
        <w:rPr/>
        <w:t>, para otimizar a comunicação, ampliar o alcance das confirmações e garantir maior eficiência operacional.</w:t>
      </w:r>
    </w:p>
    <w:p>
      <w:pPr>
        <w:pStyle w:val="BodyText"/>
        <w:spacing w:line="350" w:lineRule="auto"/>
        <w:ind w:left="569" w:right="568" w:firstLine="720"/>
        <w:jc w:val="both"/>
      </w:pPr>
      <w:r>
        <w:rPr/>
        <w:t>No atual cenário de registro da produção assistencial no âmbito do Termo de Colaboração </w:t>
      </w:r>
      <w:r>
        <w:rPr>
          <w:spacing w:val="-2"/>
        </w:rPr>
        <w:t>nº</w:t>
      </w:r>
      <w:r>
        <w:rPr>
          <w:spacing w:val="-6"/>
        </w:rPr>
        <w:t> </w:t>
      </w:r>
      <w:r>
        <w:rPr>
          <w:spacing w:val="-2"/>
        </w:rPr>
        <w:t>97/2024,</w:t>
      </w:r>
      <w:r>
        <w:rPr>
          <w:spacing w:val="-7"/>
        </w:rPr>
        <w:t> </w:t>
      </w:r>
      <w:r>
        <w:rPr>
          <w:spacing w:val="-2"/>
        </w:rPr>
        <w:t>observamos</w:t>
      </w:r>
      <w:r>
        <w:rPr>
          <w:spacing w:val="-6"/>
        </w:rPr>
        <w:t> </w:t>
      </w:r>
      <w:r>
        <w:rPr>
          <w:spacing w:val="-2"/>
        </w:rPr>
        <w:t>que os</w:t>
      </w:r>
      <w:r>
        <w:rPr>
          <w:spacing w:val="-6"/>
        </w:rPr>
        <w:t> </w:t>
      </w:r>
      <w:r>
        <w:rPr>
          <w:spacing w:val="-2"/>
        </w:rPr>
        <w:t>atendimentos</w:t>
      </w:r>
      <w:r>
        <w:rPr>
          <w:spacing w:val="-6"/>
        </w:rPr>
        <w:t> </w:t>
      </w:r>
      <w:r>
        <w:rPr>
          <w:spacing w:val="-2"/>
        </w:rPr>
        <w:t>realizados</w:t>
      </w:r>
      <w:r>
        <w:rPr>
          <w:spacing w:val="-6"/>
        </w:rPr>
        <w:t> </w:t>
      </w:r>
      <w:r>
        <w:rPr>
          <w:spacing w:val="-2"/>
        </w:rPr>
        <w:t>no Hospital</w:t>
      </w:r>
      <w:r>
        <w:rPr>
          <w:spacing w:val="-5"/>
        </w:rPr>
        <w:t> </w:t>
      </w:r>
      <w:r>
        <w:rPr>
          <w:spacing w:val="-2"/>
        </w:rPr>
        <w:t>Dia estão sendo contabilizados </w:t>
      </w:r>
      <w:r>
        <w:rPr/>
        <w:t>unicamente</w:t>
      </w:r>
      <w:r>
        <w:rPr>
          <w:spacing w:val="-6"/>
        </w:rPr>
        <w:t> </w:t>
      </w:r>
      <w:r>
        <w:rPr/>
        <w:t>como</w:t>
      </w:r>
      <w:r>
        <w:rPr>
          <w:spacing w:val="-13"/>
        </w:rPr>
        <w:t> </w:t>
      </w:r>
      <w:r>
        <w:rPr/>
        <w:t>pacientes</w:t>
      </w:r>
      <w:r>
        <w:rPr>
          <w:spacing w:val="-13"/>
        </w:rPr>
        <w:t> </w:t>
      </w:r>
      <w:r>
        <w:rPr/>
        <w:t>atendidos,</w:t>
      </w:r>
      <w:r>
        <w:rPr>
          <w:spacing w:val="-12"/>
        </w:rPr>
        <w:t> </w:t>
      </w:r>
      <w:r>
        <w:rPr/>
        <w:t>sem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devida</w:t>
      </w:r>
      <w:r>
        <w:rPr>
          <w:spacing w:val="-8"/>
        </w:rPr>
        <w:t> </w:t>
      </w:r>
      <w:r>
        <w:rPr/>
        <w:t>vinculação</w:t>
      </w:r>
      <w:r>
        <w:rPr>
          <w:spacing w:val="-8"/>
        </w:rPr>
        <w:t> </w:t>
      </w:r>
      <w:r>
        <w:rPr/>
        <w:t>com</w:t>
      </w:r>
      <w:r>
        <w:rPr>
          <w:spacing w:val="-14"/>
        </w:rPr>
        <w:t> </w:t>
      </w:r>
      <w:r>
        <w:rPr/>
        <w:t>os</w:t>
      </w:r>
      <w:r>
        <w:rPr>
          <w:spacing w:val="-11"/>
        </w:rPr>
        <w:t> </w:t>
      </w:r>
      <w:r>
        <w:rPr/>
        <w:t>procedimentos</w:t>
      </w:r>
      <w:r>
        <w:rPr>
          <w:spacing w:val="-16"/>
        </w:rPr>
        <w:t> </w:t>
      </w:r>
      <w:r>
        <w:rPr/>
        <w:t>específicos </w:t>
      </w:r>
      <w:r>
        <w:rPr>
          <w:spacing w:val="-2"/>
        </w:rPr>
        <w:t>executados.</w:t>
      </w:r>
    </w:p>
    <w:p>
      <w:pPr>
        <w:pStyle w:val="BodyText"/>
        <w:tabs>
          <w:tab w:pos="1523" w:val="left" w:leader="none"/>
          <w:tab w:pos="2153" w:val="left" w:leader="none"/>
          <w:tab w:pos="4190" w:val="left" w:leader="none"/>
          <w:tab w:pos="4819" w:val="left" w:leader="none"/>
          <w:tab w:pos="6437" w:val="left" w:leader="none"/>
          <w:tab w:pos="7187" w:val="left" w:leader="none"/>
          <w:tab w:pos="8610" w:val="left" w:leader="none"/>
          <w:tab w:pos="9359" w:val="left" w:leader="none"/>
        </w:tabs>
        <w:spacing w:line="350" w:lineRule="auto"/>
        <w:ind w:left="569" w:right="558" w:firstLine="720"/>
        <w:jc w:val="right"/>
      </w:pPr>
      <w:r>
        <w:rPr/>
        <w:t>Essa forma de registro subestima a real complexidade e volume da assistência prestada, podendo</w:t>
      </w:r>
      <w:r>
        <w:rPr>
          <w:spacing w:val="80"/>
        </w:rPr>
        <w:t> </w:t>
      </w:r>
      <w:r>
        <w:rPr/>
        <w:t>comprometer</w:t>
      </w:r>
      <w:r>
        <w:rPr>
          <w:spacing w:val="80"/>
        </w:rPr>
        <w:t> </w:t>
      </w:r>
      <w:r>
        <w:rPr/>
        <w:t>tanto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análise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desempenho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unidade</w:t>
      </w:r>
      <w:r>
        <w:rPr>
          <w:spacing w:val="80"/>
        </w:rPr>
        <w:t> </w:t>
      </w:r>
      <w:r>
        <w:rPr/>
        <w:t>quanto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adequado</w:t>
      </w:r>
      <w:r>
        <w:rPr>
          <w:spacing w:val="40"/>
        </w:rPr>
        <w:t> </w:t>
      </w:r>
      <w:r>
        <w:rPr/>
        <w:t>reconhecimento financeiro pela contratante, conforme previsto nas diretrizes do contrato vigente. Permanecemos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processo</w:t>
      </w:r>
      <w:r>
        <w:rPr>
          <w:spacing w:val="80"/>
        </w:rPr>
        <w:t> </w:t>
      </w:r>
      <w:r>
        <w:rPr/>
        <w:t>conjunto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equipe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faturamento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mapear oportunidades de</w:t>
      </w:r>
      <w:r>
        <w:rPr>
          <w:spacing w:val="34"/>
        </w:rPr>
        <w:t> </w:t>
      </w:r>
      <w:r>
        <w:rPr/>
        <w:t>codificação adequada dos procedimentos realizados</w:t>
      </w:r>
      <w:r>
        <w:rPr>
          <w:spacing w:val="32"/>
        </w:rPr>
        <w:t> </w:t>
      </w:r>
      <w:r>
        <w:rPr/>
        <w:t>no</w:t>
      </w:r>
      <w:r>
        <w:rPr>
          <w:spacing w:val="34"/>
        </w:rPr>
        <w:t> </w:t>
      </w:r>
      <w:r>
        <w:rPr/>
        <w:t>Hospital</w:t>
      </w:r>
      <w:r>
        <w:rPr>
          <w:spacing w:val="33"/>
        </w:rPr>
        <w:t> </w:t>
      </w:r>
      <w:r>
        <w:rPr/>
        <w:t>Dia.</w:t>
      </w:r>
      <w:r>
        <w:rPr>
          <w:spacing w:val="31"/>
        </w:rPr>
        <w:t> </w:t>
      </w:r>
      <w:r>
        <w:rPr/>
        <w:t>A partir disso,</w:t>
      </w:r>
      <w:r>
        <w:rPr>
          <w:spacing w:val="40"/>
        </w:rPr>
        <w:t> </w:t>
      </w:r>
      <w:r>
        <w:rPr/>
        <w:t>será</w:t>
      </w:r>
      <w:r>
        <w:rPr>
          <w:spacing w:val="40"/>
        </w:rPr>
        <w:t> </w:t>
      </w:r>
      <w:r>
        <w:rPr/>
        <w:t>possível</w:t>
      </w:r>
      <w:r>
        <w:rPr>
          <w:spacing w:val="40"/>
        </w:rPr>
        <w:t> </w:t>
      </w:r>
      <w:r>
        <w:rPr/>
        <w:t>estruturar</w:t>
      </w:r>
      <w:r>
        <w:rPr>
          <w:spacing w:val="40"/>
        </w:rPr>
        <w:t> </w:t>
      </w:r>
      <w:r>
        <w:rPr/>
        <w:t>um</w:t>
      </w:r>
      <w:r>
        <w:rPr>
          <w:spacing w:val="40"/>
        </w:rPr>
        <w:t> </w:t>
      </w:r>
      <w:r>
        <w:rPr/>
        <w:t>fluxograma</w:t>
      </w:r>
      <w:r>
        <w:rPr>
          <w:spacing w:val="40"/>
        </w:rPr>
        <w:t> </w:t>
      </w:r>
      <w:r>
        <w:rPr/>
        <w:t>operacional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viabilizar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emissão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AIHs (Autorização de Internação Hospitalar), garantindo alinhamento com as normas do SIGTAP/SIH- </w:t>
      </w:r>
      <w:r>
        <w:rPr>
          <w:spacing w:val="-4"/>
        </w:rPr>
        <w:t>SUS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potencializando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spacing w:val="-2"/>
        </w:rPr>
        <w:t>valorização</w:t>
      </w:r>
      <w:r>
        <w:rPr/>
        <w:tab/>
      </w:r>
      <w:r>
        <w:rPr>
          <w:spacing w:val="-6"/>
        </w:rPr>
        <w:t>da</w:t>
      </w:r>
      <w:r>
        <w:rPr/>
        <w:tab/>
      </w:r>
      <w:r>
        <w:rPr>
          <w:spacing w:val="-2"/>
        </w:rPr>
        <w:t>produção</w:t>
      </w:r>
      <w:r>
        <w:rPr/>
        <w:tab/>
      </w:r>
      <w:r>
        <w:rPr>
          <w:spacing w:val="-6"/>
        </w:rPr>
        <w:t>da</w:t>
      </w:r>
      <w:r>
        <w:rPr/>
        <w:tab/>
      </w:r>
      <w:r>
        <w:rPr>
          <w:spacing w:val="-2"/>
        </w:rPr>
        <w:t>unidade. </w:t>
      </w:r>
      <w:r>
        <w:rPr/>
        <w:t>A correção dessa distorção é essencial para refletir com fidelidade a entrega assistencial do</w:t>
      </w:r>
    </w:p>
    <w:p>
      <w:pPr>
        <w:pStyle w:val="BodyText"/>
        <w:spacing w:line="250" w:lineRule="exact"/>
        <w:ind w:left="569"/>
        <w:jc w:val="both"/>
      </w:pPr>
      <w:r>
        <w:rPr/>
        <w:t>HUGO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fomentar</w:t>
      </w:r>
      <w:r>
        <w:rPr>
          <w:spacing w:val="-3"/>
        </w:rPr>
        <w:t> </w:t>
      </w:r>
      <w:r>
        <w:rPr/>
        <w:t>práticas</w:t>
      </w:r>
      <w:r>
        <w:rPr>
          <w:spacing w:val="-5"/>
        </w:rPr>
        <w:t> </w:t>
      </w:r>
      <w:r>
        <w:rPr/>
        <w:t>mais</w:t>
      </w:r>
      <w:r>
        <w:rPr>
          <w:spacing w:val="-5"/>
        </w:rPr>
        <w:t> </w:t>
      </w:r>
      <w:r>
        <w:rPr/>
        <w:t>sustentáveis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gestão</w:t>
      </w:r>
      <w:r>
        <w:rPr>
          <w:spacing w:val="-2"/>
        </w:rPr>
        <w:t> </w:t>
      </w:r>
      <w:r>
        <w:rPr/>
        <w:t>contratual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financeira.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ListParagraph"/>
        <w:numPr>
          <w:ilvl w:val="1"/>
          <w:numId w:val="1"/>
        </w:numPr>
        <w:tabs>
          <w:tab w:pos="998" w:val="left" w:leader="none"/>
        </w:tabs>
        <w:spacing w:line="240" w:lineRule="auto" w:before="0" w:after="4"/>
        <w:ind w:left="998" w:right="0" w:hanging="429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Produção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Serviço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Apoio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Diagnóstico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Terapêutico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(SADT)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ofertados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pacing w:val="-2"/>
          <w:sz w:val="22"/>
        </w:rPr>
        <w:t>realizados</w:t>
      </w:r>
    </w:p>
    <w:tbl>
      <w:tblPr>
        <w:tblW w:w="0" w:type="auto"/>
        <w:jc w:val="left"/>
        <w:tblInd w:w="10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7"/>
        <w:gridCol w:w="1771"/>
        <w:gridCol w:w="3452"/>
      </w:tblGrid>
      <w:tr>
        <w:trPr>
          <w:trHeight w:val="329" w:hRule="atLeast"/>
        </w:trPr>
        <w:tc>
          <w:tcPr>
            <w:tcW w:w="34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</w:tcPr>
          <w:p>
            <w:pPr>
              <w:pStyle w:val="TableParagraph"/>
              <w:spacing w:before="33"/>
              <w:ind w:left="2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581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Junho </w:t>
            </w:r>
            <w:r>
              <w:rPr>
                <w:rFonts w:ascii="Arial" w:hAnsi="Arial"/>
                <w:b/>
                <w:spacing w:val="-4"/>
                <w:sz w:val="22"/>
              </w:rPr>
              <w:t>2025</w:t>
            </w:r>
          </w:p>
        </w:tc>
      </w:tr>
    </w:tbl>
    <w:p>
      <w:pPr>
        <w:pStyle w:val="TableParagraph"/>
        <w:spacing w:after="0" w:line="246" w:lineRule="exact"/>
        <w:rPr>
          <w:rFonts w:ascii="Arial" w:hAnsi="Arial"/>
          <w:b/>
          <w:sz w:val="22"/>
        </w:rPr>
        <w:sectPr>
          <w:pgSz w:w="11910" w:h="16840"/>
          <w:pgMar w:header="1067" w:footer="580" w:top="2440" w:bottom="780" w:left="566" w:right="566"/>
        </w:sectPr>
      </w:pPr>
    </w:p>
    <w:p>
      <w:pPr>
        <w:pStyle w:val="BodyText"/>
        <w:spacing w:before="22"/>
        <w:rPr>
          <w:rFonts w:ascii="Arial"/>
          <w:b/>
          <w:sz w:val="20"/>
        </w:rPr>
      </w:pPr>
    </w:p>
    <w:tbl>
      <w:tblPr>
        <w:tblW w:w="0" w:type="auto"/>
        <w:jc w:val="left"/>
        <w:tblInd w:w="10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7"/>
        <w:gridCol w:w="1771"/>
        <w:gridCol w:w="3452"/>
      </w:tblGrid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Colonoscopia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Endoscopia</w:t>
            </w:r>
            <w:r>
              <w:rPr>
                <w:rFonts w:ascii="Arial MT"/>
                <w:spacing w:val="-2"/>
                <w:sz w:val="22"/>
              </w:rPr>
              <w:t> digestiva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80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Endoscopia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vias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urinárias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Tomografia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Computadorizada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125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4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Ultrassonografia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4"/>
              <w:ind w:left="21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60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4"/>
              <w:ind w:left="20" w:right="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81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Ultrassonografia/Doppler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80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66</w:t>
            </w:r>
          </w:p>
        </w:tc>
      </w:tr>
      <w:tr>
        <w:trPr>
          <w:trHeight w:val="329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Eletrocardiograma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NA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NA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Radiografia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NA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Radiografia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com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contraste</w:t>
            </w:r>
          </w:p>
        </w:tc>
        <w:tc>
          <w:tcPr>
            <w:tcW w:w="1771" w:type="dxa"/>
          </w:tcPr>
          <w:p>
            <w:pPr>
              <w:pStyle w:val="TableParagraph"/>
              <w:spacing w:line="247" w:lineRule="exact" w:before="63"/>
              <w:ind w:left="21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NA</w:t>
            </w:r>
          </w:p>
        </w:tc>
        <w:tc>
          <w:tcPr>
            <w:tcW w:w="3452" w:type="dxa"/>
          </w:tcPr>
          <w:p>
            <w:pPr>
              <w:pStyle w:val="TableParagraph"/>
              <w:spacing w:line="247" w:lineRule="exact" w:before="63"/>
              <w:ind w:left="20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NA</w:t>
            </w:r>
          </w:p>
        </w:tc>
      </w:tr>
      <w:tr>
        <w:trPr>
          <w:trHeight w:val="390" w:hRule="atLeast"/>
        </w:trPr>
        <w:tc>
          <w:tcPr>
            <w:tcW w:w="34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</w:tcPr>
          <w:p>
            <w:pPr>
              <w:pStyle w:val="TableParagraph"/>
              <w:spacing w:before="64"/>
              <w:ind w:left="21" w:right="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465</w:t>
            </w:r>
          </w:p>
        </w:tc>
        <w:tc>
          <w:tcPr>
            <w:tcW w:w="3452" w:type="dxa"/>
          </w:tcPr>
          <w:p>
            <w:pPr>
              <w:pStyle w:val="TableParagraph"/>
              <w:spacing w:before="104"/>
              <w:ind w:left="20" w:right="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362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</w:tcPr>
          <w:p>
            <w:pPr>
              <w:pStyle w:val="TableParagraph"/>
              <w:spacing w:before="33"/>
              <w:ind w:left="2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6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Junho </w:t>
            </w:r>
            <w:r>
              <w:rPr>
                <w:rFonts w:ascii="Arial" w:hAnsi="Arial"/>
                <w:b/>
                <w:spacing w:val="-4"/>
                <w:sz w:val="22"/>
              </w:rPr>
              <w:t>2025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Colonoscopia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Endoscopia</w:t>
            </w:r>
            <w:r>
              <w:rPr>
                <w:rFonts w:ascii="Arial MT"/>
                <w:spacing w:val="-2"/>
                <w:sz w:val="22"/>
              </w:rPr>
              <w:t> digestiva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80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Endoscopia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vias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urinárias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4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Tomografia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Computadorizada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4"/>
              <w:ind w:left="21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125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4"/>
              <w:ind w:left="2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Ultrassonografia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60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Ultrassonografia/Doppler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80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Eletrocardiograma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NA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NA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Radiografia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NA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NA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4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Radiografia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com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contraste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4"/>
              <w:ind w:left="21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NA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4"/>
              <w:ind w:left="20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NA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</w:tcPr>
          <w:p>
            <w:pPr>
              <w:pStyle w:val="TableParagraph"/>
              <w:spacing w:before="33"/>
              <w:ind w:left="21" w:right="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465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430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</w:tcPr>
          <w:p>
            <w:pPr>
              <w:pStyle w:val="TableParagraph"/>
              <w:spacing w:before="33"/>
              <w:ind w:left="2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6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Junho </w:t>
            </w:r>
            <w:r>
              <w:rPr>
                <w:rFonts w:ascii="Arial" w:hAnsi="Arial"/>
                <w:b/>
                <w:spacing w:val="-4"/>
                <w:sz w:val="22"/>
              </w:rPr>
              <w:t>2025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Colonoscopia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4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Endoscopia</w:t>
            </w:r>
            <w:r>
              <w:rPr>
                <w:rFonts w:ascii="Arial MT"/>
                <w:spacing w:val="-2"/>
                <w:sz w:val="22"/>
              </w:rPr>
              <w:t> Digestiva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4"/>
              <w:ind w:left="21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4"/>
              <w:ind w:left="20" w:righ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174</w:t>
            </w:r>
          </w:p>
        </w:tc>
      </w:tr>
      <w:tr>
        <w:trPr>
          <w:trHeight w:val="329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Tomografia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Computadorizada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6.322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Ultrassonografia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4"/>
              <w:ind w:left="21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4"/>
              <w:ind w:left="20" w:righ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152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4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Ultrassonografia</w:t>
            </w:r>
            <w:r>
              <w:rPr>
                <w:rFonts w:ascii="Arial MT"/>
                <w:spacing w:val="-9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Doppler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64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Análises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Clínicas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before="44"/>
              <w:ind w:left="20" w:righ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58.958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4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Ecocardiograma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4"/>
              <w:ind w:left="21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before="44"/>
              <w:ind w:left="20" w:righ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252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Eletrocardiograma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before="43"/>
              <w:ind w:left="20" w:righ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999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Raio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10"/>
                <w:sz w:val="22"/>
              </w:rPr>
              <w:t>X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5.533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Broncoscopia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46" w:lineRule="exact" w:before="63"/>
              <w:ind w:left="20" w:right="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33"/>
              <w:ind w:left="7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1771" w:type="dxa"/>
          </w:tcPr>
          <w:p>
            <w:pPr>
              <w:pStyle w:val="TableParagraph"/>
              <w:spacing w:line="246" w:lineRule="exact" w:before="63"/>
              <w:ind w:left="21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before="43"/>
              <w:ind w:left="20" w:right="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72.487</w:t>
            </w:r>
          </w:p>
        </w:tc>
      </w:tr>
    </w:tbl>
    <w:p>
      <w:pPr>
        <w:pStyle w:val="TableParagraph"/>
        <w:spacing w:after="0"/>
        <w:jc w:val="center"/>
        <w:rPr>
          <w:rFonts w:ascii="Arial"/>
          <w:b/>
          <w:sz w:val="22"/>
        </w:rPr>
        <w:sectPr>
          <w:pgSz w:w="11910" w:h="16840"/>
          <w:pgMar w:header="1067" w:footer="580" w:top="2440" w:bottom="780" w:left="566" w:right="566"/>
        </w:sectPr>
      </w:pPr>
    </w:p>
    <w:p>
      <w:pPr>
        <w:pStyle w:val="ListParagraph"/>
        <w:numPr>
          <w:ilvl w:val="1"/>
          <w:numId w:val="1"/>
        </w:numPr>
        <w:tabs>
          <w:tab w:pos="936" w:val="left" w:leader="none"/>
        </w:tabs>
        <w:spacing w:line="240" w:lineRule="auto" w:before="245" w:after="0"/>
        <w:ind w:left="936" w:right="0" w:hanging="367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Crítica</w:t>
      </w:r>
    </w:p>
    <w:p>
      <w:pPr>
        <w:pStyle w:val="BodyText"/>
        <w:spacing w:line="350" w:lineRule="auto" w:before="237"/>
        <w:ind w:left="569" w:right="561" w:firstLine="720"/>
        <w:jc w:val="both"/>
      </w:pPr>
      <w:r>
        <w:rPr/>
        <w:t>Em junho de 2025, a produção interna de SADT manteve-se elevada, totalizando 72.487 exames realizados, o que reforça a alta demanda diagnóstica interna do HUGO. Entre os exames mais requisitados permanecem as Análises Clínicas, com 58.958 solicitações, seguidas por Radiografias, que somaram 5.533, e Tomografias Computadorizadas, com 6.322 exames realizados no mês.</w:t>
      </w:r>
    </w:p>
    <w:p>
      <w:pPr>
        <w:pStyle w:val="BodyText"/>
        <w:spacing w:line="350" w:lineRule="auto"/>
        <w:ind w:left="569" w:right="561" w:firstLine="720"/>
        <w:jc w:val="both"/>
      </w:pPr>
      <w:r>
        <w:rPr/>
        <w:t>O sistema de agendamento centralizado via Gercon continua contribuindo para perdas primárias e absenteísmo em alguns exames, como endoscopia digestiva, colonoscopia e ultrassonografia/doppler, seja por falhas no preenchimento das vagas pactuadas, seja por falta de preparo adequado dos pacientes</w:t>
      </w:r>
      <w:r>
        <w:rPr>
          <w:spacing w:val="-3"/>
        </w:rPr>
        <w:t> </w:t>
      </w:r>
      <w:r>
        <w:rPr/>
        <w:t>para a realização dos exames. Simultaneamente, o esforço para atendimento às metas de exames externos gera represamento de filas internas, impactando diretamente a liberação de condutas clínicas e cirúrgicas de pacientes internados.</w:t>
      </w:r>
    </w:p>
    <w:p>
      <w:pPr>
        <w:pStyle w:val="BodyText"/>
        <w:spacing w:line="350" w:lineRule="auto"/>
        <w:ind w:left="569" w:right="562" w:firstLine="720"/>
        <w:jc w:val="both"/>
      </w:pPr>
      <w:r>
        <w:rPr/>
        <w:t>Esse cenário compromete não apenas o tempo médio de permanência hospitalar, como já discutido no item de Saídas Hospitalares, mas também amplia a fila ambulatorial para exames essenciais solicitados pelas especialidades, evidenciando a dificuldade em equilibrar a oferta contratual com a necessidade interna.</w:t>
      </w:r>
    </w:p>
    <w:p>
      <w:pPr>
        <w:pStyle w:val="BodyText"/>
        <w:spacing w:line="350" w:lineRule="auto"/>
        <w:ind w:left="569" w:right="560" w:firstLine="720"/>
        <w:jc w:val="both"/>
      </w:pPr>
      <w:r>
        <w:rPr/>
        <w:t>Ressalta-se que,</w:t>
      </w:r>
      <w:r>
        <w:rPr>
          <w:spacing w:val="-4"/>
        </w:rPr>
        <w:t> </w:t>
      </w:r>
      <w:r>
        <w:rPr/>
        <w:t>embora o hospital</w:t>
      </w:r>
      <w:r>
        <w:rPr>
          <w:spacing w:val="-2"/>
        </w:rPr>
        <w:t> </w:t>
      </w:r>
      <w:r>
        <w:rPr/>
        <w:t>opere com</w:t>
      </w:r>
      <w:r>
        <w:rPr>
          <w:spacing w:val="-1"/>
        </w:rPr>
        <w:t> </w:t>
      </w:r>
      <w:r>
        <w:rPr/>
        <w:t>dois</w:t>
      </w:r>
      <w:r>
        <w:rPr>
          <w:spacing w:val="-3"/>
        </w:rPr>
        <w:t> </w:t>
      </w:r>
      <w:r>
        <w:rPr/>
        <w:t>tomógrafos,</w:t>
      </w:r>
      <w:r>
        <w:rPr>
          <w:spacing w:val="-4"/>
        </w:rPr>
        <w:t> </w:t>
      </w:r>
      <w:r>
        <w:rPr/>
        <w:t>em</w:t>
      </w:r>
      <w:r>
        <w:rPr>
          <w:spacing w:val="-1"/>
        </w:rPr>
        <w:t> </w:t>
      </w:r>
      <w:r>
        <w:rPr/>
        <w:t>períodos</w:t>
      </w:r>
      <w:r>
        <w:rPr>
          <w:spacing w:val="-3"/>
        </w:rPr>
        <w:t> </w:t>
      </w:r>
      <w:r>
        <w:rPr/>
        <w:t>nos</w:t>
      </w:r>
      <w:r>
        <w:rPr>
          <w:spacing w:val="-3"/>
        </w:rPr>
        <w:t> </w:t>
      </w:r>
      <w:r>
        <w:rPr/>
        <w:t>quais</w:t>
      </w:r>
      <w:r>
        <w:rPr>
          <w:spacing w:val="-3"/>
        </w:rPr>
        <w:t> </w:t>
      </w:r>
      <w:r>
        <w:rPr/>
        <w:t>um dos equipamentos necessita ser paralisado para manutenções preventivas ou corretivas, torna-se necessário redirecionar a demanda de pacientes externos para garantir o atendimento integral da demanda interna, impactando assim o cumprimento da meta de SADT externo.</w:t>
      </w:r>
    </w:p>
    <w:p>
      <w:pPr>
        <w:pStyle w:val="BodyText"/>
        <w:spacing w:after="0" w:line="350" w:lineRule="auto"/>
        <w:jc w:val="both"/>
        <w:sectPr>
          <w:pgSz w:w="11910" w:h="16840"/>
          <w:pgMar w:header="1067" w:footer="580" w:top="2440" w:bottom="780" w:left="566" w:right="566"/>
        </w:sectPr>
      </w:pPr>
    </w:p>
    <w:p>
      <w:pPr>
        <w:pStyle w:val="ListParagraph"/>
        <w:numPr>
          <w:ilvl w:val="1"/>
          <w:numId w:val="1"/>
        </w:numPr>
        <w:tabs>
          <w:tab w:pos="936" w:val="left" w:leader="none"/>
        </w:tabs>
        <w:spacing w:line="240" w:lineRule="auto" w:before="245" w:after="0"/>
        <w:ind w:left="936" w:right="0" w:hanging="367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Atendimento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pacing w:val="-2"/>
          <w:sz w:val="22"/>
        </w:rPr>
        <w:t>urgência</w:t>
      </w:r>
    </w:p>
    <w:p>
      <w:pPr>
        <w:pStyle w:val="BodyText"/>
        <w:spacing w:before="14"/>
        <w:rPr>
          <w:rFonts w:ascii="Arial"/>
          <w:b/>
          <w:sz w:val="20"/>
        </w:rPr>
      </w:pPr>
    </w:p>
    <w:tbl>
      <w:tblPr>
        <w:tblW w:w="0" w:type="auto"/>
        <w:jc w:val="left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2"/>
        <w:gridCol w:w="2406"/>
        <w:gridCol w:w="3177"/>
      </w:tblGrid>
      <w:tr>
        <w:trPr>
          <w:trHeight w:val="320" w:hRule="atLeast"/>
        </w:trPr>
        <w:tc>
          <w:tcPr>
            <w:tcW w:w="4312" w:type="dxa"/>
            <w:tcBorders>
              <w:bottom w:val="single" w:sz="12" w:space="0" w:color="FF2929"/>
            </w:tcBorders>
          </w:tcPr>
          <w:p>
            <w:pPr>
              <w:pStyle w:val="TableParagraph"/>
              <w:spacing w:before="38"/>
              <w:ind w:left="7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Classificação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Risco</w:t>
            </w:r>
          </w:p>
        </w:tc>
        <w:tc>
          <w:tcPr>
            <w:tcW w:w="2406" w:type="dxa"/>
          </w:tcPr>
          <w:p>
            <w:pPr>
              <w:pStyle w:val="TableParagraph"/>
              <w:spacing w:line="236" w:lineRule="exact" w:before="63"/>
              <w:ind w:left="1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3177" w:type="dxa"/>
          </w:tcPr>
          <w:p>
            <w:pPr>
              <w:pStyle w:val="TableParagraph"/>
              <w:spacing w:line="236" w:lineRule="exact" w:before="63"/>
              <w:ind w:left="14" w:right="2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 </w:t>
            </w:r>
            <w:r>
              <w:rPr>
                <w:rFonts w:ascii="Arial" w:hAnsi="Arial"/>
                <w:b/>
                <w:spacing w:val="-4"/>
                <w:sz w:val="22"/>
              </w:rPr>
              <w:t>Junho</w:t>
            </w:r>
          </w:p>
        </w:tc>
      </w:tr>
      <w:tr>
        <w:trPr>
          <w:trHeight w:val="310" w:hRule="atLeast"/>
        </w:trPr>
        <w:tc>
          <w:tcPr>
            <w:tcW w:w="4312" w:type="dxa"/>
            <w:tcBorders>
              <w:bottom w:val="single" w:sz="12" w:space="0" w:color="F79637"/>
            </w:tcBorders>
            <w:shd w:val="clear" w:color="auto" w:fill="FF2929"/>
          </w:tcPr>
          <w:p>
            <w:pPr>
              <w:pStyle w:val="TableParagraph"/>
              <w:spacing w:before="28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AACR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Vermelho</w:t>
            </w:r>
          </w:p>
        </w:tc>
        <w:tc>
          <w:tcPr>
            <w:tcW w:w="2406" w:type="dxa"/>
          </w:tcPr>
          <w:p>
            <w:pPr>
              <w:pStyle w:val="TableParagraph"/>
              <w:spacing w:line="236" w:lineRule="exact" w:before="53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36" w:lineRule="exact" w:before="53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68</w:t>
            </w:r>
          </w:p>
        </w:tc>
      </w:tr>
      <w:tr>
        <w:trPr>
          <w:trHeight w:val="310" w:hRule="atLeast"/>
        </w:trPr>
        <w:tc>
          <w:tcPr>
            <w:tcW w:w="4312" w:type="dxa"/>
            <w:tcBorders>
              <w:top w:val="single" w:sz="12" w:space="0" w:color="FF2929"/>
              <w:bottom w:val="single" w:sz="12" w:space="0" w:color="FFFF00"/>
            </w:tcBorders>
            <w:shd w:val="clear" w:color="auto" w:fill="F79637"/>
          </w:tcPr>
          <w:p>
            <w:pPr>
              <w:pStyle w:val="TableParagraph"/>
              <w:spacing w:before="28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AACR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Laranja</w:t>
            </w:r>
          </w:p>
        </w:tc>
        <w:tc>
          <w:tcPr>
            <w:tcW w:w="2406" w:type="dxa"/>
          </w:tcPr>
          <w:p>
            <w:pPr>
              <w:pStyle w:val="TableParagraph"/>
              <w:spacing w:line="236" w:lineRule="exact" w:before="53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36" w:lineRule="exact" w:before="53"/>
              <w:ind w:left="14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383</w:t>
            </w:r>
          </w:p>
        </w:tc>
      </w:tr>
      <w:tr>
        <w:trPr>
          <w:trHeight w:val="310" w:hRule="atLeast"/>
        </w:trPr>
        <w:tc>
          <w:tcPr>
            <w:tcW w:w="4312" w:type="dxa"/>
            <w:tcBorders>
              <w:top w:val="single" w:sz="12" w:space="0" w:color="F79637"/>
              <w:bottom w:val="single" w:sz="12" w:space="0" w:color="00AF50"/>
            </w:tcBorders>
            <w:shd w:val="clear" w:color="auto" w:fill="FFFF00"/>
          </w:tcPr>
          <w:p>
            <w:pPr>
              <w:pStyle w:val="TableParagraph"/>
              <w:spacing w:before="29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AACR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Amarelo</w:t>
            </w:r>
          </w:p>
        </w:tc>
        <w:tc>
          <w:tcPr>
            <w:tcW w:w="2406" w:type="dxa"/>
          </w:tcPr>
          <w:p>
            <w:pPr>
              <w:pStyle w:val="TableParagraph"/>
              <w:spacing w:line="236" w:lineRule="exact" w:before="54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36" w:lineRule="exact" w:before="54"/>
              <w:ind w:left="1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1.554</w:t>
            </w:r>
          </w:p>
        </w:tc>
      </w:tr>
      <w:tr>
        <w:trPr>
          <w:trHeight w:val="310" w:hRule="atLeast"/>
        </w:trPr>
        <w:tc>
          <w:tcPr>
            <w:tcW w:w="4312" w:type="dxa"/>
            <w:tcBorders>
              <w:top w:val="single" w:sz="12" w:space="0" w:color="FFFF00"/>
              <w:bottom w:val="single" w:sz="12" w:space="0" w:color="00AFEF"/>
            </w:tcBorders>
            <w:shd w:val="clear" w:color="auto" w:fill="00AF50"/>
          </w:tcPr>
          <w:p>
            <w:pPr>
              <w:pStyle w:val="TableParagraph"/>
              <w:spacing w:before="28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AACR</w:t>
            </w:r>
            <w:r>
              <w:rPr>
                <w:rFonts w:ascii="Arial MT"/>
                <w:spacing w:val="-7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Verde</w:t>
            </w:r>
          </w:p>
        </w:tc>
        <w:tc>
          <w:tcPr>
            <w:tcW w:w="2406" w:type="dxa"/>
          </w:tcPr>
          <w:p>
            <w:pPr>
              <w:pStyle w:val="TableParagraph"/>
              <w:spacing w:line="236" w:lineRule="exact" w:before="53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36" w:lineRule="exact" w:before="53"/>
              <w:ind w:left="14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117</w:t>
            </w:r>
          </w:p>
        </w:tc>
      </w:tr>
      <w:tr>
        <w:trPr>
          <w:trHeight w:val="310" w:hRule="atLeast"/>
        </w:trPr>
        <w:tc>
          <w:tcPr>
            <w:tcW w:w="4312" w:type="dxa"/>
            <w:tcBorders>
              <w:top w:val="single" w:sz="12" w:space="0" w:color="00AF50"/>
            </w:tcBorders>
            <w:shd w:val="clear" w:color="auto" w:fill="00AFEF"/>
          </w:tcPr>
          <w:p>
            <w:pPr>
              <w:pStyle w:val="TableParagraph"/>
              <w:spacing w:before="28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AACR</w:t>
            </w:r>
            <w:r>
              <w:rPr>
                <w:rFonts w:ascii="Arial MT"/>
                <w:spacing w:val="-7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Azul</w:t>
            </w:r>
          </w:p>
        </w:tc>
        <w:tc>
          <w:tcPr>
            <w:tcW w:w="2406" w:type="dxa"/>
          </w:tcPr>
          <w:p>
            <w:pPr>
              <w:pStyle w:val="TableParagraph"/>
              <w:spacing w:line="236" w:lineRule="exact" w:before="53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36" w:lineRule="exact" w:before="53"/>
              <w:ind w:left="14" w:righ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515" w:hRule="atLeast"/>
        </w:trPr>
        <w:tc>
          <w:tcPr>
            <w:tcW w:w="4312" w:type="dxa"/>
            <w:tcBorders>
              <w:top w:val="single" w:sz="12" w:space="0" w:color="00AFEF"/>
            </w:tcBorders>
          </w:tcPr>
          <w:p>
            <w:pPr>
              <w:pStyle w:val="TableParagraph"/>
              <w:spacing w:line="244" w:lineRule="exact" w:before="7"/>
              <w:ind w:left="7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Sem</w:t>
            </w:r>
            <w:r>
              <w:rPr>
                <w:rFonts w:ascii="Arial MT" w:hAnsi="Arial MT"/>
                <w:spacing w:val="-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classificação</w:t>
            </w:r>
            <w:r>
              <w:rPr>
                <w:rFonts w:ascii="Arial MT" w:hAnsi="Arial MT"/>
                <w:spacing w:val="-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(SAMU,</w:t>
            </w:r>
            <w:r>
              <w:rPr>
                <w:rFonts w:ascii="Arial MT" w:hAnsi="Arial MT"/>
                <w:spacing w:val="-1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Bombeiros)</w:t>
            </w:r>
            <w:r>
              <w:rPr>
                <w:rFonts w:ascii="Arial MT" w:hAnsi="Arial MT"/>
                <w:spacing w:val="-8"/>
                <w:sz w:val="22"/>
              </w:rPr>
              <w:t> </w:t>
            </w:r>
            <w:r>
              <w:rPr>
                <w:rFonts w:ascii="Arial MT" w:hAnsi="Arial MT"/>
                <w:color w:val="FF0000"/>
                <w:sz w:val="22"/>
              </w:rPr>
              <w:t>- Inclui pacientes regulados</w:t>
            </w:r>
          </w:p>
        </w:tc>
        <w:tc>
          <w:tcPr>
            <w:tcW w:w="2406" w:type="dxa"/>
          </w:tcPr>
          <w:p>
            <w:pPr>
              <w:pStyle w:val="TableParagraph"/>
              <w:spacing w:line="252" w:lineRule="exact" w:before="243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before="123"/>
              <w:ind w:left="14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561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4"/>
              <w:ind w:left="7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9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23" w:lineRule="exact" w:before="88"/>
              <w:ind w:left="14" w:righ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1F35"/>
                <w:spacing w:val="-2"/>
                <w:sz w:val="20"/>
              </w:rPr>
              <w:t>2.683</w:t>
            </w:r>
          </w:p>
        </w:tc>
      </w:tr>
      <w:tr>
        <w:trPr>
          <w:trHeight w:val="320" w:hRule="atLeast"/>
        </w:trPr>
        <w:tc>
          <w:tcPr>
            <w:tcW w:w="9895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3"/>
              <w:ind w:left="7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Atendimento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Urgência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</w:t>
            </w:r>
            <w:r>
              <w:rPr>
                <w:rFonts w:ascii="Arial" w:hAnsi="Arial"/>
                <w:b/>
                <w:spacing w:val="-2"/>
                <w:sz w:val="22"/>
              </w:rPr>
              <w:t> Emergência</w:t>
            </w:r>
          </w:p>
        </w:tc>
        <w:tc>
          <w:tcPr>
            <w:tcW w:w="2406" w:type="dxa"/>
          </w:tcPr>
          <w:p>
            <w:pPr>
              <w:pStyle w:val="TableParagraph"/>
              <w:spacing w:before="33"/>
              <w:ind w:left="1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3177" w:type="dxa"/>
          </w:tcPr>
          <w:p>
            <w:pPr>
              <w:pStyle w:val="TableParagraph"/>
              <w:spacing w:before="33"/>
              <w:ind w:left="14" w:right="3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2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Junho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3"/>
              <w:ind w:left="7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Demanda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espontânea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8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8"/>
              <w:ind w:left="14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543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3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Demanda </w:t>
            </w:r>
            <w:r>
              <w:rPr>
                <w:rFonts w:ascii="Arial MT"/>
                <w:spacing w:val="-2"/>
                <w:sz w:val="22"/>
              </w:rPr>
              <w:t>regulada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8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8"/>
              <w:ind w:left="1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2.140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4"/>
              <w:ind w:left="7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9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9"/>
              <w:ind w:left="14" w:right="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2.683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3"/>
              <w:ind w:left="7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Atendimento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da</w:t>
            </w:r>
            <w:r>
              <w:rPr>
                <w:rFonts w:ascii="Arial"/>
                <w:b/>
                <w:spacing w:val="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Porta</w:t>
            </w:r>
            <w:r>
              <w:rPr>
                <w:rFonts w:ascii="Arial"/>
                <w:b/>
                <w:spacing w:val="-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de</w:t>
            </w:r>
            <w:r>
              <w:rPr>
                <w:rFonts w:ascii="Arial"/>
                <w:b/>
                <w:spacing w:val="-1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Entrada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8"/>
              <w:ind w:left="1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8"/>
              <w:ind w:left="14" w:right="3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2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Junho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3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Cirurgia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Buco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Maxilo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Facial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8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8"/>
              <w:ind w:left="14" w:righ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3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Cirurgia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Geral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8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8"/>
              <w:ind w:left="14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941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4"/>
              <w:ind w:left="7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Cirurgia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Torácica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9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9"/>
              <w:ind w:left="14" w:righ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3"/>
              <w:ind w:left="7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Clínica</w:t>
            </w:r>
            <w:r>
              <w:rPr>
                <w:rFonts w:ascii="Arial MT" w:hAnsi="Arial MT"/>
                <w:spacing w:val="-7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Médica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8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8"/>
              <w:ind w:left="1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1170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3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Ortopedia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e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Traumatologia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8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8"/>
              <w:ind w:left="14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3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Neurocirurgia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8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8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53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3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Otorrinolaringologia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8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8"/>
              <w:ind w:left="14" w:righ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4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Neurologia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9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9"/>
              <w:ind w:left="14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185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3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Angiologia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e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Cirurgia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Vascular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8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8"/>
              <w:ind w:left="14" w:righ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</w:tr>
      <w:tr>
        <w:trPr>
          <w:trHeight w:val="329" w:hRule="atLeast"/>
        </w:trPr>
        <w:tc>
          <w:tcPr>
            <w:tcW w:w="4312" w:type="dxa"/>
          </w:tcPr>
          <w:p>
            <w:pPr>
              <w:pStyle w:val="TableParagraph"/>
              <w:spacing w:before="34"/>
              <w:ind w:left="7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2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8"/>
              <w:ind w:left="14" w:right="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2.683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3"/>
              <w:ind w:left="7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Projeto</w:t>
            </w:r>
            <w:r>
              <w:rPr>
                <w:rFonts w:ascii="Arial"/>
                <w:b/>
                <w:spacing w:val="-1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Angels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9"/>
              <w:ind w:left="1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3177" w:type="dxa"/>
          </w:tcPr>
          <w:p>
            <w:pPr>
              <w:pStyle w:val="TableParagraph"/>
              <w:spacing w:line="251" w:lineRule="exact" w:before="59"/>
              <w:ind w:left="14" w:right="2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 </w:t>
            </w:r>
            <w:r>
              <w:rPr>
                <w:rFonts w:ascii="Arial" w:hAnsi="Arial"/>
                <w:b/>
                <w:spacing w:val="-4"/>
                <w:sz w:val="22"/>
              </w:rPr>
              <w:t>Junho</w:t>
            </w:r>
          </w:p>
        </w:tc>
      </w:tr>
      <w:tr>
        <w:trPr>
          <w:trHeight w:val="330" w:hRule="atLeast"/>
        </w:trPr>
        <w:tc>
          <w:tcPr>
            <w:tcW w:w="4312" w:type="dxa"/>
          </w:tcPr>
          <w:p>
            <w:pPr>
              <w:pStyle w:val="TableParagraph"/>
              <w:spacing w:before="34"/>
              <w:ind w:left="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Atendimentos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pacing w:val="-5"/>
                <w:sz w:val="22"/>
              </w:rPr>
              <w:t>AVC</w:t>
            </w:r>
          </w:p>
        </w:tc>
        <w:tc>
          <w:tcPr>
            <w:tcW w:w="2406" w:type="dxa"/>
          </w:tcPr>
          <w:p>
            <w:pPr>
              <w:pStyle w:val="TableParagraph"/>
              <w:spacing w:line="251" w:lineRule="exact" w:before="58"/>
              <w:ind w:left="16" w:right="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***</w:t>
            </w:r>
          </w:p>
        </w:tc>
        <w:tc>
          <w:tcPr>
            <w:tcW w:w="3177" w:type="dxa"/>
          </w:tcPr>
          <w:p>
            <w:pPr>
              <w:pStyle w:val="TableParagraph"/>
              <w:spacing w:before="43"/>
              <w:ind w:left="14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---</w:t>
            </w:r>
            <w:r>
              <w:rPr>
                <w:rFonts w:ascii="Arial"/>
                <w:b/>
                <w:spacing w:val="-10"/>
                <w:sz w:val="22"/>
              </w:rPr>
              <w:t>-</w:t>
            </w:r>
          </w:p>
        </w:tc>
      </w:tr>
    </w:tbl>
    <w:p>
      <w:pPr>
        <w:pStyle w:val="ListParagraph"/>
        <w:numPr>
          <w:ilvl w:val="1"/>
          <w:numId w:val="1"/>
        </w:numPr>
        <w:tabs>
          <w:tab w:pos="936" w:val="left" w:leader="none"/>
        </w:tabs>
        <w:spacing w:line="240" w:lineRule="auto" w:before="242" w:after="0"/>
        <w:ind w:left="936" w:right="0" w:hanging="367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Crítica</w:t>
      </w:r>
    </w:p>
    <w:p>
      <w:pPr>
        <w:pStyle w:val="BodyText"/>
        <w:spacing w:line="350" w:lineRule="auto" w:before="237"/>
        <w:ind w:left="684" w:right="561" w:firstLine="720"/>
        <w:jc w:val="both"/>
      </w:pPr>
      <w:r>
        <w:rPr/>
        <w:t>O</w:t>
      </w:r>
      <w:r>
        <w:rPr>
          <w:spacing w:val="-4"/>
        </w:rPr>
        <w:t> </w:t>
      </w:r>
      <w:r>
        <w:rPr/>
        <w:t>setor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urgência do HUGO</w:t>
      </w:r>
      <w:r>
        <w:rPr>
          <w:spacing w:val="-4"/>
        </w:rPr>
        <w:t> </w:t>
      </w:r>
      <w:r>
        <w:rPr/>
        <w:t>mantém</w:t>
      </w:r>
      <w:r>
        <w:rPr>
          <w:spacing w:val="-6"/>
        </w:rPr>
        <w:t> </w:t>
      </w:r>
      <w:r>
        <w:rPr/>
        <w:t>um</w:t>
      </w:r>
      <w:r>
        <w:rPr>
          <w:spacing w:val="-6"/>
        </w:rPr>
        <w:t> </w:t>
      </w:r>
      <w:r>
        <w:rPr/>
        <w:t>perfil</w:t>
      </w:r>
      <w:r>
        <w:rPr>
          <w:spacing w:val="-7"/>
        </w:rPr>
        <w:t> </w:t>
      </w:r>
      <w:r>
        <w:rPr/>
        <w:t>assistencial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alta</w:t>
      </w:r>
      <w:r>
        <w:rPr>
          <w:spacing w:val="-5"/>
        </w:rPr>
        <w:t> </w:t>
      </w:r>
      <w:r>
        <w:rPr/>
        <w:t>gravidade,</w:t>
      </w:r>
      <w:r>
        <w:rPr>
          <w:spacing w:val="-9"/>
        </w:rPr>
        <w:t> </w:t>
      </w:r>
      <w:r>
        <w:rPr/>
        <w:t>atendendo diariamente pacientes clínicos</w:t>
      </w:r>
      <w:r>
        <w:rPr>
          <w:spacing w:val="-3"/>
        </w:rPr>
        <w:t> </w:t>
      </w:r>
      <w:r>
        <w:rPr/>
        <w:t>e cirúrgicos complexos. No campo cirúrgico, prevalecem casos</w:t>
      </w:r>
      <w:r>
        <w:rPr>
          <w:spacing w:val="-3"/>
        </w:rPr>
        <w:t> </w:t>
      </w:r>
      <w:r>
        <w:rPr/>
        <w:t>de politraumatismo, traumatismo cranioencefálico (TCE), sangramentos intracranianos, lesões expansivas e alterações vasculares agudas. Na clínica médica, destacam-se os pacientes com hemorragia</w:t>
      </w:r>
      <w:r>
        <w:rPr>
          <w:spacing w:val="23"/>
        </w:rPr>
        <w:t> </w:t>
      </w:r>
      <w:r>
        <w:rPr/>
        <w:t>digestiva</w:t>
      </w:r>
      <w:r>
        <w:rPr>
          <w:spacing w:val="28"/>
        </w:rPr>
        <w:t> </w:t>
      </w:r>
      <w:r>
        <w:rPr/>
        <w:t>alta</w:t>
      </w:r>
      <w:r>
        <w:rPr>
          <w:spacing w:val="34"/>
        </w:rPr>
        <w:t> </w:t>
      </w:r>
      <w:r>
        <w:rPr/>
        <w:t>—</w:t>
      </w:r>
      <w:r>
        <w:rPr>
          <w:spacing w:val="27"/>
        </w:rPr>
        <w:t> </w:t>
      </w:r>
      <w:r>
        <w:rPr/>
        <w:t>condição</w:t>
      </w:r>
      <w:r>
        <w:rPr>
          <w:spacing w:val="23"/>
        </w:rPr>
        <w:t> </w:t>
      </w:r>
      <w:r>
        <w:rPr/>
        <w:t>para</w:t>
      </w:r>
      <w:r>
        <w:rPr>
          <w:spacing w:val="23"/>
        </w:rPr>
        <w:t> </w:t>
      </w:r>
      <w:r>
        <w:rPr/>
        <w:t>a</w:t>
      </w:r>
      <w:r>
        <w:rPr>
          <w:spacing w:val="28"/>
        </w:rPr>
        <w:t> </w:t>
      </w:r>
      <w:r>
        <w:rPr/>
        <w:t>qual</w:t>
      </w:r>
      <w:r>
        <w:rPr>
          <w:spacing w:val="22"/>
        </w:rPr>
        <w:t> </w:t>
      </w:r>
      <w:r>
        <w:rPr/>
        <w:t>o</w:t>
      </w:r>
      <w:r>
        <w:rPr>
          <w:spacing w:val="28"/>
        </w:rPr>
        <w:t> </w:t>
      </w:r>
      <w:r>
        <w:rPr/>
        <w:t>hospital</w:t>
      </w:r>
      <w:r>
        <w:rPr>
          <w:spacing w:val="27"/>
        </w:rPr>
        <w:t> </w:t>
      </w:r>
      <w:r>
        <w:rPr/>
        <w:t>é</w:t>
      </w:r>
      <w:r>
        <w:rPr>
          <w:spacing w:val="28"/>
        </w:rPr>
        <w:t> </w:t>
      </w:r>
      <w:r>
        <w:rPr/>
        <w:t>referência</w:t>
      </w:r>
      <w:r>
        <w:rPr>
          <w:spacing w:val="23"/>
        </w:rPr>
        <w:t> </w:t>
      </w:r>
      <w:r>
        <w:rPr/>
        <w:t>estadual</w:t>
      </w:r>
      <w:r>
        <w:rPr>
          <w:spacing w:val="39"/>
        </w:rPr>
        <w:t> </w:t>
      </w:r>
      <w:r>
        <w:rPr/>
        <w:t>—</w:t>
      </w:r>
      <w:r>
        <w:rPr>
          <w:spacing w:val="26"/>
        </w:rPr>
        <w:t> </w:t>
      </w:r>
      <w:r>
        <w:rPr/>
        <w:t>além</w:t>
      </w:r>
      <w:r>
        <w:rPr>
          <w:spacing w:val="23"/>
        </w:rPr>
        <w:t> </w:t>
      </w:r>
      <w:r>
        <w:rPr/>
        <w:t>de</w:t>
      </w:r>
    </w:p>
    <w:p>
      <w:pPr>
        <w:pStyle w:val="BodyText"/>
        <w:spacing w:after="0" w:line="350" w:lineRule="auto"/>
        <w:jc w:val="both"/>
        <w:sectPr>
          <w:pgSz w:w="11910" w:h="16840"/>
          <w:pgMar w:header="1067" w:footer="580" w:top="2440" w:bottom="780" w:left="566" w:right="566"/>
        </w:sectPr>
      </w:pPr>
    </w:p>
    <w:p>
      <w:pPr>
        <w:pStyle w:val="BodyText"/>
        <w:spacing w:line="350" w:lineRule="auto" w:before="245"/>
        <w:ind w:left="684" w:right="576"/>
        <w:jc w:val="both"/>
      </w:pPr>
      <w:r>
        <w:rPr/>
        <w:t>quadros</w:t>
      </w:r>
      <w:r>
        <w:rPr>
          <w:spacing w:val="-10"/>
        </w:rPr>
        <w:t> </w:t>
      </w:r>
      <w:r>
        <w:rPr/>
        <w:t>graves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choque</w:t>
      </w:r>
      <w:r>
        <w:rPr>
          <w:spacing w:val="-7"/>
        </w:rPr>
        <w:t> </w:t>
      </w:r>
      <w:r>
        <w:rPr/>
        <w:t>séptico,</w:t>
      </w:r>
      <w:r>
        <w:rPr>
          <w:spacing w:val="-11"/>
        </w:rPr>
        <w:t> </w:t>
      </w:r>
      <w:r>
        <w:rPr/>
        <w:t>acidentes</w:t>
      </w:r>
      <w:r>
        <w:rPr>
          <w:spacing w:val="-10"/>
        </w:rPr>
        <w:t> </w:t>
      </w:r>
      <w:r>
        <w:rPr/>
        <w:t>vasculares</w:t>
      </w:r>
      <w:r>
        <w:rPr>
          <w:spacing w:val="-10"/>
        </w:rPr>
        <w:t> </w:t>
      </w:r>
      <w:r>
        <w:rPr/>
        <w:t>cerebrais</w:t>
      </w:r>
      <w:r>
        <w:rPr>
          <w:spacing w:val="-10"/>
        </w:rPr>
        <w:t> </w:t>
      </w:r>
      <w:r>
        <w:rPr/>
        <w:t>(isquêmicos</w:t>
      </w:r>
      <w:r>
        <w:rPr>
          <w:spacing w:val="-10"/>
        </w:rPr>
        <w:t> </w:t>
      </w:r>
      <w:r>
        <w:rPr/>
        <w:t>e</w:t>
      </w:r>
      <w:r>
        <w:rPr>
          <w:spacing w:val="-7"/>
        </w:rPr>
        <w:t> </w:t>
      </w:r>
      <w:r>
        <w:rPr/>
        <w:t>hemorrágicos)</w:t>
      </w:r>
      <w:r>
        <w:rPr>
          <w:spacing w:val="-8"/>
        </w:rPr>
        <w:t> </w:t>
      </w:r>
      <w:r>
        <w:rPr/>
        <w:t>e alterações neurológicas de alta complexidade.</w:t>
      </w:r>
    </w:p>
    <w:p>
      <w:pPr>
        <w:pStyle w:val="BodyText"/>
        <w:spacing w:line="350" w:lineRule="auto"/>
        <w:ind w:left="684" w:right="559" w:firstLine="720"/>
        <w:jc w:val="both"/>
      </w:pPr>
      <w:r>
        <w:rPr/>
        <w:t>A superlotação permanece como um desafio estrutural e assistencial crítico. O pronto- socorro</w:t>
      </w:r>
      <w:r>
        <w:rPr>
          <w:spacing w:val="-14"/>
        </w:rPr>
        <w:t> </w:t>
      </w:r>
      <w:r>
        <w:rPr/>
        <w:t>frequentemente</w:t>
      </w:r>
      <w:r>
        <w:rPr>
          <w:spacing w:val="-13"/>
        </w:rPr>
        <w:t> </w:t>
      </w:r>
      <w:r>
        <w:rPr/>
        <w:t>opera</w:t>
      </w:r>
      <w:r>
        <w:rPr>
          <w:spacing w:val="-13"/>
        </w:rPr>
        <w:t> </w:t>
      </w:r>
      <w:r>
        <w:rPr/>
        <w:t>acima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sua</w:t>
      </w:r>
      <w:r>
        <w:rPr>
          <w:spacing w:val="-13"/>
        </w:rPr>
        <w:t> </w:t>
      </w:r>
      <w:r>
        <w:rPr/>
        <w:t>capacidade</w:t>
      </w:r>
      <w:r>
        <w:rPr>
          <w:spacing w:val="-13"/>
        </w:rPr>
        <w:t> </w:t>
      </w:r>
      <w:r>
        <w:rPr/>
        <w:t>instalada,</w:t>
      </w:r>
      <w:r>
        <w:rPr>
          <w:spacing w:val="-16"/>
        </w:rPr>
        <w:t> </w:t>
      </w:r>
      <w:r>
        <w:rPr/>
        <w:t>servindo</w:t>
      </w:r>
      <w:r>
        <w:rPr>
          <w:spacing w:val="-12"/>
        </w:rPr>
        <w:t> </w:t>
      </w:r>
      <w:r>
        <w:rPr/>
        <w:t>como</w:t>
      </w:r>
      <w:r>
        <w:rPr>
          <w:spacing w:val="-13"/>
        </w:rPr>
        <w:t> </w:t>
      </w:r>
      <w:r>
        <w:rPr/>
        <w:t>retaguarda</w:t>
      </w:r>
      <w:r>
        <w:rPr>
          <w:spacing w:val="-13"/>
        </w:rPr>
        <w:t> </w:t>
      </w:r>
      <w:r>
        <w:rPr/>
        <w:t>para pacientes graves que aguardam alocação em unidades de internação ou CTI. Muitos pacientes permanecem por dias sob cuidados intensivos improvisados no próprio pronto-socorro, seja por ausência de vaga na UTI, seja por limitações de giro de leitos nas enfermarias. Este cenário se soma à demanda espontânea e regulada de pacientes críticos, muitos deles admitidos já em ventilação mecânica ou em uso de drogas vasoativas.</w:t>
      </w:r>
    </w:p>
    <w:p>
      <w:pPr>
        <w:pStyle w:val="BodyText"/>
        <w:spacing w:line="350" w:lineRule="auto"/>
        <w:ind w:left="684" w:right="562" w:firstLine="720"/>
        <w:jc w:val="both"/>
      </w:pPr>
      <w:r>
        <w:rPr/>
        <w:t>Em junho,</w:t>
      </w:r>
      <w:r>
        <w:rPr>
          <w:spacing w:val="-2"/>
        </w:rPr>
        <w:t> </w:t>
      </w:r>
      <w:r>
        <w:rPr/>
        <w:t>a estrutura física do setor novamente se mostrou insuficiente frente ao volume e à gravidade dos casos atendidos. Houve momentos em que pacientes graves permaneceram em</w:t>
      </w:r>
      <w:r>
        <w:rPr>
          <w:spacing w:val="-3"/>
        </w:rPr>
        <w:t> </w:t>
      </w:r>
      <w:r>
        <w:rPr/>
        <w:t>macas</w:t>
      </w:r>
      <w:r>
        <w:rPr>
          <w:spacing w:val="-5"/>
        </w:rPr>
        <w:t> </w:t>
      </w:r>
      <w:r>
        <w:rPr/>
        <w:t>extras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corredores,</w:t>
      </w:r>
      <w:r>
        <w:rPr>
          <w:spacing w:val="-6"/>
        </w:rPr>
        <w:t> </w:t>
      </w:r>
      <w:r>
        <w:rPr/>
        <w:t>com</w:t>
      </w:r>
      <w:r>
        <w:rPr>
          <w:spacing w:val="-3"/>
        </w:rPr>
        <w:t> </w:t>
      </w:r>
      <w:r>
        <w:rPr/>
        <w:t>impacto</w:t>
      </w:r>
      <w:r>
        <w:rPr>
          <w:spacing w:val="-2"/>
        </w:rPr>
        <w:t> </w:t>
      </w:r>
      <w:r>
        <w:rPr/>
        <w:t>negativo</w:t>
      </w:r>
      <w:r>
        <w:rPr>
          <w:spacing w:val="-2"/>
        </w:rPr>
        <w:t> </w:t>
      </w:r>
      <w:r>
        <w:rPr/>
        <w:t>na</w:t>
      </w:r>
      <w:r>
        <w:rPr>
          <w:spacing w:val="-7"/>
        </w:rPr>
        <w:t> </w:t>
      </w:r>
      <w:r>
        <w:rPr/>
        <w:t>privacidade,</w:t>
      </w:r>
      <w:r>
        <w:rPr>
          <w:spacing w:val="-6"/>
        </w:rPr>
        <w:t> </w:t>
      </w:r>
      <w:r>
        <w:rPr/>
        <w:t>no</w:t>
      </w:r>
      <w:r>
        <w:rPr>
          <w:spacing w:val="-2"/>
        </w:rPr>
        <w:t> </w:t>
      </w:r>
      <w:r>
        <w:rPr/>
        <w:t>conforto</w:t>
      </w:r>
      <w:r>
        <w:rPr>
          <w:spacing w:val="-2"/>
        </w:rPr>
        <w:t> </w:t>
      </w:r>
      <w:r>
        <w:rPr/>
        <w:t>e na</w:t>
      </w:r>
      <w:r>
        <w:rPr>
          <w:spacing w:val="-2"/>
        </w:rPr>
        <w:t> </w:t>
      </w:r>
      <w:r>
        <w:rPr/>
        <w:t>segurança assistencial, além de aumentar a sobrecarga emocional e operacional das equipes </w:t>
      </w:r>
      <w:r>
        <w:rPr>
          <w:spacing w:val="-2"/>
        </w:rPr>
        <w:t>multiprofissionais.</w:t>
      </w:r>
    </w:p>
    <w:p>
      <w:pPr>
        <w:pStyle w:val="BodyText"/>
        <w:spacing w:line="350" w:lineRule="auto"/>
        <w:ind w:left="684" w:right="559" w:firstLine="720"/>
        <w:jc w:val="both"/>
      </w:pPr>
      <w:r>
        <w:rPr/>
        <w:t>O bloqueio de fluxo gerado pela lentidão no giro de leitos clínicos e de terapia intensiva compromete o acolhimento adequado de novos casos graves, prolonga a permanência de pacientes</w:t>
      </w:r>
      <w:r>
        <w:rPr>
          <w:spacing w:val="-16"/>
        </w:rPr>
        <w:t> </w:t>
      </w:r>
      <w:r>
        <w:rPr/>
        <w:t>críticos</w:t>
      </w:r>
      <w:r>
        <w:rPr>
          <w:spacing w:val="-15"/>
        </w:rPr>
        <w:t> </w:t>
      </w:r>
      <w:r>
        <w:rPr/>
        <w:t>na</w:t>
      </w:r>
      <w:r>
        <w:rPr>
          <w:spacing w:val="-15"/>
        </w:rPr>
        <w:t> </w:t>
      </w:r>
      <w:r>
        <w:rPr/>
        <w:t>emergência</w:t>
      </w:r>
      <w:r>
        <w:rPr>
          <w:spacing w:val="-14"/>
        </w:rPr>
        <w:t> </w:t>
      </w:r>
      <w:r>
        <w:rPr/>
        <w:t>e</w:t>
      </w:r>
      <w:r>
        <w:rPr>
          <w:spacing w:val="-11"/>
        </w:rPr>
        <w:t> </w:t>
      </w:r>
      <w:r>
        <w:rPr/>
        <w:t>contribui</w:t>
      </w:r>
      <w:r>
        <w:rPr>
          <w:spacing w:val="-13"/>
        </w:rPr>
        <w:t> </w:t>
      </w:r>
      <w:r>
        <w:rPr/>
        <w:t>para</w:t>
      </w:r>
      <w:r>
        <w:rPr>
          <w:spacing w:val="-11"/>
        </w:rPr>
        <w:t> </w:t>
      </w:r>
      <w:r>
        <w:rPr/>
        <w:t>o</w:t>
      </w:r>
      <w:r>
        <w:rPr>
          <w:spacing w:val="-16"/>
        </w:rPr>
        <w:t> </w:t>
      </w:r>
      <w:r>
        <w:rPr/>
        <w:t>esgotamento</w:t>
      </w:r>
      <w:r>
        <w:rPr>
          <w:spacing w:val="-15"/>
        </w:rPr>
        <w:t> </w:t>
      </w:r>
      <w:r>
        <w:rPr/>
        <w:t>dos</w:t>
      </w:r>
      <w:r>
        <w:rPr>
          <w:spacing w:val="-15"/>
        </w:rPr>
        <w:t> </w:t>
      </w:r>
      <w:r>
        <w:rPr/>
        <w:t>recursos</w:t>
      </w:r>
      <w:r>
        <w:rPr>
          <w:spacing w:val="-14"/>
        </w:rPr>
        <w:t> </w:t>
      </w:r>
      <w:r>
        <w:rPr/>
        <w:t>físicos,</w:t>
      </w:r>
      <w:r>
        <w:rPr>
          <w:spacing w:val="-15"/>
        </w:rPr>
        <w:t> </w:t>
      </w:r>
      <w:r>
        <w:rPr/>
        <w:t>tecnológicos e humanos do setor. Este cenário reafirma a necessidade de integração efetiva entre regulação interna,</w:t>
      </w:r>
      <w:r>
        <w:rPr>
          <w:spacing w:val="-16"/>
        </w:rPr>
        <w:t> </w:t>
      </w:r>
      <w:r>
        <w:rPr/>
        <w:t>equipe</w:t>
      </w:r>
      <w:r>
        <w:rPr>
          <w:spacing w:val="-9"/>
        </w:rPr>
        <w:t> </w:t>
      </w:r>
      <w:r>
        <w:rPr/>
        <w:t>multiprofissional</w:t>
      </w:r>
      <w:r>
        <w:rPr>
          <w:spacing w:val="-12"/>
        </w:rPr>
        <w:t> </w:t>
      </w:r>
      <w:r>
        <w:rPr/>
        <w:t>e</w:t>
      </w:r>
      <w:r>
        <w:rPr>
          <w:spacing w:val="-10"/>
        </w:rPr>
        <w:t> </w:t>
      </w:r>
      <w:r>
        <w:rPr/>
        <w:t>gestão</w:t>
      </w:r>
      <w:r>
        <w:rPr>
          <w:spacing w:val="-10"/>
        </w:rPr>
        <w:t> </w:t>
      </w:r>
      <w:r>
        <w:rPr/>
        <w:t>hospitalar,</w:t>
      </w:r>
      <w:r>
        <w:rPr>
          <w:spacing w:val="-16"/>
        </w:rPr>
        <w:t> </w:t>
      </w:r>
      <w:r>
        <w:rPr/>
        <w:t>mas</w:t>
      </w:r>
      <w:r>
        <w:rPr>
          <w:spacing w:val="-12"/>
        </w:rPr>
        <w:t> </w:t>
      </w:r>
      <w:r>
        <w:rPr/>
        <w:t>também</w:t>
      </w:r>
      <w:r>
        <w:rPr>
          <w:spacing w:val="-11"/>
        </w:rPr>
        <w:t> </w:t>
      </w:r>
      <w:r>
        <w:rPr/>
        <w:t>evidencia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papel</w:t>
      </w:r>
      <w:r>
        <w:rPr>
          <w:spacing w:val="-12"/>
        </w:rPr>
        <w:t> </w:t>
      </w:r>
      <w:r>
        <w:rPr/>
        <w:t>estratégico</w:t>
      </w:r>
      <w:r>
        <w:rPr>
          <w:spacing w:val="-10"/>
        </w:rPr>
        <w:t> </w:t>
      </w:r>
      <w:r>
        <w:rPr/>
        <w:t>da regulação central da Secretaria de Estado da Saúde, que deve reavaliar e redistribuir demandas para evitar a sobrecarga de unidades que já operam acima de sua capacidade segura.</w:t>
      </w:r>
    </w:p>
    <w:p>
      <w:pPr>
        <w:pStyle w:val="BodyText"/>
        <w:spacing w:line="350" w:lineRule="auto"/>
        <w:ind w:left="684" w:right="557" w:firstLine="720"/>
        <w:jc w:val="both"/>
      </w:pPr>
      <w:r>
        <w:rPr/>
        <w:t>A emergência, nesse contexto, reflete toda a dinâmica hospitalar. Concentra a demanda interna — pacientes aguardando transferência para CTI ou enfermaria — e a demanda externa regulada ou espontânea, muitas vezes simultaneamente. Sua função ultrapassa o acolhimento imediato, atuando como uma válvula de contenção de pressão assistencial e sistêmica. As limitações físicas e estruturais do setor frente à complexidade crescente dos casos atendidos reforçam</w:t>
      </w:r>
      <w:r>
        <w:rPr>
          <w:spacing w:val="-1"/>
        </w:rPr>
        <w:t> </w:t>
      </w:r>
      <w:r>
        <w:rPr/>
        <w:t>o desafio de prestar</w:t>
      </w:r>
      <w:r>
        <w:rPr>
          <w:spacing w:val="-1"/>
        </w:rPr>
        <w:t> </w:t>
      </w:r>
      <w:r>
        <w:rPr/>
        <w:t>assistência com segurança, qualidade e dignidade em</w:t>
      </w:r>
      <w:r>
        <w:rPr>
          <w:spacing w:val="-1"/>
        </w:rPr>
        <w:t> </w:t>
      </w:r>
      <w:r>
        <w:rPr/>
        <w:t>um</w:t>
      </w:r>
      <w:r>
        <w:rPr>
          <w:spacing w:val="-1"/>
        </w:rPr>
        <w:t> </w:t>
      </w:r>
      <w:r>
        <w:rPr/>
        <w:t>contexto de alta imprevisibilidade e restrição de recursos do SUS.</w:t>
      </w:r>
    </w:p>
    <w:p>
      <w:pPr>
        <w:pStyle w:val="BodyText"/>
        <w:spacing w:after="0" w:line="350" w:lineRule="auto"/>
        <w:jc w:val="both"/>
        <w:sectPr>
          <w:pgSz w:w="11910" w:h="16840"/>
          <w:pgMar w:header="1067" w:footer="580" w:top="2440" w:bottom="780" w:left="566" w:right="566"/>
        </w:sectPr>
      </w:pPr>
    </w:p>
    <w:p>
      <w:pPr>
        <w:pStyle w:val="ListParagraph"/>
        <w:numPr>
          <w:ilvl w:val="0"/>
          <w:numId w:val="1"/>
        </w:numPr>
        <w:tabs>
          <w:tab w:pos="1574" w:val="left" w:leader="none"/>
        </w:tabs>
        <w:spacing w:line="268" w:lineRule="exact" w:before="0" w:after="0"/>
        <w:ind w:left="1574" w:right="0" w:hanging="720"/>
        <w:jc w:val="left"/>
        <w:rPr>
          <w:rFonts w:ascii="Arial"/>
          <w:b/>
          <w:sz w:val="24"/>
        </w:rPr>
      </w:pPr>
      <w:bookmarkStart w:name="3. Indicadores de desempenho" w:id="36"/>
      <w:bookmarkEnd w:id="36"/>
      <w:r>
        <w:rPr/>
      </w:r>
      <w:r>
        <w:rPr>
          <w:rFonts w:ascii="Arial"/>
          <w:b/>
          <w:sz w:val="22"/>
        </w:rPr>
        <w:t>Indicadores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pacing w:val="-2"/>
          <w:sz w:val="22"/>
        </w:rPr>
        <w:t>desempenho</w:t>
      </w:r>
    </w:p>
    <w:p>
      <w:pPr>
        <w:pStyle w:val="BodyText"/>
        <w:spacing w:before="134"/>
        <w:rPr>
          <w:rFonts w:ascii="Arial"/>
          <w:b/>
        </w:rPr>
      </w:pPr>
    </w:p>
    <w:p>
      <w:pPr>
        <w:pStyle w:val="BodyText"/>
        <w:spacing w:line="350" w:lineRule="auto" w:before="1"/>
        <w:ind w:left="734" w:right="86" w:firstLine="720"/>
        <w:jc w:val="both"/>
      </w:pPr>
      <w:r>
        <w:rPr/>
        <w:t>O termo de colaboração firmado estabelece que 10% do valor global do orçamento, denominado parte variável, estejam vinculados ao cumprimento de metas relativas à avaliação do desempenho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qualidade</w:t>
      </w:r>
      <w:r>
        <w:rPr>
          <w:spacing w:val="-1"/>
        </w:rPr>
        <w:t> </w:t>
      </w:r>
      <w:r>
        <w:rPr/>
        <w:t>dos</w:t>
      </w:r>
      <w:r>
        <w:rPr>
          <w:spacing w:val="-4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apresentados.</w:t>
      </w:r>
      <w:r>
        <w:rPr>
          <w:spacing w:val="-5"/>
        </w:rPr>
        <w:t> </w:t>
      </w:r>
      <w:r>
        <w:rPr/>
        <w:t>Esses</w:t>
      </w:r>
      <w:r>
        <w:rPr>
          <w:spacing w:val="-4"/>
        </w:rPr>
        <w:t> </w:t>
      </w:r>
      <w:r>
        <w:rPr/>
        <w:t>indicadores</w:t>
      </w:r>
      <w:r>
        <w:rPr>
          <w:spacing w:val="-4"/>
        </w:rPr>
        <w:t> </w:t>
      </w:r>
      <w:r>
        <w:rPr/>
        <w:t>são</w:t>
      </w:r>
      <w:r>
        <w:rPr>
          <w:spacing w:val="-1"/>
        </w:rPr>
        <w:t> </w:t>
      </w:r>
      <w:r>
        <w:rPr/>
        <w:t>definidos de</w:t>
      </w:r>
      <w:r>
        <w:rPr>
          <w:spacing w:val="-1"/>
        </w:rPr>
        <w:t> </w:t>
      </w:r>
      <w:r>
        <w:rPr/>
        <w:t>acordo</w:t>
      </w:r>
      <w:r>
        <w:rPr>
          <w:spacing w:val="-1"/>
        </w:rPr>
        <w:t> </w:t>
      </w:r>
      <w:r>
        <w:rPr/>
        <w:t>com o perfil de cada unidade hospitalar, foi definido para o HUGO os indicadores listados nas tabelas </w:t>
      </w:r>
      <w:r>
        <w:rPr>
          <w:spacing w:val="-2"/>
        </w:rPr>
        <w:t>abaixo.</w:t>
      </w:r>
    </w:p>
    <w:p>
      <w:pPr>
        <w:pStyle w:val="BodyText"/>
        <w:spacing w:before="30"/>
        <w:rPr>
          <w:sz w:val="20"/>
        </w:rPr>
      </w:pPr>
    </w:p>
    <w:tbl>
      <w:tblPr>
        <w:tblW w:w="0" w:type="auto"/>
        <w:jc w:val="left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5"/>
        <w:gridCol w:w="843"/>
        <w:gridCol w:w="3827"/>
      </w:tblGrid>
      <w:tr>
        <w:trPr>
          <w:trHeight w:val="300" w:hRule="atLeast"/>
        </w:trPr>
        <w:tc>
          <w:tcPr>
            <w:tcW w:w="5085" w:type="dxa"/>
          </w:tcPr>
          <w:p>
            <w:pPr>
              <w:pStyle w:val="TableParagraph"/>
              <w:spacing w:line="231" w:lineRule="exact" w:before="48"/>
              <w:ind w:left="6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Indicadores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de</w:t>
            </w:r>
            <w:r>
              <w:rPr>
                <w:rFonts w:ascii="Arial"/>
                <w:b/>
                <w:spacing w:val="-1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Desempenho</w:t>
            </w:r>
          </w:p>
        </w:tc>
        <w:tc>
          <w:tcPr>
            <w:tcW w:w="843" w:type="dxa"/>
          </w:tcPr>
          <w:p>
            <w:pPr>
              <w:pStyle w:val="TableParagraph"/>
              <w:spacing w:line="231" w:lineRule="exact" w:before="48"/>
              <w:ind w:left="16" w:right="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3827" w:type="dxa"/>
          </w:tcPr>
          <w:p>
            <w:pPr>
              <w:pStyle w:val="TableParagraph"/>
              <w:spacing w:line="275" w:lineRule="exact" w:before="4"/>
              <w:ind w:left="14" w:right="8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Produção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Junho/25</w:t>
            </w:r>
          </w:p>
        </w:tc>
      </w:tr>
      <w:tr>
        <w:trPr>
          <w:trHeight w:val="432" w:hRule="atLeast"/>
        </w:trPr>
        <w:tc>
          <w:tcPr>
            <w:tcW w:w="508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8"/>
              <w:ind w:left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1.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Taxa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 Ocupação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Hospitalar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(TOH)</w:t>
            </w:r>
          </w:p>
        </w:tc>
        <w:tc>
          <w:tcPr>
            <w:tcW w:w="843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before="146"/>
              <w:rPr>
                <w:rFonts w:ascii="Arial MT"/>
                <w:sz w:val="22"/>
              </w:rPr>
            </w:pPr>
          </w:p>
          <w:p>
            <w:pPr>
              <w:pStyle w:val="TableParagraph"/>
              <w:ind w:left="109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≥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pacing w:val="-5"/>
                <w:sz w:val="22"/>
              </w:rPr>
              <w:t>90%</w:t>
            </w:r>
          </w:p>
        </w:tc>
        <w:tc>
          <w:tcPr>
            <w:tcW w:w="38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8"/>
              <w:ind w:left="14" w:right="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96,37%</w:t>
            </w:r>
          </w:p>
        </w:tc>
      </w:tr>
      <w:tr>
        <w:trPr>
          <w:trHeight w:val="297" w:hRule="atLeast"/>
        </w:trPr>
        <w:tc>
          <w:tcPr>
            <w:tcW w:w="50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6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Total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pacientes-dia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período</w:t>
            </w: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6"/>
              <w:ind w:left="14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10.446</w:t>
            </w:r>
          </w:p>
        </w:tc>
      </w:tr>
      <w:tr>
        <w:trPr>
          <w:trHeight w:val="300" w:hRule="atLeast"/>
        </w:trPr>
        <w:tc>
          <w:tcPr>
            <w:tcW w:w="5085" w:type="dxa"/>
          </w:tcPr>
          <w:p>
            <w:pPr>
              <w:pStyle w:val="TableParagraph"/>
              <w:spacing w:before="18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Total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leitos-dia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operacionais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no</w:t>
            </w:r>
            <w:r>
              <w:rPr>
                <w:rFonts w:ascii="Arial MT" w:hAnsi="Arial MT"/>
                <w:spacing w:val="-2"/>
                <w:sz w:val="22"/>
              </w:rPr>
              <w:t> período</w:t>
            </w: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18"/>
              <w:ind w:left="14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10.840</w:t>
            </w:r>
          </w:p>
        </w:tc>
      </w:tr>
      <w:tr>
        <w:trPr>
          <w:trHeight w:val="490" w:hRule="atLeast"/>
        </w:trPr>
        <w:tc>
          <w:tcPr>
            <w:tcW w:w="508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2.</w:t>
            </w:r>
            <w:r>
              <w:rPr>
                <w:rFonts w:ascii="Arial" w:hAnsi="Arial"/>
                <w:b/>
                <w:spacing w:val="-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Taxa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Média/Tempo</w:t>
            </w:r>
            <w:r>
              <w:rPr>
                <w:rFonts w:ascii="Arial" w:hAnsi="Arial"/>
                <w:b/>
                <w:spacing w:val="-1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Médio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Permanência Hospitalar (TMP)</w:t>
            </w:r>
          </w:p>
        </w:tc>
        <w:tc>
          <w:tcPr>
            <w:tcW w:w="843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before="170"/>
              <w:rPr>
                <w:rFonts w:ascii="Arial MT"/>
                <w:sz w:val="22"/>
              </w:rPr>
            </w:pPr>
          </w:p>
          <w:p>
            <w:pPr>
              <w:pStyle w:val="TableParagraph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5"/>
                <w:sz w:val="22"/>
              </w:rPr>
              <w:t>≤7</w:t>
            </w:r>
          </w:p>
        </w:tc>
        <w:tc>
          <w:tcPr>
            <w:tcW w:w="3827" w:type="dxa"/>
          </w:tcPr>
          <w:p>
            <w:pPr>
              <w:pStyle w:val="TableParagraph"/>
              <w:spacing w:before="113"/>
              <w:ind w:left="14" w:right="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9,29</w:t>
            </w:r>
          </w:p>
        </w:tc>
      </w:tr>
      <w:tr>
        <w:trPr>
          <w:trHeight w:val="298" w:hRule="atLeast"/>
        </w:trPr>
        <w:tc>
          <w:tcPr>
            <w:tcW w:w="5085" w:type="dxa"/>
          </w:tcPr>
          <w:p>
            <w:pPr>
              <w:pStyle w:val="TableParagraph"/>
              <w:spacing w:before="16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Total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pacientes-dia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no</w:t>
            </w:r>
            <w:r>
              <w:rPr>
                <w:rFonts w:ascii="Arial MT" w:hAnsi="Arial MT"/>
                <w:spacing w:val="-2"/>
                <w:sz w:val="22"/>
              </w:rPr>
              <w:t> período</w:t>
            </w: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16"/>
              <w:ind w:left="14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10.446</w:t>
            </w:r>
          </w:p>
        </w:tc>
      </w:tr>
      <w:tr>
        <w:trPr>
          <w:trHeight w:val="300" w:hRule="atLeast"/>
        </w:trPr>
        <w:tc>
          <w:tcPr>
            <w:tcW w:w="5085" w:type="dxa"/>
          </w:tcPr>
          <w:p>
            <w:pPr>
              <w:pStyle w:val="TableParagraph"/>
              <w:spacing w:before="18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Total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saídas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hospitalares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no</w:t>
            </w:r>
            <w:r>
              <w:rPr>
                <w:rFonts w:ascii="Arial MT" w:hAnsi="Arial MT"/>
                <w:spacing w:val="-2"/>
                <w:sz w:val="22"/>
              </w:rPr>
              <w:t> período</w:t>
            </w: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18"/>
              <w:ind w:left="1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1.125</w:t>
            </w:r>
          </w:p>
        </w:tc>
      </w:tr>
      <w:tr>
        <w:trPr>
          <w:trHeight w:val="420" w:hRule="atLeast"/>
        </w:trPr>
        <w:tc>
          <w:tcPr>
            <w:tcW w:w="508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3.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Índice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Intervalo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Substituição</w:t>
            </w:r>
            <w:r>
              <w:rPr>
                <w:rFonts w:ascii="Arial" w:hAnsi="Arial"/>
                <w:b/>
                <w:spacing w:val="-2"/>
                <w:sz w:val="22"/>
              </w:rPr>
              <w:t> (horas)</w:t>
            </w:r>
          </w:p>
        </w:tc>
        <w:tc>
          <w:tcPr>
            <w:tcW w:w="843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before="135"/>
              <w:rPr>
                <w:rFonts w:ascii="Arial MT"/>
                <w:sz w:val="22"/>
              </w:rPr>
            </w:pPr>
          </w:p>
          <w:p>
            <w:pPr>
              <w:pStyle w:val="TableParagraph"/>
              <w:ind w:left="235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5"/>
                <w:sz w:val="22"/>
              </w:rPr>
              <w:t>≤24</w:t>
            </w:r>
          </w:p>
        </w:tc>
        <w:tc>
          <w:tcPr>
            <w:tcW w:w="3827" w:type="dxa"/>
          </w:tcPr>
          <w:p>
            <w:pPr>
              <w:pStyle w:val="TableParagraph"/>
              <w:spacing w:before="78"/>
              <w:ind w:left="14" w:right="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8,41</w:t>
            </w:r>
          </w:p>
        </w:tc>
      </w:tr>
      <w:tr>
        <w:trPr>
          <w:trHeight w:val="300" w:hRule="atLeast"/>
        </w:trPr>
        <w:tc>
          <w:tcPr>
            <w:tcW w:w="5085" w:type="dxa"/>
          </w:tcPr>
          <w:p>
            <w:pPr>
              <w:pStyle w:val="TableParagraph"/>
              <w:spacing w:before="18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Taxa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ocupação</w:t>
            </w:r>
            <w:r>
              <w:rPr>
                <w:rFonts w:ascii="Arial MT" w:hAnsi="Arial MT"/>
                <w:spacing w:val="-2"/>
                <w:sz w:val="22"/>
              </w:rPr>
              <w:t> hospitalar</w:t>
            </w: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18"/>
              <w:ind w:left="14" w:right="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96,37%</w:t>
            </w:r>
          </w:p>
        </w:tc>
      </w:tr>
      <w:tr>
        <w:trPr>
          <w:trHeight w:val="300" w:hRule="atLeast"/>
        </w:trPr>
        <w:tc>
          <w:tcPr>
            <w:tcW w:w="5085" w:type="dxa"/>
          </w:tcPr>
          <w:p>
            <w:pPr>
              <w:pStyle w:val="TableParagraph"/>
              <w:spacing w:before="18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Tempo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médio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permanência</w:t>
            </w: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18"/>
              <w:ind w:left="14" w:right="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9,29</w:t>
            </w:r>
          </w:p>
        </w:tc>
      </w:tr>
      <w:tr>
        <w:trPr>
          <w:trHeight w:val="490" w:hRule="atLeast"/>
        </w:trPr>
        <w:tc>
          <w:tcPr>
            <w:tcW w:w="508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4.</w:t>
            </w:r>
            <w:r>
              <w:rPr>
                <w:rFonts w:ascii="Arial" w:hAnsi="Arial"/>
                <w:b/>
                <w:spacing w:val="-7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Taxa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Readmissão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Hospitalar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(em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até́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29 </w:t>
            </w:r>
            <w:r>
              <w:rPr>
                <w:rFonts w:ascii="Arial" w:hAnsi="Arial"/>
                <w:b/>
                <w:spacing w:val="-2"/>
                <w:sz w:val="22"/>
              </w:rPr>
              <w:t>dias)</w:t>
            </w:r>
          </w:p>
        </w:tc>
        <w:tc>
          <w:tcPr>
            <w:tcW w:w="843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18"/>
              <w:rPr>
                <w:rFonts w:ascii="Arial MT"/>
                <w:sz w:val="22"/>
              </w:rPr>
            </w:pPr>
          </w:p>
          <w:p>
            <w:pPr>
              <w:pStyle w:val="TableParagraph"/>
              <w:ind w:left="19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&lt;8%</w:t>
            </w:r>
          </w:p>
        </w:tc>
        <w:tc>
          <w:tcPr>
            <w:tcW w:w="3827" w:type="dxa"/>
          </w:tcPr>
          <w:p>
            <w:pPr>
              <w:pStyle w:val="TableParagraph"/>
              <w:spacing w:before="118"/>
              <w:ind w:left="14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3,90%</w:t>
            </w:r>
          </w:p>
        </w:tc>
      </w:tr>
      <w:tr>
        <w:trPr>
          <w:trHeight w:val="493" w:hRule="atLeast"/>
        </w:trPr>
        <w:tc>
          <w:tcPr>
            <w:tcW w:w="5085" w:type="dxa"/>
          </w:tcPr>
          <w:p>
            <w:pPr>
              <w:pStyle w:val="TableParagraph"/>
              <w:spacing w:line="246" w:lineRule="exact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Número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pacientes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readmitidos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com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até</w:t>
            </w:r>
            <w:r>
              <w:rPr>
                <w:rFonts w:ascii="Arial MT" w:hAnsi="Arial MT"/>
                <w:spacing w:val="-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29</w:t>
            </w:r>
            <w:r>
              <w:rPr>
                <w:rFonts w:ascii="Arial MT" w:hAnsi="Arial MT"/>
                <w:spacing w:val="-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dias da última alta hospitalar</w:t>
            </w: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117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44</w:t>
            </w:r>
          </w:p>
        </w:tc>
      </w:tr>
      <w:tr>
        <w:trPr>
          <w:trHeight w:val="300" w:hRule="atLeast"/>
        </w:trPr>
        <w:tc>
          <w:tcPr>
            <w:tcW w:w="5085" w:type="dxa"/>
          </w:tcPr>
          <w:p>
            <w:pPr>
              <w:pStyle w:val="TableParagraph"/>
              <w:spacing w:before="18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Número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total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internações</w:t>
            </w:r>
            <w:r>
              <w:rPr>
                <w:rFonts w:ascii="Arial MT" w:hAnsi="Arial MT"/>
                <w:spacing w:val="-9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hospitalares</w:t>
            </w: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18"/>
              <w:ind w:left="14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1.128</w:t>
            </w:r>
          </w:p>
        </w:tc>
      </w:tr>
      <w:tr>
        <w:trPr>
          <w:trHeight w:val="300" w:hRule="atLeast"/>
        </w:trPr>
        <w:tc>
          <w:tcPr>
            <w:tcW w:w="508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5.</w:t>
            </w:r>
            <w:r>
              <w:rPr>
                <w:rFonts w:ascii="Arial" w:hAnsi="Arial"/>
                <w:b/>
                <w:spacing w:val="-7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Taxa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Readmissão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em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UTI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em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até́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48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horas</w:t>
            </w:r>
          </w:p>
        </w:tc>
        <w:tc>
          <w:tcPr>
            <w:tcW w:w="843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before="75"/>
              <w:rPr>
                <w:rFonts w:ascii="Arial MT"/>
                <w:sz w:val="22"/>
              </w:rPr>
            </w:pPr>
          </w:p>
          <w:p>
            <w:pPr>
              <w:pStyle w:val="TableParagraph"/>
              <w:ind w:left="19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&lt;5%</w:t>
            </w:r>
          </w:p>
        </w:tc>
        <w:tc>
          <w:tcPr>
            <w:tcW w:w="3827" w:type="dxa"/>
          </w:tcPr>
          <w:p>
            <w:pPr>
              <w:pStyle w:val="TableParagraph"/>
              <w:spacing w:before="18"/>
              <w:ind w:left="14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1,08%</w:t>
            </w:r>
          </w:p>
        </w:tc>
      </w:tr>
      <w:tr>
        <w:trPr>
          <w:trHeight w:val="300" w:hRule="atLeast"/>
        </w:trPr>
        <w:tc>
          <w:tcPr>
            <w:tcW w:w="5085" w:type="dxa"/>
          </w:tcPr>
          <w:p>
            <w:pPr>
              <w:pStyle w:val="TableParagraph"/>
              <w:spacing w:before="18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w w:val="90"/>
                <w:sz w:val="22"/>
              </w:rPr>
              <w:t>Número</w:t>
            </w:r>
            <w:r>
              <w:rPr>
                <w:rFonts w:ascii="Arial MT" w:hAnsi="Arial MT"/>
                <w:spacing w:val="7"/>
                <w:sz w:val="22"/>
              </w:rPr>
              <w:t> </w:t>
            </w:r>
            <w:r>
              <w:rPr>
                <w:rFonts w:ascii="Arial MT" w:hAnsi="Arial MT"/>
                <w:w w:val="90"/>
                <w:sz w:val="22"/>
              </w:rPr>
              <w:t>de</w:t>
            </w:r>
            <w:r>
              <w:rPr>
                <w:rFonts w:ascii="Arial MT" w:hAnsi="Arial MT"/>
                <w:spacing w:val="7"/>
                <w:sz w:val="22"/>
              </w:rPr>
              <w:t> </w:t>
            </w:r>
            <w:r>
              <w:rPr>
                <w:rFonts w:ascii="Arial MT" w:hAnsi="Arial MT"/>
                <w:w w:val="90"/>
                <w:sz w:val="22"/>
              </w:rPr>
              <w:t>retornos</w:t>
            </w:r>
            <w:r>
              <w:rPr>
                <w:rFonts w:ascii="Arial MT" w:hAnsi="Arial MT"/>
                <w:spacing w:val="4"/>
                <w:sz w:val="22"/>
              </w:rPr>
              <w:t> </w:t>
            </w:r>
            <w:r>
              <w:rPr>
                <w:rFonts w:ascii="Arial MT" w:hAnsi="Arial MT"/>
                <w:w w:val="90"/>
                <w:sz w:val="22"/>
              </w:rPr>
              <w:t>em</w:t>
            </w:r>
            <w:r>
              <w:rPr>
                <w:rFonts w:ascii="Arial MT" w:hAnsi="Arial MT"/>
                <w:sz w:val="22"/>
              </w:rPr>
              <w:t> </w:t>
            </w:r>
            <w:r>
              <w:rPr>
                <w:rFonts w:ascii="Arial MT" w:hAnsi="Arial MT"/>
                <w:w w:val="90"/>
                <w:sz w:val="22"/>
              </w:rPr>
              <w:t>até́</w:t>
            </w:r>
            <w:r>
              <w:rPr>
                <w:rFonts w:ascii="Arial MT" w:hAnsi="Arial MT"/>
                <w:spacing w:val="2"/>
                <w:sz w:val="22"/>
              </w:rPr>
              <w:t> </w:t>
            </w:r>
            <w:r>
              <w:rPr>
                <w:rFonts w:ascii="Arial MT" w:hAnsi="Arial MT"/>
                <w:w w:val="90"/>
                <w:sz w:val="22"/>
              </w:rPr>
              <w:t>48</w:t>
            </w:r>
            <w:r>
              <w:rPr>
                <w:rFonts w:ascii="Arial MT" w:hAnsi="Arial MT"/>
                <w:spacing w:val="7"/>
                <w:sz w:val="22"/>
              </w:rPr>
              <w:t> </w:t>
            </w:r>
            <w:r>
              <w:rPr>
                <w:rFonts w:ascii="Arial MT" w:hAnsi="Arial MT"/>
                <w:spacing w:val="-4"/>
                <w:w w:val="90"/>
                <w:sz w:val="22"/>
              </w:rPr>
              <w:t>horas</w:t>
            </w: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18"/>
              <w:ind w:left="14" w:righ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085" w:type="dxa"/>
          </w:tcPr>
          <w:p>
            <w:pPr>
              <w:pStyle w:val="TableParagraph"/>
              <w:spacing w:before="18"/>
              <w:ind w:left="6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Total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de altas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de </w:t>
            </w:r>
            <w:r>
              <w:rPr>
                <w:rFonts w:ascii="Arial MT"/>
                <w:spacing w:val="-5"/>
                <w:sz w:val="22"/>
              </w:rPr>
              <w:t>UTI</w:t>
            </w: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18"/>
              <w:ind w:left="1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508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6.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Percentual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Ocorrência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Glosas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no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pacing w:val="-5"/>
                <w:sz w:val="22"/>
              </w:rPr>
              <w:t>SIH</w:t>
            </w:r>
          </w:p>
        </w:tc>
        <w:tc>
          <w:tcPr>
            <w:tcW w:w="843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228"/>
              <w:rPr>
                <w:rFonts w:ascii="Arial MT"/>
                <w:sz w:val="22"/>
              </w:rPr>
            </w:pPr>
          </w:p>
          <w:p>
            <w:pPr>
              <w:pStyle w:val="TableParagraph"/>
              <w:ind w:left="20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5"/>
                <w:sz w:val="22"/>
              </w:rPr>
              <w:t>≤7%</w:t>
            </w:r>
          </w:p>
        </w:tc>
        <w:tc>
          <w:tcPr>
            <w:tcW w:w="3827" w:type="dxa"/>
          </w:tcPr>
          <w:p>
            <w:pPr>
              <w:pStyle w:val="TableParagraph"/>
              <w:spacing w:before="19"/>
              <w:ind w:left="14" w:right="1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em</w:t>
            </w:r>
            <w:r>
              <w:rPr>
                <w:rFonts w:ascii="Arial MT"/>
                <w:spacing w:val="2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processamento</w:t>
            </w:r>
          </w:p>
        </w:tc>
      </w:tr>
      <w:tr>
        <w:trPr>
          <w:trHeight w:val="489" w:hRule="atLeast"/>
        </w:trPr>
        <w:tc>
          <w:tcPr>
            <w:tcW w:w="5085" w:type="dxa"/>
          </w:tcPr>
          <w:p>
            <w:pPr>
              <w:pStyle w:val="TableParagraph"/>
              <w:spacing w:line="246" w:lineRule="exact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Total</w:t>
            </w:r>
            <w:r>
              <w:rPr>
                <w:rFonts w:ascii="Arial MT" w:hAnsi="Arial MT"/>
                <w:spacing w:val="-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procedimentos</w:t>
            </w:r>
            <w:r>
              <w:rPr>
                <w:rFonts w:ascii="Arial MT" w:hAnsi="Arial MT"/>
                <w:spacing w:val="-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rejeitados</w:t>
            </w:r>
            <w:r>
              <w:rPr>
                <w:rFonts w:ascii="Arial MT" w:hAnsi="Arial MT"/>
                <w:spacing w:val="-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(exceto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por</w:t>
            </w:r>
            <w:r>
              <w:rPr>
                <w:rFonts w:ascii="Arial MT" w:hAnsi="Arial MT"/>
                <w:spacing w:val="-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falta de habilitação e capacidade instalada)</w:t>
            </w: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113"/>
              <w:ind w:left="14" w:right="1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em</w:t>
            </w:r>
            <w:r>
              <w:rPr>
                <w:rFonts w:ascii="Arial MT"/>
                <w:spacing w:val="2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processamento</w:t>
            </w:r>
          </w:p>
        </w:tc>
      </w:tr>
      <w:tr>
        <w:trPr>
          <w:trHeight w:val="298" w:hRule="atLeast"/>
        </w:trPr>
        <w:tc>
          <w:tcPr>
            <w:tcW w:w="5085" w:type="dxa"/>
          </w:tcPr>
          <w:p>
            <w:pPr>
              <w:pStyle w:val="TableParagraph"/>
              <w:spacing w:before="16"/>
              <w:ind w:left="6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Total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procedimentos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apresentados</w:t>
            </w: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16"/>
              <w:ind w:left="14" w:right="1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em</w:t>
            </w:r>
            <w:r>
              <w:rPr>
                <w:rFonts w:ascii="Arial MT"/>
                <w:spacing w:val="2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processamento</w:t>
            </w:r>
          </w:p>
        </w:tc>
      </w:tr>
      <w:tr>
        <w:trPr>
          <w:trHeight w:val="300" w:hRule="atLeast"/>
        </w:trPr>
        <w:tc>
          <w:tcPr>
            <w:tcW w:w="5085" w:type="dxa"/>
          </w:tcPr>
          <w:p>
            <w:pPr>
              <w:pStyle w:val="TableParagraph"/>
              <w:spacing w:before="19"/>
              <w:ind w:left="6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Total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procedimentos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rejeitados</w:t>
            </w: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19"/>
              <w:ind w:left="14" w:right="1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em</w:t>
            </w:r>
            <w:r>
              <w:rPr>
                <w:rFonts w:ascii="Arial MT"/>
                <w:spacing w:val="2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processamento</w:t>
            </w:r>
          </w:p>
        </w:tc>
      </w:tr>
      <w:tr>
        <w:trPr>
          <w:trHeight w:val="300" w:hRule="atLeast"/>
        </w:trPr>
        <w:tc>
          <w:tcPr>
            <w:tcW w:w="5085" w:type="dxa"/>
          </w:tcPr>
          <w:p>
            <w:pPr>
              <w:pStyle w:val="TableParagraph"/>
              <w:spacing w:before="19"/>
              <w:ind w:left="6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Total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procedimentos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aprovados</w:t>
            </w: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19"/>
              <w:ind w:left="14" w:right="1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em</w:t>
            </w:r>
            <w:r>
              <w:rPr>
                <w:rFonts w:ascii="Arial MT"/>
                <w:spacing w:val="2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processamento</w:t>
            </w:r>
          </w:p>
        </w:tc>
      </w:tr>
      <w:tr>
        <w:trPr>
          <w:trHeight w:val="490" w:hRule="atLeast"/>
        </w:trPr>
        <w:tc>
          <w:tcPr>
            <w:tcW w:w="5085" w:type="dxa"/>
          </w:tcPr>
          <w:p>
            <w:pPr>
              <w:pStyle w:val="TableParagraph"/>
              <w:spacing w:line="246" w:lineRule="exact"/>
              <w:ind w:left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7.</w:t>
            </w:r>
            <w:r>
              <w:rPr>
                <w:rFonts w:ascii="Arial" w:hAnsi="Arial"/>
                <w:b/>
                <w:spacing w:val="-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Percentual</w:t>
            </w:r>
            <w:r>
              <w:rPr>
                <w:rFonts w:ascii="Arial" w:hAnsi="Arial"/>
                <w:b/>
                <w:spacing w:val="-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7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Suspensão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7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Cirurgias Eletivas por Condições Operacionais</w:t>
            </w:r>
          </w:p>
        </w:tc>
        <w:tc>
          <w:tcPr>
            <w:tcW w:w="843" w:type="dxa"/>
            <w:vMerge w:val="restart"/>
          </w:tcPr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18"/>
              <w:rPr>
                <w:rFonts w:ascii="Arial MT"/>
                <w:sz w:val="22"/>
              </w:rPr>
            </w:pPr>
          </w:p>
          <w:p>
            <w:pPr>
              <w:pStyle w:val="TableParagraph"/>
              <w:ind w:left="202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5"/>
                <w:sz w:val="22"/>
              </w:rPr>
              <w:t>≤5%</w:t>
            </w:r>
          </w:p>
        </w:tc>
        <w:tc>
          <w:tcPr>
            <w:tcW w:w="3827" w:type="dxa"/>
          </w:tcPr>
          <w:p>
            <w:pPr>
              <w:pStyle w:val="TableParagraph"/>
              <w:spacing w:before="119"/>
              <w:ind w:left="14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0,87%</w:t>
            </w:r>
          </w:p>
        </w:tc>
      </w:tr>
      <w:tr>
        <w:trPr>
          <w:trHeight w:val="299" w:hRule="atLeast"/>
        </w:trPr>
        <w:tc>
          <w:tcPr>
            <w:tcW w:w="5085" w:type="dxa"/>
          </w:tcPr>
          <w:p>
            <w:pPr>
              <w:pStyle w:val="TableParagraph"/>
              <w:spacing w:before="22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Número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cirurgias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programadas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suspensas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22"/>
              <w:ind w:left="14" w:righ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5085" w:type="dxa"/>
          </w:tcPr>
          <w:p>
            <w:pPr>
              <w:pStyle w:val="TableParagraph"/>
              <w:spacing w:line="246" w:lineRule="exact"/>
              <w:ind w:left="60" w:right="16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Número</w:t>
            </w:r>
            <w:r>
              <w:rPr>
                <w:rFonts w:ascii="Arial MT" w:hAnsi="Arial MT"/>
                <w:spacing w:val="-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cirurgias</w:t>
            </w:r>
            <w:r>
              <w:rPr>
                <w:rFonts w:ascii="Arial MT" w:hAnsi="Arial MT"/>
                <w:spacing w:val="-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programadas</w:t>
            </w:r>
            <w:r>
              <w:rPr>
                <w:rFonts w:ascii="Arial MT" w:hAnsi="Arial MT"/>
                <w:spacing w:val="-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(mapa </w:t>
            </w:r>
            <w:r>
              <w:rPr>
                <w:rFonts w:ascii="Arial MT" w:hAnsi="Arial MT"/>
                <w:spacing w:val="-2"/>
                <w:sz w:val="22"/>
              </w:rPr>
              <w:t>cirúrgico)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spacing w:before="118"/>
              <w:ind w:left="14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461</w:t>
            </w:r>
          </w:p>
        </w:tc>
      </w:tr>
      <w:tr>
        <w:trPr>
          <w:trHeight w:val="735" w:hRule="atLeast"/>
        </w:trPr>
        <w:tc>
          <w:tcPr>
            <w:tcW w:w="5085" w:type="dxa"/>
          </w:tcPr>
          <w:p>
            <w:pPr>
              <w:pStyle w:val="TableParagraph"/>
              <w:spacing w:line="232" w:lineRule="auto"/>
              <w:ind w:left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8.</w:t>
            </w:r>
            <w:r>
              <w:rPr>
                <w:rFonts w:ascii="Arial" w:hAnsi="Arial"/>
                <w:b/>
                <w:spacing w:val="-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Percentual</w:t>
            </w:r>
            <w:r>
              <w:rPr>
                <w:rFonts w:ascii="Arial" w:hAnsi="Arial"/>
                <w:b/>
                <w:spacing w:val="-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cirurgias</w:t>
            </w:r>
            <w:r>
              <w:rPr>
                <w:rFonts w:ascii="Arial" w:hAnsi="Arial"/>
                <w:b/>
                <w:spacing w:val="-1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eletivas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realizadas com TMAT (Tempo máximo aceitável para</w:t>
            </w:r>
          </w:p>
          <w:p>
            <w:pPr>
              <w:pStyle w:val="TableParagraph"/>
              <w:spacing w:line="225" w:lineRule="exact"/>
              <w:ind w:left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tratamento)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expirado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(↓)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para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o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primeiro</w:t>
            </w:r>
            <w:r>
              <w:rPr>
                <w:rFonts w:ascii="Arial" w:hAnsi="Arial"/>
                <w:b/>
                <w:spacing w:val="-5"/>
                <w:sz w:val="22"/>
              </w:rPr>
              <w:t> ano</w:t>
            </w:r>
          </w:p>
        </w:tc>
        <w:tc>
          <w:tcPr>
            <w:tcW w:w="843" w:type="dxa"/>
          </w:tcPr>
          <w:p>
            <w:pPr>
              <w:pStyle w:val="TableParagraph"/>
              <w:spacing w:before="238"/>
              <w:ind w:left="1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&lt;50%</w:t>
            </w:r>
          </w:p>
        </w:tc>
        <w:tc>
          <w:tcPr>
            <w:tcW w:w="3827" w:type="dxa"/>
          </w:tcPr>
          <w:p>
            <w:pPr>
              <w:pStyle w:val="TableParagraph"/>
              <w:spacing w:before="238"/>
              <w:ind w:left="14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3,40%</w:t>
            </w:r>
          </w:p>
        </w:tc>
      </w:tr>
    </w:tbl>
    <w:p>
      <w:pPr>
        <w:pStyle w:val="TableParagraph"/>
        <w:spacing w:after="0"/>
        <w:jc w:val="center"/>
        <w:rPr>
          <w:rFonts w:ascii="Arial"/>
          <w:b/>
          <w:sz w:val="22"/>
        </w:rPr>
        <w:sectPr>
          <w:pgSz w:w="11910" w:h="16840"/>
          <w:pgMar w:header="1067" w:footer="580" w:top="2420" w:bottom="1814" w:left="566" w:right="566"/>
        </w:sectPr>
      </w:pPr>
    </w:p>
    <w:tbl>
      <w:tblPr>
        <w:tblW w:w="0" w:type="auto"/>
        <w:jc w:val="left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7"/>
        <w:gridCol w:w="840"/>
        <w:gridCol w:w="3826"/>
      </w:tblGrid>
      <w:tr>
        <w:trPr>
          <w:trHeight w:val="490" w:hRule="atLeast"/>
        </w:trPr>
        <w:tc>
          <w:tcPr>
            <w:tcW w:w="5087" w:type="dxa"/>
          </w:tcPr>
          <w:p>
            <w:pPr>
              <w:pStyle w:val="TableParagraph"/>
              <w:spacing w:line="238" w:lineRule="exact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Número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cirurgias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realizadas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com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pacing w:val="-4"/>
                <w:sz w:val="22"/>
              </w:rPr>
              <w:t>TMAT</w:t>
            </w:r>
          </w:p>
          <w:p>
            <w:pPr>
              <w:pStyle w:val="TableParagraph"/>
              <w:spacing w:line="232" w:lineRule="exact"/>
              <w:ind w:left="60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expirado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14"/>
              <w:ind w:left="1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</w:tr>
      <w:tr>
        <w:trPr>
          <w:trHeight w:val="495" w:hRule="atLeast"/>
        </w:trPr>
        <w:tc>
          <w:tcPr>
            <w:tcW w:w="5087" w:type="dxa"/>
          </w:tcPr>
          <w:p>
            <w:pPr>
              <w:pStyle w:val="TableParagraph"/>
              <w:spacing w:line="238" w:lineRule="exact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Número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cirurgias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eletivas</w:t>
            </w:r>
            <w:r>
              <w:rPr>
                <w:rFonts w:ascii="Arial MT" w:hAnsi="Arial MT"/>
                <w:spacing w:val="-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em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lista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espera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pacing w:val="-10"/>
                <w:sz w:val="22"/>
              </w:rPr>
              <w:t>e</w:t>
            </w:r>
          </w:p>
          <w:p>
            <w:pPr>
              <w:pStyle w:val="TableParagraph"/>
              <w:spacing w:line="237" w:lineRule="exact"/>
              <w:ind w:left="6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encaminhado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para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unidade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13"/>
              <w:ind w:left="17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1148</w:t>
            </w:r>
          </w:p>
        </w:tc>
      </w:tr>
      <w:tr>
        <w:trPr>
          <w:trHeight w:val="490" w:hRule="atLeast"/>
        </w:trPr>
        <w:tc>
          <w:tcPr>
            <w:tcW w:w="5087" w:type="dxa"/>
          </w:tcPr>
          <w:p>
            <w:pPr>
              <w:pStyle w:val="TableParagraph"/>
              <w:spacing w:line="238" w:lineRule="exact"/>
              <w:ind w:left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9.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Razão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do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Quantitativo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 </w:t>
            </w:r>
            <w:r>
              <w:rPr>
                <w:rFonts w:ascii="Arial" w:hAnsi="Arial"/>
                <w:b/>
                <w:spacing w:val="-2"/>
                <w:sz w:val="22"/>
              </w:rPr>
              <w:t>Consultas</w:t>
            </w:r>
          </w:p>
          <w:p>
            <w:pPr>
              <w:pStyle w:val="TableParagraph"/>
              <w:spacing w:line="232" w:lineRule="exact"/>
              <w:ind w:left="6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Ofertadas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Arial MT"/>
                <w:sz w:val="22"/>
              </w:rPr>
            </w:pPr>
          </w:p>
          <w:p>
            <w:pPr>
              <w:pStyle w:val="TableParagraph"/>
              <w:ind w:left="1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1</w:t>
            </w:r>
          </w:p>
        </w:tc>
        <w:tc>
          <w:tcPr>
            <w:tcW w:w="3826" w:type="dxa"/>
          </w:tcPr>
          <w:p>
            <w:pPr>
              <w:pStyle w:val="TableParagraph"/>
              <w:spacing w:before="108"/>
              <w:ind w:left="17" w:right="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0,96</w:t>
            </w:r>
          </w:p>
        </w:tc>
      </w:tr>
      <w:tr>
        <w:trPr>
          <w:trHeight w:val="300" w:hRule="atLeast"/>
        </w:trPr>
        <w:tc>
          <w:tcPr>
            <w:tcW w:w="5087" w:type="dxa"/>
          </w:tcPr>
          <w:p>
            <w:pPr>
              <w:pStyle w:val="TableParagraph"/>
              <w:spacing w:before="13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Número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consultas</w:t>
            </w:r>
            <w:r>
              <w:rPr>
                <w:rFonts w:ascii="Arial MT" w:hAnsi="Arial MT"/>
                <w:spacing w:val="-9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ofertadas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3"/>
              <w:ind w:left="17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4.921</w:t>
            </w:r>
          </w:p>
        </w:tc>
      </w:tr>
      <w:tr>
        <w:trPr>
          <w:trHeight w:val="490" w:hRule="atLeast"/>
        </w:trPr>
        <w:tc>
          <w:tcPr>
            <w:tcW w:w="5087" w:type="dxa"/>
          </w:tcPr>
          <w:p>
            <w:pPr>
              <w:pStyle w:val="TableParagraph"/>
              <w:spacing w:line="238" w:lineRule="exact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Número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consultas</w:t>
            </w:r>
            <w:r>
              <w:rPr>
                <w:rFonts w:ascii="Arial MT" w:hAnsi="Arial MT"/>
                <w:spacing w:val="-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propostas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nas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metas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pacing w:val="-5"/>
                <w:sz w:val="22"/>
              </w:rPr>
              <w:t>da</w:t>
            </w:r>
          </w:p>
          <w:p>
            <w:pPr>
              <w:pStyle w:val="TableParagraph"/>
              <w:spacing w:line="232" w:lineRule="exact"/>
              <w:ind w:left="60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unidade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13"/>
              <w:ind w:left="17" w:right="1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5.100</w:t>
            </w:r>
          </w:p>
        </w:tc>
      </w:tr>
      <w:tr>
        <w:trPr>
          <w:trHeight w:val="600" w:hRule="atLeast"/>
        </w:trPr>
        <w:tc>
          <w:tcPr>
            <w:tcW w:w="5087" w:type="dxa"/>
          </w:tcPr>
          <w:p>
            <w:pPr>
              <w:pStyle w:val="TableParagraph"/>
              <w:spacing w:line="232" w:lineRule="auto" w:before="50"/>
              <w:ind w:left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10.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Percentual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exames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imagem</w:t>
            </w:r>
            <w:r>
              <w:rPr>
                <w:rFonts w:ascii="Arial" w:hAnsi="Arial"/>
                <w:b/>
                <w:spacing w:val="-1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com resultado entregue em até 10 dias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67"/>
              <w:rPr>
                <w:rFonts w:ascii="Arial MT"/>
                <w:sz w:val="22"/>
              </w:rPr>
            </w:pPr>
          </w:p>
          <w:p>
            <w:pPr>
              <w:pStyle w:val="TableParagraph"/>
              <w:ind w:left="11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≥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pacing w:val="-5"/>
                <w:sz w:val="22"/>
              </w:rPr>
              <w:t>70%</w:t>
            </w:r>
          </w:p>
        </w:tc>
        <w:tc>
          <w:tcPr>
            <w:tcW w:w="3826" w:type="dxa"/>
          </w:tcPr>
          <w:p>
            <w:pPr>
              <w:pStyle w:val="TableParagraph"/>
              <w:spacing w:before="168"/>
              <w:ind w:left="17" w:right="7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100%</w:t>
            </w:r>
          </w:p>
        </w:tc>
      </w:tr>
      <w:tr>
        <w:trPr>
          <w:trHeight w:val="495" w:hRule="atLeast"/>
        </w:trPr>
        <w:tc>
          <w:tcPr>
            <w:tcW w:w="5087" w:type="dxa"/>
          </w:tcPr>
          <w:p>
            <w:pPr>
              <w:pStyle w:val="TableParagraph"/>
              <w:spacing w:line="238" w:lineRule="exact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Número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exames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 imagem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liberados</w:t>
            </w:r>
            <w:r>
              <w:rPr>
                <w:rFonts w:ascii="Arial MT" w:hAnsi="Arial MT"/>
                <w:spacing w:val="-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em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pacing w:val="-5"/>
                <w:sz w:val="22"/>
              </w:rPr>
              <w:t>até</w:t>
            </w:r>
          </w:p>
          <w:p>
            <w:pPr>
              <w:pStyle w:val="TableParagraph"/>
              <w:spacing w:line="237" w:lineRule="exact"/>
              <w:ind w:left="6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10</w:t>
            </w:r>
            <w:r>
              <w:rPr>
                <w:rFonts w:ascii="Arial MT"/>
                <w:spacing w:val="3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dias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13"/>
              <w:ind w:left="17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12.952</w:t>
            </w:r>
          </w:p>
        </w:tc>
      </w:tr>
      <w:tr>
        <w:trPr>
          <w:trHeight w:val="300" w:hRule="atLeast"/>
        </w:trPr>
        <w:tc>
          <w:tcPr>
            <w:tcW w:w="5087" w:type="dxa"/>
          </w:tcPr>
          <w:p>
            <w:pPr>
              <w:pStyle w:val="TableParagraph"/>
              <w:spacing w:before="14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Total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exames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imagem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realizados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no</w:t>
            </w:r>
            <w:r>
              <w:rPr>
                <w:rFonts w:ascii="Arial MT" w:hAnsi="Arial MT"/>
                <w:spacing w:val="5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período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4"/>
              <w:ind w:left="17" w:right="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12.952</w:t>
            </w:r>
          </w:p>
        </w:tc>
      </w:tr>
      <w:tr>
        <w:trPr>
          <w:trHeight w:val="980" w:hRule="atLeast"/>
        </w:trPr>
        <w:tc>
          <w:tcPr>
            <w:tcW w:w="5087" w:type="dxa"/>
          </w:tcPr>
          <w:p>
            <w:pPr>
              <w:pStyle w:val="TableParagraph"/>
              <w:spacing w:line="232" w:lineRule="auto"/>
              <w:ind w:left="60" w:right="78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11. Percentual de casos de doenças/agravos/eventos</w:t>
            </w:r>
            <w:r>
              <w:rPr>
                <w:rFonts w:ascii="Arial" w:hAnsi="Arial"/>
                <w:b/>
                <w:spacing w:val="-1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1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notificação</w:t>
            </w:r>
          </w:p>
          <w:p>
            <w:pPr>
              <w:pStyle w:val="TableParagraph"/>
              <w:spacing w:line="246" w:lineRule="exact"/>
              <w:ind w:left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compulsória</w:t>
            </w:r>
            <w:r>
              <w:rPr>
                <w:rFonts w:ascii="Arial" w:hAnsi="Arial"/>
                <w:b/>
                <w:spacing w:val="-1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imediata</w:t>
            </w:r>
            <w:r>
              <w:rPr>
                <w:rFonts w:ascii="Arial" w:hAnsi="Arial"/>
                <w:b/>
                <w:spacing w:val="-1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(DAEI)</w:t>
            </w:r>
            <w:r>
              <w:rPr>
                <w:rFonts w:ascii="Arial" w:hAnsi="Arial"/>
                <w:b/>
                <w:spacing w:val="-1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digitados </w:t>
            </w:r>
            <w:r>
              <w:rPr>
                <w:rFonts w:ascii="Arial" w:hAnsi="Arial"/>
                <w:b/>
                <w:spacing w:val="-2"/>
                <w:sz w:val="22"/>
              </w:rPr>
              <w:t>oportunamente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157"/>
              <w:rPr>
                <w:rFonts w:ascii="Arial MT"/>
                <w:sz w:val="22"/>
              </w:rPr>
            </w:pPr>
          </w:p>
          <w:p>
            <w:pPr>
              <w:pStyle w:val="TableParagraph"/>
              <w:ind w:left="11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≥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pacing w:val="-5"/>
                <w:sz w:val="22"/>
              </w:rPr>
              <w:t>80%</w:t>
            </w:r>
          </w:p>
        </w:tc>
        <w:tc>
          <w:tcPr>
            <w:tcW w:w="3826" w:type="dxa"/>
          </w:tcPr>
          <w:p>
            <w:pPr>
              <w:pStyle w:val="TableParagraph"/>
              <w:spacing w:before="100"/>
              <w:rPr>
                <w:rFonts w:ascii="Arial MT"/>
                <w:sz w:val="22"/>
              </w:rPr>
            </w:pPr>
          </w:p>
          <w:p>
            <w:pPr>
              <w:pStyle w:val="TableParagraph"/>
              <w:ind w:left="17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98,9%</w:t>
            </w:r>
          </w:p>
        </w:tc>
      </w:tr>
      <w:tr>
        <w:trPr>
          <w:trHeight w:val="297" w:hRule="atLeast"/>
        </w:trPr>
        <w:tc>
          <w:tcPr>
            <w:tcW w:w="5087" w:type="dxa"/>
          </w:tcPr>
          <w:p>
            <w:pPr>
              <w:pStyle w:val="TableParagraph"/>
              <w:spacing w:before="16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Número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 casos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 DAEI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digitadas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em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até 7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pacing w:val="-4"/>
                <w:sz w:val="22"/>
              </w:rPr>
              <w:t>dias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6"/>
              <w:ind w:left="17" w:right="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443</w:t>
            </w:r>
          </w:p>
        </w:tc>
      </w:tr>
      <w:tr>
        <w:trPr>
          <w:trHeight w:val="300" w:hRule="atLeast"/>
        </w:trPr>
        <w:tc>
          <w:tcPr>
            <w:tcW w:w="5087" w:type="dxa"/>
          </w:tcPr>
          <w:p>
            <w:pPr>
              <w:pStyle w:val="TableParagraph"/>
              <w:spacing w:before="19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Número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casos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DAEI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digitadas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período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9"/>
              <w:ind w:left="17" w:right="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448</w:t>
            </w:r>
          </w:p>
        </w:tc>
      </w:tr>
      <w:tr>
        <w:trPr>
          <w:trHeight w:val="985" w:hRule="atLeast"/>
        </w:trPr>
        <w:tc>
          <w:tcPr>
            <w:tcW w:w="5087" w:type="dxa"/>
          </w:tcPr>
          <w:p>
            <w:pPr>
              <w:pStyle w:val="TableParagraph"/>
              <w:spacing w:line="235" w:lineRule="auto"/>
              <w:ind w:left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12. Percentual de casos de doenças/agravos/eventos de notificação compulsória</w:t>
            </w:r>
            <w:r>
              <w:rPr>
                <w:rFonts w:ascii="Arial" w:hAnsi="Arial"/>
                <w:b/>
                <w:spacing w:val="-1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imediata</w:t>
            </w:r>
            <w:r>
              <w:rPr>
                <w:rFonts w:ascii="Arial" w:hAnsi="Arial"/>
                <w:b/>
                <w:spacing w:val="-1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(DAEI)</w:t>
            </w:r>
            <w:r>
              <w:rPr>
                <w:rFonts w:ascii="Arial" w:hAnsi="Arial"/>
                <w:b/>
                <w:spacing w:val="-1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investigados</w:t>
            </w:r>
          </w:p>
          <w:p>
            <w:pPr>
              <w:pStyle w:val="TableParagraph"/>
              <w:spacing w:line="228" w:lineRule="exact"/>
              <w:ind w:left="6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oportunamente.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 MT"/>
                <w:sz w:val="22"/>
              </w:rPr>
            </w:pPr>
          </w:p>
          <w:p>
            <w:pPr>
              <w:pStyle w:val="TableParagraph"/>
              <w:ind w:left="11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≥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pacing w:val="-5"/>
                <w:sz w:val="22"/>
              </w:rPr>
              <w:t>80%</w:t>
            </w:r>
          </w:p>
        </w:tc>
        <w:tc>
          <w:tcPr>
            <w:tcW w:w="3826" w:type="dxa"/>
          </w:tcPr>
          <w:p>
            <w:pPr>
              <w:pStyle w:val="TableParagraph"/>
              <w:spacing w:before="105"/>
              <w:rPr>
                <w:rFonts w:ascii="Arial MT"/>
                <w:sz w:val="22"/>
              </w:rPr>
            </w:pPr>
          </w:p>
          <w:p>
            <w:pPr>
              <w:pStyle w:val="TableParagraph"/>
              <w:ind w:left="17" w:right="7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100%</w:t>
            </w:r>
          </w:p>
        </w:tc>
      </w:tr>
      <w:tr>
        <w:trPr>
          <w:trHeight w:val="490" w:hRule="atLeast"/>
        </w:trPr>
        <w:tc>
          <w:tcPr>
            <w:tcW w:w="5087" w:type="dxa"/>
          </w:tcPr>
          <w:p>
            <w:pPr>
              <w:pStyle w:val="TableParagraph"/>
              <w:spacing w:line="238" w:lineRule="exact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Número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casos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DAEI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investigadas</w:t>
            </w:r>
            <w:r>
              <w:rPr>
                <w:rFonts w:ascii="Arial MT" w:hAnsi="Arial MT"/>
                <w:spacing w:val="-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em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até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pacing w:val="-5"/>
                <w:sz w:val="22"/>
              </w:rPr>
              <w:t>48</w:t>
            </w:r>
          </w:p>
          <w:p>
            <w:pPr>
              <w:pStyle w:val="TableParagraph"/>
              <w:spacing w:line="232" w:lineRule="exact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horas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data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 </w:t>
            </w:r>
            <w:r>
              <w:rPr>
                <w:rFonts w:ascii="Arial MT" w:hAnsi="Arial MT"/>
                <w:spacing w:val="-2"/>
                <w:sz w:val="22"/>
              </w:rPr>
              <w:t>notificação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08"/>
              <w:ind w:left="17" w:right="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448</w:t>
            </w:r>
          </w:p>
        </w:tc>
      </w:tr>
      <w:tr>
        <w:trPr>
          <w:trHeight w:val="300" w:hRule="atLeast"/>
        </w:trPr>
        <w:tc>
          <w:tcPr>
            <w:tcW w:w="5087" w:type="dxa"/>
          </w:tcPr>
          <w:p>
            <w:pPr>
              <w:pStyle w:val="TableParagraph"/>
              <w:spacing w:before="19"/>
              <w:ind w:left="6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Número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casos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DAEI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notificadas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no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período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9"/>
              <w:ind w:left="17" w:right="3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448</w:t>
            </w:r>
          </w:p>
        </w:tc>
      </w:tr>
    </w:tbl>
    <w:p>
      <w:pPr>
        <w:pStyle w:val="BodyText"/>
      </w:pPr>
    </w:p>
    <w:p>
      <w:pPr>
        <w:pStyle w:val="BodyText"/>
        <w:spacing w:before="135"/>
      </w:pPr>
    </w:p>
    <w:p>
      <w:pPr>
        <w:pStyle w:val="ListParagraph"/>
        <w:numPr>
          <w:ilvl w:val="1"/>
          <w:numId w:val="1"/>
        </w:numPr>
        <w:tabs>
          <w:tab w:pos="1101" w:val="left" w:leader="none"/>
        </w:tabs>
        <w:spacing w:line="240" w:lineRule="auto" w:before="0" w:after="0"/>
        <w:ind w:left="1101" w:right="0" w:hanging="367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Crítica</w:t>
      </w:r>
    </w:p>
    <w:p>
      <w:pPr>
        <w:pStyle w:val="BodyText"/>
        <w:spacing w:before="139"/>
        <w:rPr>
          <w:rFonts w:ascii="Arial"/>
          <w:b/>
        </w:rPr>
      </w:pPr>
    </w:p>
    <w:p>
      <w:pPr>
        <w:pStyle w:val="BodyText"/>
        <w:spacing w:line="350" w:lineRule="auto"/>
        <w:ind w:left="734" w:right="82" w:firstLine="720"/>
        <w:jc w:val="both"/>
      </w:pPr>
      <w:r>
        <w:rPr/>
        <w:t>Em junho de 2025, o HUGO apresentou taxa de ocupação hospitalar (TOH) de 93,42%, superando a meta mínima de 90%. Este desempenho reforça a elevada demanda assistencial da unidade, embora mantenha o setor próximo ao limite máximo de segurança operacional. O tempo médio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permanência</w:t>
      </w:r>
      <w:r>
        <w:rPr>
          <w:spacing w:val="-1"/>
        </w:rPr>
        <w:t> </w:t>
      </w:r>
      <w:r>
        <w:rPr/>
        <w:t>hospitalar</w:t>
      </w:r>
      <w:r>
        <w:rPr>
          <w:spacing w:val="-2"/>
        </w:rPr>
        <w:t> </w:t>
      </w:r>
      <w:r>
        <w:rPr/>
        <w:t>(TMP)</w:t>
      </w:r>
      <w:r>
        <w:rPr>
          <w:spacing w:val="-2"/>
        </w:rPr>
        <w:t> </w:t>
      </w:r>
      <w:r>
        <w:rPr/>
        <w:t>foi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9,26</w:t>
      </w:r>
      <w:r>
        <w:rPr>
          <w:spacing w:val="-5"/>
        </w:rPr>
        <w:t> </w:t>
      </w:r>
      <w:r>
        <w:rPr/>
        <w:t>dias,</w:t>
      </w:r>
      <w:r>
        <w:rPr>
          <w:spacing w:val="-9"/>
        </w:rPr>
        <w:t> </w:t>
      </w:r>
      <w:r>
        <w:rPr/>
        <w:t>acima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parâmetro</w:t>
      </w:r>
      <w:r>
        <w:rPr>
          <w:spacing w:val="-1"/>
        </w:rPr>
        <w:t> </w:t>
      </w:r>
      <w:r>
        <w:rPr/>
        <w:t>contratual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até</w:t>
      </w:r>
      <w:r>
        <w:rPr>
          <w:spacing w:val="-1"/>
        </w:rPr>
        <w:t> </w:t>
      </w:r>
      <w:r>
        <w:rPr/>
        <w:t>7</w:t>
      </w:r>
      <w:r>
        <w:rPr>
          <w:spacing w:val="-5"/>
        </w:rPr>
        <w:t> </w:t>
      </w:r>
      <w:r>
        <w:rPr/>
        <w:t>dias, refletindo o perfil de alta complexidade clínica e cirúrgica dos pacientes atendidos. Caso</w:t>
      </w:r>
      <w:r>
        <w:rPr>
          <w:spacing w:val="-16"/>
        </w:rPr>
        <w:t> </w:t>
      </w:r>
      <w:r>
        <w:rPr/>
        <w:t>s graves, necessidade de cuidados prolongados, infecções por microrganismos multirresistentes (MDR) e barreiras sociais para alta continuam como fatores que impactam diretamente este indicador.</w:t>
      </w:r>
    </w:p>
    <w:p>
      <w:pPr>
        <w:pStyle w:val="BodyText"/>
        <w:spacing w:line="350" w:lineRule="auto"/>
        <w:ind w:left="734" w:right="87" w:firstLine="720"/>
        <w:jc w:val="both"/>
      </w:pPr>
      <w:r>
        <w:rPr/>
        <w:t>A</w:t>
      </w:r>
      <w:r>
        <w:rPr>
          <w:spacing w:val="-4"/>
        </w:rPr>
        <w:t> </w:t>
      </w:r>
      <w:r>
        <w:rPr/>
        <w:t>taxa de readmissão hospitalar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até 29 dias</w:t>
      </w:r>
      <w:r>
        <w:rPr>
          <w:spacing w:val="-3"/>
        </w:rPr>
        <w:t> </w:t>
      </w:r>
      <w:r>
        <w:rPr/>
        <w:t>foi</w:t>
      </w:r>
      <w:r>
        <w:rPr>
          <w:spacing w:val="-2"/>
        </w:rPr>
        <w:t> </w:t>
      </w:r>
      <w:r>
        <w:rPr/>
        <w:t>de 3,64%,</w:t>
      </w:r>
      <w:r>
        <w:rPr>
          <w:spacing w:val="-4"/>
        </w:rPr>
        <w:t> </w:t>
      </w:r>
      <w:r>
        <w:rPr/>
        <w:t>mantendo-se abaixo da meta de 8%, o que demonstra qualidade nos cuidados</w:t>
      </w:r>
      <w:r>
        <w:rPr>
          <w:spacing w:val="-3"/>
        </w:rPr>
        <w:t> </w:t>
      </w:r>
      <w:r>
        <w:rPr/>
        <w:t>de alta e seguimento. Já a taxa de readmissão em UTI em até 48 horas ficou em 0,91%, também inferior à meta de 5%, refletindo decisões de alta intensiva alinhadas à estabilidade clínica dos pacientes.</w:t>
      </w:r>
    </w:p>
    <w:p>
      <w:pPr>
        <w:pStyle w:val="BodyText"/>
        <w:spacing w:after="0" w:line="350" w:lineRule="auto"/>
        <w:jc w:val="both"/>
        <w:sectPr>
          <w:type w:val="continuous"/>
          <w:pgSz w:w="11910" w:h="16840"/>
          <w:pgMar w:header="1067" w:footer="580" w:top="2440" w:bottom="780" w:left="566" w:right="566"/>
        </w:sectPr>
      </w:pPr>
    </w:p>
    <w:p>
      <w:pPr>
        <w:pStyle w:val="BodyText"/>
        <w:spacing w:line="350" w:lineRule="auto"/>
        <w:ind w:left="734" w:right="83" w:firstLine="720"/>
        <w:jc w:val="both"/>
      </w:pPr>
      <w:r>
        <w:rPr/>
        <w:t>Apesar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o</w:t>
      </w:r>
      <w:r>
        <w:rPr>
          <w:spacing w:val="-10"/>
        </w:rPr>
        <w:t> </w:t>
      </w:r>
      <w:r>
        <w:rPr/>
        <w:t>percentual</w:t>
      </w:r>
      <w:r>
        <w:rPr>
          <w:spacing w:val="-16"/>
        </w:rPr>
        <w:t> </w:t>
      </w:r>
      <w:r>
        <w:rPr/>
        <w:t>de</w:t>
      </w:r>
      <w:r>
        <w:rPr>
          <w:spacing w:val="-9"/>
        </w:rPr>
        <w:t> </w:t>
      </w:r>
      <w:r>
        <w:rPr/>
        <w:t>cirurgias</w:t>
      </w:r>
      <w:r>
        <w:rPr>
          <w:spacing w:val="-13"/>
        </w:rPr>
        <w:t> </w:t>
      </w:r>
      <w:r>
        <w:rPr/>
        <w:t>realizadas</w:t>
      </w:r>
      <w:r>
        <w:rPr>
          <w:spacing w:val="-13"/>
        </w:rPr>
        <w:t> </w:t>
      </w:r>
      <w:r>
        <w:rPr/>
        <w:t>com</w:t>
      </w:r>
      <w:r>
        <w:rPr>
          <w:spacing w:val="-11"/>
        </w:rPr>
        <w:t> </w:t>
      </w:r>
      <w:r>
        <w:rPr/>
        <w:t>TMAT</w:t>
      </w:r>
      <w:r>
        <w:rPr>
          <w:spacing w:val="-12"/>
        </w:rPr>
        <w:t> </w:t>
      </w:r>
      <w:r>
        <w:rPr/>
        <w:t>expirado</w:t>
      </w:r>
      <w:r>
        <w:rPr>
          <w:spacing w:val="-15"/>
        </w:rPr>
        <w:t> </w:t>
      </w:r>
      <w:r>
        <w:rPr/>
        <w:t>estar</w:t>
      </w:r>
      <w:r>
        <w:rPr>
          <w:spacing w:val="-16"/>
        </w:rPr>
        <w:t> </w:t>
      </w:r>
      <w:r>
        <w:rPr/>
        <w:t>dentro</w:t>
      </w:r>
      <w:r>
        <w:rPr>
          <w:spacing w:val="-14"/>
        </w:rPr>
        <w:t> </w:t>
      </w:r>
      <w:r>
        <w:rPr/>
        <w:t>da</w:t>
      </w:r>
      <w:r>
        <w:rPr>
          <w:spacing w:val="-9"/>
        </w:rPr>
        <w:t> </w:t>
      </w:r>
      <w:r>
        <w:rPr/>
        <w:t>meta</w:t>
      </w:r>
      <w:r>
        <w:rPr>
          <w:spacing w:val="-10"/>
        </w:rPr>
        <w:t> </w:t>
      </w:r>
      <w:r>
        <w:rPr/>
        <w:t>(&lt;10% frente ao limite de 50%), o desempenho ainda é impactado pelo passivo histórico da fila cirúrgica. A continuidade na priorização de casos com maior tempo de espera é essencial para a manutenção e possível melhoria desse indicador.</w:t>
      </w:r>
    </w:p>
    <w:p>
      <w:pPr>
        <w:pStyle w:val="BodyText"/>
        <w:spacing w:line="350" w:lineRule="auto"/>
        <w:ind w:left="734" w:right="88" w:firstLine="720"/>
        <w:jc w:val="both"/>
      </w:pPr>
      <w:r>
        <w:rPr/>
        <w:t>O</w:t>
      </w:r>
      <w:r>
        <w:rPr>
          <w:spacing w:val="-15"/>
        </w:rPr>
        <w:t> </w:t>
      </w:r>
      <w:r>
        <w:rPr/>
        <w:t>percentual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exames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imagem</w:t>
      </w:r>
      <w:r>
        <w:rPr>
          <w:spacing w:val="-11"/>
        </w:rPr>
        <w:t> </w:t>
      </w:r>
      <w:r>
        <w:rPr/>
        <w:t>liberados</w:t>
      </w:r>
      <w:r>
        <w:rPr>
          <w:spacing w:val="-13"/>
        </w:rPr>
        <w:t> </w:t>
      </w:r>
      <w:r>
        <w:rPr/>
        <w:t>em</w:t>
      </w:r>
      <w:r>
        <w:rPr>
          <w:spacing w:val="-16"/>
        </w:rPr>
        <w:t> </w:t>
      </w:r>
      <w:r>
        <w:rPr/>
        <w:t>até</w:t>
      </w:r>
      <w:r>
        <w:rPr>
          <w:spacing w:val="-10"/>
        </w:rPr>
        <w:t> </w:t>
      </w:r>
      <w:r>
        <w:rPr/>
        <w:t>10</w:t>
      </w:r>
      <w:r>
        <w:rPr>
          <w:spacing w:val="-15"/>
        </w:rPr>
        <w:t> </w:t>
      </w:r>
      <w:r>
        <w:rPr/>
        <w:t>dias</w:t>
      </w:r>
      <w:r>
        <w:rPr>
          <w:spacing w:val="-13"/>
        </w:rPr>
        <w:t> </w:t>
      </w:r>
      <w:r>
        <w:rPr/>
        <w:t>manteve-se</w:t>
      </w:r>
      <w:r>
        <w:rPr>
          <w:spacing w:val="-11"/>
        </w:rPr>
        <w:t> </w:t>
      </w:r>
      <w:r>
        <w:rPr/>
        <w:t>em</w:t>
      </w:r>
      <w:r>
        <w:rPr>
          <w:spacing w:val="-11"/>
        </w:rPr>
        <w:t> </w:t>
      </w:r>
      <w:r>
        <w:rPr/>
        <w:t>100%,</w:t>
      </w:r>
      <w:r>
        <w:rPr>
          <w:spacing w:val="-14"/>
        </w:rPr>
        <w:t> </w:t>
      </w:r>
      <w:r>
        <w:rPr/>
        <w:t>superando a meta mínima de 70%, o que contribui diretamente para a celeridade diagnóstica assistencial. Da mesma forma, o percentual de casos de doenças, agravos e eventos de notificação compulsória imediata</w:t>
      </w:r>
      <w:r>
        <w:rPr>
          <w:spacing w:val="-2"/>
        </w:rPr>
        <w:t> </w:t>
      </w:r>
      <w:r>
        <w:rPr/>
        <w:t>(DAEI)</w:t>
      </w:r>
      <w:r>
        <w:rPr>
          <w:spacing w:val="-7"/>
        </w:rPr>
        <w:t> </w:t>
      </w:r>
      <w:r>
        <w:rPr/>
        <w:t>digitados</w:t>
      </w:r>
      <w:r>
        <w:rPr>
          <w:spacing w:val="-9"/>
        </w:rPr>
        <w:t> </w:t>
      </w:r>
      <w:r>
        <w:rPr/>
        <w:t>e</w:t>
      </w:r>
      <w:r>
        <w:rPr>
          <w:spacing w:val="-2"/>
        </w:rPr>
        <w:t> </w:t>
      </w:r>
      <w:r>
        <w:rPr/>
        <w:t>investigados</w:t>
      </w:r>
      <w:r>
        <w:rPr>
          <w:spacing w:val="-9"/>
        </w:rPr>
        <w:t> </w:t>
      </w:r>
      <w:r>
        <w:rPr/>
        <w:t>oportunamente</w:t>
      </w:r>
      <w:r>
        <w:rPr>
          <w:spacing w:val="-6"/>
        </w:rPr>
        <w:t> </w:t>
      </w:r>
      <w:r>
        <w:rPr/>
        <w:t>alcançou</w:t>
      </w:r>
      <w:r>
        <w:rPr>
          <w:spacing w:val="-6"/>
        </w:rPr>
        <w:t> </w:t>
      </w:r>
      <w:r>
        <w:rPr/>
        <w:t>100%</w:t>
      </w:r>
      <w:r>
        <w:rPr>
          <w:spacing w:val="-4"/>
        </w:rPr>
        <w:t> </w:t>
      </w:r>
      <w:r>
        <w:rPr/>
        <w:t>tanto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digitação</w:t>
      </w:r>
      <w:r>
        <w:rPr>
          <w:spacing w:val="-6"/>
        </w:rPr>
        <w:t> </w:t>
      </w:r>
      <w:r>
        <w:rPr/>
        <w:t>em</w:t>
      </w:r>
      <w:r>
        <w:rPr>
          <w:spacing w:val="-7"/>
        </w:rPr>
        <w:t> </w:t>
      </w:r>
      <w:r>
        <w:rPr/>
        <w:t>até</w:t>
      </w:r>
      <w:r>
        <w:rPr>
          <w:spacing w:val="-6"/>
        </w:rPr>
        <w:t> </w:t>
      </w:r>
      <w:r>
        <w:rPr/>
        <w:t>7 dias</w:t>
      </w:r>
      <w:r>
        <w:rPr>
          <w:spacing w:val="-9"/>
        </w:rPr>
        <w:t> </w:t>
      </w:r>
      <w:r>
        <w:rPr/>
        <w:t>quanto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investigação</w:t>
      </w:r>
      <w:r>
        <w:rPr>
          <w:spacing w:val="-11"/>
        </w:rPr>
        <w:t> </w:t>
      </w:r>
      <w:r>
        <w:rPr/>
        <w:t>em</w:t>
      </w:r>
      <w:r>
        <w:rPr>
          <w:spacing w:val="-12"/>
        </w:rPr>
        <w:t> </w:t>
      </w:r>
      <w:r>
        <w:rPr/>
        <w:t>até</w:t>
      </w:r>
      <w:r>
        <w:rPr>
          <w:spacing w:val="-11"/>
        </w:rPr>
        <w:t> </w:t>
      </w:r>
      <w:r>
        <w:rPr/>
        <w:t>48</w:t>
      </w:r>
      <w:r>
        <w:rPr>
          <w:spacing w:val="-11"/>
        </w:rPr>
        <w:t> </w:t>
      </w:r>
      <w:r>
        <w:rPr/>
        <w:t>horas,</w:t>
      </w:r>
      <w:r>
        <w:rPr>
          <w:spacing w:val="-10"/>
        </w:rPr>
        <w:t> </w:t>
      </w:r>
      <w:r>
        <w:rPr/>
        <w:t>refletindo</w:t>
      </w:r>
      <w:r>
        <w:rPr>
          <w:spacing w:val="-6"/>
        </w:rPr>
        <w:t> </w:t>
      </w:r>
      <w:r>
        <w:rPr/>
        <w:t>a</w:t>
      </w:r>
      <w:r>
        <w:rPr>
          <w:spacing w:val="-11"/>
        </w:rPr>
        <w:t> </w:t>
      </w:r>
      <w:r>
        <w:rPr/>
        <w:t>organização</w:t>
      </w:r>
      <w:r>
        <w:rPr>
          <w:spacing w:val="-6"/>
        </w:rPr>
        <w:t> </w:t>
      </w:r>
      <w:r>
        <w:rPr/>
        <w:t>dos</w:t>
      </w:r>
      <w:r>
        <w:rPr>
          <w:spacing w:val="-9"/>
        </w:rPr>
        <w:t> </w:t>
      </w:r>
      <w:r>
        <w:rPr/>
        <w:t>fluxos</w:t>
      </w:r>
      <w:r>
        <w:rPr>
          <w:spacing w:val="-9"/>
        </w:rPr>
        <w:t> </w:t>
      </w:r>
      <w:r>
        <w:rPr/>
        <w:t>epidemiológicos</w:t>
      </w:r>
      <w:r>
        <w:rPr>
          <w:spacing w:val="-14"/>
        </w:rPr>
        <w:t> </w:t>
      </w:r>
      <w:r>
        <w:rPr/>
        <w:t>do </w:t>
      </w:r>
      <w:r>
        <w:rPr>
          <w:spacing w:val="-2"/>
        </w:rPr>
        <w:t>hospital.</w:t>
      </w:r>
    </w:p>
    <w:p>
      <w:pPr>
        <w:pStyle w:val="BodyText"/>
        <w:spacing w:after="0" w:line="350" w:lineRule="auto"/>
        <w:jc w:val="both"/>
        <w:sectPr>
          <w:pgSz w:w="11910" w:h="16840"/>
          <w:pgMar w:header="1067" w:footer="580" w:top="2440" w:bottom="780" w:left="566" w:right="566"/>
        </w:sectPr>
      </w:pPr>
    </w:p>
    <w:p>
      <w:pPr>
        <w:pStyle w:val="ListParagraph"/>
        <w:numPr>
          <w:ilvl w:val="0"/>
          <w:numId w:val="1"/>
        </w:numPr>
        <w:tabs>
          <w:tab w:pos="1159" w:val="left" w:leader="none"/>
        </w:tabs>
        <w:spacing w:line="246" w:lineRule="exact" w:before="0" w:after="0"/>
        <w:ind w:left="1159" w:right="0" w:hanging="425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Indicadores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pacing w:val="-2"/>
          <w:sz w:val="22"/>
        </w:rPr>
        <w:t>Financeiro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ListParagraph"/>
        <w:numPr>
          <w:ilvl w:val="1"/>
          <w:numId w:val="3"/>
        </w:numPr>
        <w:tabs>
          <w:tab w:pos="1222" w:val="left" w:leader="none"/>
        </w:tabs>
        <w:spacing w:line="240" w:lineRule="auto" w:before="0" w:after="0"/>
        <w:ind w:left="1222" w:right="0" w:hanging="488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Contábil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–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pacing w:val="-2"/>
          <w:sz w:val="22"/>
        </w:rPr>
        <w:t>SIPEF</w:t>
      </w:r>
    </w:p>
    <w:p>
      <w:pPr>
        <w:pStyle w:val="BodyText"/>
        <w:spacing w:before="134"/>
        <w:rPr>
          <w:rFonts w:ascii="Arial"/>
          <w:b/>
        </w:rPr>
      </w:pPr>
    </w:p>
    <w:p>
      <w:pPr>
        <w:pStyle w:val="BodyText"/>
        <w:spacing w:line="350" w:lineRule="auto"/>
        <w:ind w:left="1325" w:firstLine="720"/>
      </w:pPr>
      <w:r>
        <w:rPr/>
        <w:t>O</w:t>
      </w:r>
      <w:r>
        <w:rPr>
          <w:spacing w:val="40"/>
        </w:rPr>
        <w:t> </w:t>
      </w:r>
      <w:r>
        <w:rPr/>
        <w:t>procedimento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envio</w:t>
      </w:r>
      <w:r>
        <w:rPr>
          <w:spacing w:val="40"/>
        </w:rPr>
        <w:t> </w:t>
      </w:r>
      <w:r>
        <w:rPr/>
        <w:t>mensal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Kit</w:t>
      </w:r>
      <w:r>
        <w:rPr>
          <w:spacing w:val="40"/>
        </w:rPr>
        <w:t> </w:t>
      </w:r>
      <w:r>
        <w:rPr/>
        <w:t>contábil</w:t>
      </w:r>
      <w:r>
        <w:rPr>
          <w:spacing w:val="37"/>
        </w:rPr>
        <w:t> </w:t>
      </w:r>
      <w:r>
        <w:rPr/>
        <w:t>foi</w:t>
      </w:r>
      <w:r>
        <w:rPr>
          <w:spacing w:val="40"/>
        </w:rPr>
        <w:t> </w:t>
      </w:r>
      <w:r>
        <w:rPr/>
        <w:t>realizado</w:t>
      </w:r>
      <w:r>
        <w:rPr>
          <w:spacing w:val="40"/>
        </w:rPr>
        <w:t> </w:t>
      </w:r>
      <w:r>
        <w:rPr/>
        <w:t>conforme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prazos estabelecidos de prestação de contas, e os documentos disponibilizados foram:</w:t>
      </w:r>
    </w:p>
    <w:p>
      <w:pPr>
        <w:pStyle w:val="ListParagraph"/>
        <w:numPr>
          <w:ilvl w:val="2"/>
          <w:numId w:val="3"/>
        </w:numPr>
        <w:tabs>
          <w:tab w:pos="2765" w:val="left" w:leader="none"/>
        </w:tabs>
        <w:spacing w:line="240" w:lineRule="auto" w:before="127" w:after="0"/>
        <w:ind w:left="2765" w:right="0" w:hanging="360"/>
        <w:jc w:val="left"/>
        <w:rPr>
          <w:rFonts w:ascii="Symbol" w:hAnsi="Symbol"/>
          <w:sz w:val="22"/>
        </w:rPr>
      </w:pPr>
      <w:r>
        <w:rPr>
          <w:spacing w:val="-2"/>
          <w:sz w:val="22"/>
        </w:rPr>
        <w:t>Balancete;</w:t>
      </w:r>
    </w:p>
    <w:p>
      <w:pPr>
        <w:pStyle w:val="ListParagraph"/>
        <w:numPr>
          <w:ilvl w:val="2"/>
          <w:numId w:val="3"/>
        </w:numPr>
        <w:tabs>
          <w:tab w:pos="2765" w:val="left" w:leader="none"/>
        </w:tabs>
        <w:spacing w:line="240" w:lineRule="auto" w:before="120" w:after="0"/>
        <w:ind w:left="2765" w:right="0" w:hanging="360"/>
        <w:jc w:val="left"/>
        <w:rPr>
          <w:rFonts w:ascii="Symbol" w:hAnsi="Symbol"/>
          <w:sz w:val="22"/>
        </w:rPr>
      </w:pPr>
      <w:r>
        <w:rPr>
          <w:spacing w:val="-4"/>
          <w:sz w:val="22"/>
        </w:rPr>
        <w:t>DRE;</w:t>
      </w:r>
    </w:p>
    <w:p>
      <w:pPr>
        <w:pStyle w:val="ListParagraph"/>
        <w:numPr>
          <w:ilvl w:val="2"/>
          <w:numId w:val="3"/>
        </w:numPr>
        <w:tabs>
          <w:tab w:pos="2765" w:val="left" w:leader="none"/>
        </w:tabs>
        <w:spacing w:line="240" w:lineRule="auto" w:before="126" w:after="0"/>
        <w:ind w:left="2765" w:right="0" w:hanging="360"/>
        <w:jc w:val="left"/>
        <w:rPr>
          <w:rFonts w:ascii="Symbol" w:hAnsi="Symbol"/>
          <w:sz w:val="22"/>
        </w:rPr>
      </w:pPr>
      <w:r>
        <w:rPr>
          <w:spacing w:val="-2"/>
          <w:sz w:val="22"/>
        </w:rPr>
        <w:t>Balanço;</w:t>
      </w:r>
    </w:p>
    <w:p>
      <w:pPr>
        <w:pStyle w:val="BodyText"/>
        <w:spacing w:before="14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825500</wp:posOffset>
            </wp:positionH>
            <wp:positionV relativeFrom="paragraph">
              <wp:posOffset>250940</wp:posOffset>
            </wp:positionV>
            <wp:extent cx="6368909" cy="3365373"/>
            <wp:effectExtent l="0" t="0" r="0" b="0"/>
            <wp:wrapTopAndBottom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8909" cy="3365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39"/>
      </w:pPr>
    </w:p>
    <w:p>
      <w:pPr>
        <w:pStyle w:val="ListParagraph"/>
        <w:numPr>
          <w:ilvl w:val="1"/>
          <w:numId w:val="3"/>
        </w:numPr>
        <w:tabs>
          <w:tab w:pos="1161" w:val="left" w:leader="none"/>
        </w:tabs>
        <w:spacing w:line="240" w:lineRule="auto" w:before="0" w:after="0"/>
        <w:ind w:left="1161" w:right="0" w:hanging="427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Relatório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Econômico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DRE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HUGO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– </w:t>
      </w:r>
      <w:r>
        <w:rPr>
          <w:rFonts w:ascii="Arial" w:hAnsi="Arial"/>
          <w:b/>
          <w:spacing w:val="-4"/>
          <w:sz w:val="22"/>
        </w:rPr>
        <w:t>R$MM</w:t>
      </w:r>
    </w:p>
    <w:p>
      <w:pPr>
        <w:pStyle w:val="BodyText"/>
        <w:spacing w:before="137"/>
        <w:ind w:left="734"/>
      </w:pPr>
      <w:r>
        <w:rPr/>
        <w:t>No</w:t>
      </w:r>
      <w:r>
        <w:rPr>
          <w:spacing w:val="-3"/>
        </w:rPr>
        <w:t> </w:t>
      </w:r>
      <w:r>
        <w:rPr/>
        <w:t>mês</w:t>
      </w:r>
      <w:r>
        <w:rPr>
          <w:spacing w:val="-9"/>
        </w:rPr>
        <w:t> </w:t>
      </w:r>
      <w:r>
        <w:rPr/>
        <w:t>de</w:t>
      </w:r>
      <w:r>
        <w:rPr>
          <w:spacing w:val="2"/>
        </w:rPr>
        <w:t> </w:t>
      </w:r>
      <w:r>
        <w:rPr/>
        <w:t>junho/25,</w:t>
      </w:r>
      <w:r>
        <w:rPr>
          <w:spacing w:val="-5"/>
        </w:rPr>
        <w:t> </w:t>
      </w:r>
      <w:r>
        <w:rPr/>
        <w:t>podemos</w:t>
      </w:r>
      <w:r>
        <w:rPr>
          <w:spacing w:val="-4"/>
        </w:rPr>
        <w:t> </w:t>
      </w:r>
      <w:r>
        <w:rPr/>
        <w:t>destacar</w:t>
      </w:r>
      <w:r>
        <w:rPr>
          <w:spacing w:val="-1"/>
        </w:rPr>
        <w:t> </w:t>
      </w:r>
      <w:r>
        <w:rPr/>
        <w:t>os</w:t>
      </w:r>
      <w:r>
        <w:rPr>
          <w:spacing w:val="-4"/>
        </w:rPr>
        <w:t> </w:t>
      </w:r>
      <w:r>
        <w:rPr/>
        <w:t>seguintes</w:t>
      </w:r>
      <w:r>
        <w:rPr>
          <w:spacing w:val="-3"/>
        </w:rPr>
        <w:t> </w:t>
      </w:r>
      <w:r>
        <w:rPr>
          <w:spacing w:val="-2"/>
        </w:rPr>
        <w:t>resultados:</w:t>
      </w:r>
    </w:p>
    <w:p>
      <w:pPr>
        <w:pStyle w:val="BodyText"/>
      </w:pPr>
    </w:p>
    <w:p>
      <w:pPr>
        <w:pStyle w:val="BodyText"/>
        <w:spacing w:before="21"/>
      </w:pPr>
    </w:p>
    <w:p>
      <w:pPr>
        <w:pStyle w:val="ListParagraph"/>
        <w:numPr>
          <w:ilvl w:val="2"/>
          <w:numId w:val="3"/>
        </w:numPr>
        <w:tabs>
          <w:tab w:pos="1454" w:val="left" w:leader="none"/>
        </w:tabs>
        <w:spacing w:line="240" w:lineRule="auto" w:before="1" w:after="0"/>
        <w:ind w:left="145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Repasse</w:t>
      </w:r>
      <w:r>
        <w:rPr>
          <w:spacing w:val="-5"/>
          <w:sz w:val="22"/>
        </w:rPr>
        <w:t> </w:t>
      </w:r>
      <w:r>
        <w:rPr>
          <w:sz w:val="22"/>
        </w:rPr>
        <w:t>Operacional</w:t>
      </w:r>
      <w:r>
        <w:rPr>
          <w:spacing w:val="-6"/>
          <w:sz w:val="22"/>
        </w:rPr>
        <w:t> </w:t>
      </w:r>
      <w:r>
        <w:rPr>
          <w:sz w:val="22"/>
        </w:rPr>
        <w:t>Acumulado</w:t>
      </w:r>
      <w:r>
        <w:rPr>
          <w:spacing w:val="-4"/>
          <w:sz w:val="22"/>
        </w:rPr>
        <w:t> </w:t>
      </w:r>
      <w:r>
        <w:rPr>
          <w:sz w:val="22"/>
        </w:rPr>
        <w:t>totalizou</w:t>
      </w:r>
      <w:r>
        <w:rPr>
          <w:spacing w:val="-5"/>
          <w:sz w:val="22"/>
        </w:rPr>
        <w:t> </w:t>
      </w:r>
      <w:r>
        <w:rPr>
          <w:sz w:val="22"/>
        </w:rPr>
        <w:t>R$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25,1MM;</w:t>
      </w:r>
    </w:p>
    <w:p>
      <w:pPr>
        <w:pStyle w:val="ListParagraph"/>
        <w:numPr>
          <w:ilvl w:val="2"/>
          <w:numId w:val="3"/>
        </w:numPr>
        <w:tabs>
          <w:tab w:pos="1455" w:val="left" w:leader="none"/>
        </w:tabs>
        <w:spacing w:line="242" w:lineRule="auto" w:before="137" w:after="0"/>
        <w:ind w:left="1455" w:right="581" w:hanging="361"/>
        <w:jc w:val="left"/>
        <w:rPr>
          <w:rFonts w:ascii="Symbol" w:hAnsi="Symbol"/>
          <w:sz w:val="20"/>
        </w:rPr>
      </w:pPr>
      <w:r>
        <w:rPr>
          <w:sz w:val="22"/>
        </w:rPr>
        <w:t>As</w:t>
      </w:r>
      <w:r>
        <w:rPr>
          <w:spacing w:val="-5"/>
          <w:sz w:val="22"/>
        </w:rPr>
        <w:t> </w:t>
      </w:r>
      <w:r>
        <w:rPr>
          <w:sz w:val="22"/>
        </w:rPr>
        <w:t>Despesas</w:t>
      </w:r>
      <w:r>
        <w:rPr>
          <w:spacing w:val="-5"/>
          <w:sz w:val="22"/>
        </w:rPr>
        <w:t> </w:t>
      </w:r>
      <w:r>
        <w:rPr>
          <w:sz w:val="22"/>
        </w:rPr>
        <w:t>Operacionais</w:t>
      </w:r>
      <w:r>
        <w:rPr>
          <w:spacing w:val="-5"/>
          <w:sz w:val="22"/>
        </w:rPr>
        <w:t> </w:t>
      </w:r>
      <w:r>
        <w:rPr>
          <w:sz w:val="22"/>
        </w:rPr>
        <w:t>totalizaram</w:t>
      </w:r>
      <w:r>
        <w:rPr>
          <w:spacing w:val="-3"/>
          <w:sz w:val="22"/>
        </w:rPr>
        <w:t> </w:t>
      </w:r>
      <w:r>
        <w:rPr>
          <w:sz w:val="22"/>
        </w:rPr>
        <w:t>R$ 25,9MM,</w:t>
      </w:r>
      <w:r>
        <w:rPr>
          <w:spacing w:val="-11"/>
          <w:sz w:val="22"/>
        </w:rPr>
        <w:t> </w:t>
      </w:r>
      <w:r>
        <w:rPr>
          <w:sz w:val="22"/>
        </w:rPr>
        <w:t>tendo</w:t>
      </w:r>
      <w:r>
        <w:rPr>
          <w:spacing w:val="-2"/>
          <w:sz w:val="22"/>
        </w:rPr>
        <w:t> </w:t>
      </w:r>
      <w:r>
        <w:rPr>
          <w:sz w:val="22"/>
        </w:rPr>
        <w:t>como</w:t>
      </w:r>
      <w:r>
        <w:rPr>
          <w:spacing w:val="-2"/>
          <w:sz w:val="22"/>
        </w:rPr>
        <w:t> </w:t>
      </w:r>
      <w:r>
        <w:rPr>
          <w:sz w:val="22"/>
        </w:rPr>
        <w:t>principais</w:t>
      </w:r>
      <w:r>
        <w:rPr>
          <w:spacing w:val="-5"/>
          <w:sz w:val="22"/>
        </w:rPr>
        <w:t> </w:t>
      </w:r>
      <w:r>
        <w:rPr>
          <w:sz w:val="22"/>
        </w:rPr>
        <w:t>custos</w:t>
      </w:r>
      <w:r>
        <w:rPr>
          <w:spacing w:val="-5"/>
          <w:sz w:val="22"/>
        </w:rPr>
        <w:t> </w:t>
      </w:r>
      <w:r>
        <w:rPr>
          <w:sz w:val="22"/>
        </w:rPr>
        <w:t>mão</w:t>
      </w:r>
      <w:r>
        <w:rPr>
          <w:spacing w:val="-2"/>
          <w:sz w:val="22"/>
        </w:rPr>
        <w:t> </w:t>
      </w:r>
      <w:r>
        <w:rPr>
          <w:sz w:val="22"/>
        </w:rPr>
        <w:t>de obra (R$ 14,2MM), serviços fixos (R$ 3,5MM) e materiais e medicamentos (R$ 4,0MM);</w:t>
      </w:r>
    </w:p>
    <w:p>
      <w:pPr>
        <w:pStyle w:val="ListParagraph"/>
        <w:numPr>
          <w:ilvl w:val="2"/>
          <w:numId w:val="3"/>
        </w:numPr>
        <w:tabs>
          <w:tab w:pos="1454" w:val="left" w:leader="none"/>
        </w:tabs>
        <w:spacing w:line="240" w:lineRule="auto" w:before="134" w:after="0"/>
        <w:ind w:left="145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O</w:t>
      </w:r>
      <w:r>
        <w:rPr>
          <w:spacing w:val="-8"/>
          <w:sz w:val="22"/>
        </w:rPr>
        <w:t> </w:t>
      </w:r>
      <w:r>
        <w:rPr>
          <w:sz w:val="22"/>
        </w:rPr>
        <w:t>Déficit</w:t>
      </w:r>
      <w:r>
        <w:rPr>
          <w:spacing w:val="-5"/>
          <w:sz w:val="22"/>
        </w:rPr>
        <w:t> </w:t>
      </w:r>
      <w:r>
        <w:rPr>
          <w:sz w:val="22"/>
        </w:rPr>
        <w:t>Operacional</w:t>
      </w:r>
      <w:r>
        <w:rPr>
          <w:spacing w:val="-3"/>
          <w:sz w:val="22"/>
        </w:rPr>
        <w:t> </w:t>
      </w:r>
      <w:r>
        <w:rPr>
          <w:sz w:val="22"/>
        </w:rPr>
        <w:t>totalizou</w:t>
      </w:r>
      <w:r>
        <w:rPr>
          <w:spacing w:val="3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R$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0,5MM;</w:t>
      </w:r>
    </w:p>
    <w:p>
      <w:pPr>
        <w:pStyle w:val="ListParagraph"/>
        <w:numPr>
          <w:ilvl w:val="2"/>
          <w:numId w:val="3"/>
        </w:numPr>
        <w:tabs>
          <w:tab w:pos="1455" w:val="left" w:leader="none"/>
        </w:tabs>
        <w:spacing w:line="242" w:lineRule="auto" w:before="137" w:after="0"/>
        <w:ind w:left="1455" w:right="1234" w:hanging="361"/>
        <w:jc w:val="left"/>
        <w:rPr>
          <w:rFonts w:ascii="Symbol" w:hAnsi="Symbol"/>
          <w:sz w:val="20"/>
        </w:rPr>
      </w:pP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Resultado</w:t>
      </w:r>
      <w:r>
        <w:rPr>
          <w:spacing w:val="-2"/>
          <w:sz w:val="22"/>
        </w:rPr>
        <w:t> </w:t>
      </w:r>
      <w:r>
        <w:rPr>
          <w:sz w:val="22"/>
        </w:rPr>
        <w:t>Financeiro</w:t>
      </w:r>
      <w:r>
        <w:rPr>
          <w:spacing w:val="-2"/>
          <w:sz w:val="22"/>
        </w:rPr>
        <w:t> </w:t>
      </w:r>
      <w:r>
        <w:rPr>
          <w:sz w:val="22"/>
        </w:rPr>
        <w:t>totalizou</w:t>
      </w:r>
      <w:r>
        <w:rPr>
          <w:spacing w:val="-2"/>
          <w:sz w:val="22"/>
        </w:rPr>
        <w:t> </w:t>
      </w:r>
      <w:r>
        <w:rPr>
          <w:sz w:val="22"/>
        </w:rPr>
        <w:t>R$ 0,3MM,</w:t>
      </w:r>
      <w:r>
        <w:rPr>
          <w:spacing w:val="-6"/>
          <w:sz w:val="22"/>
        </w:rPr>
        <w:t> </w:t>
      </w:r>
      <w:r>
        <w:rPr>
          <w:sz w:val="22"/>
        </w:rPr>
        <w:t>relativo</w:t>
      </w:r>
      <w:r>
        <w:rPr>
          <w:spacing w:val="-7"/>
          <w:sz w:val="22"/>
        </w:rPr>
        <w:t> </w:t>
      </w:r>
      <w:r>
        <w:rPr>
          <w:sz w:val="22"/>
        </w:rPr>
        <w:t>ao</w:t>
      </w:r>
      <w:r>
        <w:rPr>
          <w:spacing w:val="-2"/>
          <w:sz w:val="22"/>
        </w:rPr>
        <w:t> </w:t>
      </w:r>
      <w:r>
        <w:rPr>
          <w:sz w:val="22"/>
        </w:rPr>
        <w:t>rendimento</w:t>
      </w:r>
      <w:r>
        <w:rPr>
          <w:spacing w:val="-7"/>
          <w:sz w:val="22"/>
        </w:rPr>
        <w:t> </w:t>
      </w:r>
      <w:r>
        <w:rPr>
          <w:sz w:val="22"/>
        </w:rPr>
        <w:t>das</w:t>
      </w:r>
      <w:r>
        <w:rPr>
          <w:spacing w:val="-10"/>
          <w:sz w:val="22"/>
        </w:rPr>
        <w:t> </w:t>
      </w:r>
      <w:r>
        <w:rPr>
          <w:sz w:val="22"/>
        </w:rPr>
        <w:t>aplicações </w:t>
      </w:r>
      <w:r>
        <w:rPr>
          <w:spacing w:val="-2"/>
          <w:sz w:val="22"/>
        </w:rPr>
        <w:t>financeiras;</w:t>
      </w:r>
    </w:p>
    <w:p>
      <w:pPr>
        <w:pStyle w:val="ListParagraph"/>
        <w:spacing w:after="0" w:line="242" w:lineRule="auto"/>
        <w:jc w:val="left"/>
        <w:rPr>
          <w:rFonts w:ascii="Symbol" w:hAnsi="Symbol"/>
          <w:sz w:val="20"/>
        </w:rPr>
        <w:sectPr>
          <w:pgSz w:w="11910" w:h="16840"/>
          <w:pgMar w:header="1067" w:footer="580" w:top="2440" w:bottom="780" w:left="566" w:right="566"/>
        </w:sectPr>
      </w:pPr>
    </w:p>
    <w:p>
      <w:pPr>
        <w:pStyle w:val="ListParagraph"/>
        <w:numPr>
          <w:ilvl w:val="2"/>
          <w:numId w:val="3"/>
        </w:numPr>
        <w:tabs>
          <w:tab w:pos="1454" w:val="left" w:leader="none"/>
        </w:tabs>
        <w:spacing w:line="248" w:lineRule="exact" w:before="0" w:after="0"/>
        <w:ind w:left="145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Déficit</w:t>
      </w:r>
      <w:r>
        <w:rPr>
          <w:spacing w:val="-6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Exercício</w:t>
      </w:r>
      <w:r>
        <w:rPr>
          <w:spacing w:val="-2"/>
          <w:sz w:val="22"/>
        </w:rPr>
        <w:t> </w:t>
      </w:r>
      <w:r>
        <w:rPr>
          <w:sz w:val="22"/>
        </w:rPr>
        <w:t>totalizou</w:t>
      </w:r>
      <w:r>
        <w:rPr>
          <w:spacing w:val="2"/>
          <w:sz w:val="22"/>
        </w:rPr>
        <w:t> </w:t>
      </w:r>
      <w:r>
        <w:rPr>
          <w:sz w:val="22"/>
        </w:rPr>
        <w:t>-R$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0,5MM;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2360676</wp:posOffset>
            </wp:positionH>
            <wp:positionV relativeFrom="paragraph">
              <wp:posOffset>224417</wp:posOffset>
            </wp:positionV>
            <wp:extent cx="3206564" cy="4469701"/>
            <wp:effectExtent l="0" t="0" r="0" b="0"/>
            <wp:wrapTopAndBottom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564" cy="4469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10" w:h="16840"/>
          <w:pgMar w:header="1067" w:footer="580" w:top="2440" w:bottom="780" w:left="566" w:right="566"/>
        </w:sectPr>
      </w:pPr>
    </w:p>
    <w:p>
      <w:pPr>
        <w:pStyle w:val="ListParagraph"/>
        <w:numPr>
          <w:ilvl w:val="1"/>
          <w:numId w:val="3"/>
        </w:numPr>
        <w:tabs>
          <w:tab w:pos="1161" w:val="left" w:leader="none"/>
        </w:tabs>
        <w:spacing w:line="246" w:lineRule="exact" w:before="0" w:after="0"/>
        <w:ind w:left="1161" w:right="0" w:hanging="427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Custo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pacing w:val="-4"/>
          <w:sz w:val="22"/>
        </w:rPr>
        <w:t>KPIH</w:t>
      </w:r>
    </w:p>
    <w:p>
      <w:pPr>
        <w:pStyle w:val="BodyText"/>
        <w:spacing w:before="134"/>
        <w:rPr>
          <w:rFonts w:ascii="Arial"/>
          <w:b/>
        </w:rPr>
      </w:pPr>
    </w:p>
    <w:p>
      <w:pPr>
        <w:pStyle w:val="BodyText"/>
        <w:spacing w:line="350" w:lineRule="auto"/>
        <w:ind w:left="734" w:firstLine="720"/>
      </w:pPr>
      <w:r>
        <w:rPr/>
        <w:t>A competência de maio de 2025 foi entregue no dia 10/07/2025 na plataforma KPIH.</w:t>
      </w:r>
      <w:r>
        <w:rPr>
          <w:spacing w:val="80"/>
        </w:rPr>
        <w:t> </w:t>
      </w:r>
      <w:r>
        <w:rPr/>
        <w:t>Segue abaixo o cronograma referente ao fechamento do mês de junho de 2025:</w:t>
      </w:r>
    </w:p>
    <w:p>
      <w:pPr>
        <w:pStyle w:val="BodyText"/>
        <w:spacing w:before="135"/>
        <w:rPr>
          <w:sz w:val="20"/>
        </w:rPr>
      </w:pPr>
    </w:p>
    <w:tbl>
      <w:tblPr>
        <w:tblW w:w="0" w:type="auto"/>
        <w:jc w:val="left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68"/>
        <w:gridCol w:w="1676"/>
        <w:gridCol w:w="1926"/>
      </w:tblGrid>
      <w:tr>
        <w:trPr>
          <w:trHeight w:val="308" w:hRule="atLeast"/>
        </w:trPr>
        <w:tc>
          <w:tcPr>
            <w:tcW w:w="6268" w:type="dxa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spacing w:before="29"/>
              <w:ind w:left="107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22"/>
              </w:rPr>
              <w:t>Descrição</w:t>
            </w:r>
          </w:p>
        </w:tc>
        <w:tc>
          <w:tcPr>
            <w:tcW w:w="1676" w:type="dxa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spacing w:before="29"/>
              <w:ind w:left="16" w:right="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pacing w:val="-4"/>
                <w:sz w:val="22"/>
              </w:rPr>
              <w:t>Prazo</w:t>
            </w:r>
          </w:p>
        </w:tc>
        <w:tc>
          <w:tcPr>
            <w:tcW w:w="1926" w:type="dxa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spacing w:before="29"/>
              <w:ind w:left="14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pacing w:val="-2"/>
                <w:sz w:val="22"/>
              </w:rPr>
              <w:t>Status</w:t>
            </w:r>
          </w:p>
        </w:tc>
      </w:tr>
      <w:tr>
        <w:trPr>
          <w:trHeight w:val="277" w:hRule="atLeast"/>
        </w:trPr>
        <w:tc>
          <w:tcPr>
            <w:tcW w:w="6268" w:type="dxa"/>
          </w:tcPr>
          <w:p>
            <w:pPr>
              <w:pStyle w:val="TableParagraph"/>
              <w:spacing w:line="251" w:lineRule="exact" w:before="6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Consultoria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Planisa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z w:val="22"/>
              </w:rPr>
              <w:t>-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Analise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maio</w:t>
            </w:r>
          </w:p>
        </w:tc>
        <w:tc>
          <w:tcPr>
            <w:tcW w:w="1676" w:type="dxa"/>
          </w:tcPr>
          <w:p>
            <w:pPr>
              <w:pStyle w:val="TableParagraph"/>
              <w:spacing w:line="251" w:lineRule="exact" w:before="6"/>
              <w:ind w:left="16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04/07/2025</w:t>
            </w:r>
          </w:p>
        </w:tc>
        <w:tc>
          <w:tcPr>
            <w:tcW w:w="1926" w:type="dxa"/>
          </w:tcPr>
          <w:p>
            <w:pPr>
              <w:pStyle w:val="TableParagraph"/>
              <w:spacing w:line="251" w:lineRule="exact" w:before="6"/>
              <w:ind w:left="14" w:right="1"/>
              <w:jc w:val="center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pacing w:val="-2"/>
                <w:sz w:val="22"/>
              </w:rPr>
              <w:t>Concluído</w:t>
            </w:r>
          </w:p>
        </w:tc>
      </w:tr>
      <w:tr>
        <w:trPr>
          <w:trHeight w:val="299" w:hRule="atLeast"/>
        </w:trPr>
        <w:tc>
          <w:tcPr>
            <w:tcW w:w="6268" w:type="dxa"/>
          </w:tcPr>
          <w:p>
            <w:pPr>
              <w:pStyle w:val="TableParagraph"/>
              <w:spacing w:before="23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Consultoria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Planisa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z w:val="22"/>
              </w:rPr>
              <w:t>-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Analise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maio</w:t>
            </w:r>
          </w:p>
        </w:tc>
        <w:tc>
          <w:tcPr>
            <w:tcW w:w="1676" w:type="dxa"/>
          </w:tcPr>
          <w:p>
            <w:pPr>
              <w:pStyle w:val="TableParagraph"/>
              <w:spacing w:before="23"/>
              <w:ind w:left="16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07/07/2025</w:t>
            </w:r>
          </w:p>
        </w:tc>
        <w:tc>
          <w:tcPr>
            <w:tcW w:w="1926" w:type="dxa"/>
          </w:tcPr>
          <w:p>
            <w:pPr>
              <w:pStyle w:val="TableParagraph"/>
              <w:spacing w:before="23"/>
              <w:ind w:left="14" w:right="1"/>
              <w:jc w:val="center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pacing w:val="-2"/>
                <w:sz w:val="22"/>
              </w:rPr>
              <w:t>Concluído</w:t>
            </w:r>
          </w:p>
        </w:tc>
      </w:tr>
      <w:tr>
        <w:trPr>
          <w:trHeight w:val="285" w:hRule="atLeast"/>
        </w:trPr>
        <w:tc>
          <w:tcPr>
            <w:tcW w:w="6268" w:type="dxa"/>
          </w:tcPr>
          <w:p>
            <w:pPr>
              <w:pStyle w:val="TableParagraph"/>
              <w:spacing w:line="252" w:lineRule="exact" w:before="13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Fechamento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KPIH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-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maio</w:t>
            </w:r>
          </w:p>
        </w:tc>
        <w:tc>
          <w:tcPr>
            <w:tcW w:w="1676" w:type="dxa"/>
          </w:tcPr>
          <w:p>
            <w:pPr>
              <w:pStyle w:val="TableParagraph"/>
              <w:spacing w:line="252" w:lineRule="exact" w:before="13"/>
              <w:ind w:left="16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10/07/2025</w:t>
            </w:r>
          </w:p>
        </w:tc>
        <w:tc>
          <w:tcPr>
            <w:tcW w:w="1926" w:type="dxa"/>
          </w:tcPr>
          <w:p>
            <w:pPr>
              <w:pStyle w:val="TableParagraph"/>
              <w:spacing w:line="252" w:lineRule="exact" w:before="13"/>
              <w:ind w:left="14" w:right="1"/>
              <w:jc w:val="center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pacing w:val="-2"/>
                <w:sz w:val="22"/>
              </w:rPr>
              <w:t>Concluído</w:t>
            </w:r>
          </w:p>
        </w:tc>
      </w:tr>
      <w:tr>
        <w:trPr>
          <w:trHeight w:val="285" w:hRule="atLeast"/>
        </w:trPr>
        <w:tc>
          <w:tcPr>
            <w:tcW w:w="6268" w:type="dxa"/>
          </w:tcPr>
          <w:p>
            <w:pPr>
              <w:pStyle w:val="TableParagraph"/>
              <w:spacing w:line="251" w:lineRule="exact" w:before="13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Consumo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Estoque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z w:val="22"/>
              </w:rPr>
              <w:t>-</w:t>
            </w:r>
            <w:r>
              <w:rPr>
                <w:rFonts w:ascii="Arial MT"/>
                <w:spacing w:val="-2"/>
                <w:sz w:val="22"/>
              </w:rPr>
              <w:t> junho</w:t>
            </w:r>
          </w:p>
        </w:tc>
        <w:tc>
          <w:tcPr>
            <w:tcW w:w="1676" w:type="dxa"/>
          </w:tcPr>
          <w:p>
            <w:pPr>
              <w:pStyle w:val="TableParagraph"/>
              <w:spacing w:line="251" w:lineRule="exact" w:before="13"/>
              <w:ind w:left="16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11/07/2025</w:t>
            </w:r>
          </w:p>
        </w:tc>
        <w:tc>
          <w:tcPr>
            <w:tcW w:w="1926" w:type="dxa"/>
          </w:tcPr>
          <w:p>
            <w:pPr>
              <w:pStyle w:val="TableParagraph"/>
              <w:spacing w:line="251" w:lineRule="exact" w:before="13"/>
              <w:ind w:left="14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Em</w:t>
            </w:r>
            <w:r>
              <w:rPr>
                <w:rFonts w:ascii="Arial MT"/>
                <w:spacing w:val="-2"/>
                <w:sz w:val="22"/>
              </w:rPr>
              <w:t> andamento</w:t>
            </w:r>
          </w:p>
        </w:tc>
      </w:tr>
      <w:tr>
        <w:trPr>
          <w:trHeight w:val="285" w:hRule="atLeast"/>
        </w:trPr>
        <w:tc>
          <w:tcPr>
            <w:tcW w:w="6268" w:type="dxa"/>
          </w:tcPr>
          <w:p>
            <w:pPr>
              <w:pStyle w:val="TableParagraph"/>
              <w:spacing w:line="252" w:lineRule="exact" w:before="13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Folha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Clt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-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junho</w:t>
            </w:r>
          </w:p>
        </w:tc>
        <w:tc>
          <w:tcPr>
            <w:tcW w:w="1676" w:type="dxa"/>
          </w:tcPr>
          <w:p>
            <w:pPr>
              <w:pStyle w:val="TableParagraph"/>
              <w:spacing w:line="252" w:lineRule="exact" w:before="13"/>
              <w:ind w:left="16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14/07/2025</w:t>
            </w:r>
          </w:p>
        </w:tc>
        <w:tc>
          <w:tcPr>
            <w:tcW w:w="1926" w:type="dxa"/>
          </w:tcPr>
          <w:p>
            <w:pPr>
              <w:pStyle w:val="TableParagraph"/>
              <w:spacing w:line="252" w:lineRule="exact" w:before="13"/>
              <w:ind w:left="14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Em</w:t>
            </w:r>
            <w:r>
              <w:rPr>
                <w:rFonts w:ascii="Arial MT"/>
                <w:spacing w:val="-2"/>
                <w:sz w:val="22"/>
              </w:rPr>
              <w:t> andamento</w:t>
            </w:r>
          </w:p>
        </w:tc>
      </w:tr>
      <w:tr>
        <w:trPr>
          <w:trHeight w:val="285" w:hRule="atLeast"/>
        </w:trPr>
        <w:tc>
          <w:tcPr>
            <w:tcW w:w="6268" w:type="dxa"/>
          </w:tcPr>
          <w:p>
            <w:pPr>
              <w:pStyle w:val="TableParagraph"/>
              <w:spacing w:line="251" w:lineRule="exact" w:before="13"/>
              <w:ind w:left="107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Estatísticas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-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pacing w:val="-4"/>
                <w:sz w:val="22"/>
              </w:rPr>
              <w:t>junho</w:t>
            </w:r>
          </w:p>
        </w:tc>
        <w:tc>
          <w:tcPr>
            <w:tcW w:w="1676" w:type="dxa"/>
          </w:tcPr>
          <w:p>
            <w:pPr>
              <w:pStyle w:val="TableParagraph"/>
              <w:spacing w:line="251" w:lineRule="exact" w:before="13"/>
              <w:ind w:left="1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15/070025</w:t>
            </w:r>
          </w:p>
        </w:tc>
        <w:tc>
          <w:tcPr>
            <w:tcW w:w="1926" w:type="dxa"/>
          </w:tcPr>
          <w:p>
            <w:pPr>
              <w:pStyle w:val="TableParagraph"/>
              <w:spacing w:line="251" w:lineRule="exact" w:before="13"/>
              <w:ind w:left="14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Em</w:t>
            </w:r>
            <w:r>
              <w:rPr>
                <w:rFonts w:ascii="Arial MT"/>
                <w:spacing w:val="-2"/>
                <w:sz w:val="22"/>
              </w:rPr>
              <w:t> andamento</w:t>
            </w:r>
          </w:p>
        </w:tc>
      </w:tr>
      <w:tr>
        <w:trPr>
          <w:trHeight w:val="285" w:hRule="atLeast"/>
        </w:trPr>
        <w:tc>
          <w:tcPr>
            <w:tcW w:w="6268" w:type="dxa"/>
          </w:tcPr>
          <w:p>
            <w:pPr>
              <w:pStyle w:val="TableParagraph"/>
              <w:spacing w:line="251" w:lineRule="exact" w:before="13"/>
              <w:ind w:left="107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Produção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-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pacing w:val="-4"/>
                <w:sz w:val="22"/>
              </w:rPr>
              <w:t>junho</w:t>
            </w:r>
          </w:p>
        </w:tc>
        <w:tc>
          <w:tcPr>
            <w:tcW w:w="1676" w:type="dxa"/>
          </w:tcPr>
          <w:p>
            <w:pPr>
              <w:pStyle w:val="TableParagraph"/>
              <w:spacing w:line="251" w:lineRule="exact" w:before="13"/>
              <w:ind w:left="16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17/07/2025</w:t>
            </w:r>
          </w:p>
        </w:tc>
        <w:tc>
          <w:tcPr>
            <w:tcW w:w="1926" w:type="dxa"/>
          </w:tcPr>
          <w:p>
            <w:pPr>
              <w:pStyle w:val="TableParagraph"/>
              <w:spacing w:line="251" w:lineRule="exact" w:before="13"/>
              <w:ind w:left="14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Em</w:t>
            </w:r>
            <w:r>
              <w:rPr>
                <w:rFonts w:ascii="Arial MT"/>
                <w:spacing w:val="-2"/>
                <w:sz w:val="22"/>
              </w:rPr>
              <w:t> andamento</w:t>
            </w:r>
          </w:p>
        </w:tc>
      </w:tr>
      <w:tr>
        <w:trPr>
          <w:trHeight w:val="300" w:hRule="atLeast"/>
        </w:trPr>
        <w:tc>
          <w:tcPr>
            <w:tcW w:w="6268" w:type="dxa"/>
          </w:tcPr>
          <w:p>
            <w:pPr>
              <w:pStyle w:val="TableParagraph"/>
              <w:spacing w:before="23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Consultoria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Planisa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z w:val="22"/>
              </w:rPr>
              <w:t>-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Analise</w:t>
            </w:r>
            <w:r>
              <w:rPr>
                <w:rFonts w:ascii="Arial MT"/>
                <w:spacing w:val="-7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maio</w:t>
            </w:r>
          </w:p>
        </w:tc>
        <w:tc>
          <w:tcPr>
            <w:tcW w:w="1676" w:type="dxa"/>
          </w:tcPr>
          <w:p>
            <w:pPr>
              <w:pStyle w:val="TableParagraph"/>
              <w:spacing w:before="23"/>
              <w:ind w:left="16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18/07/2025</w:t>
            </w:r>
          </w:p>
        </w:tc>
        <w:tc>
          <w:tcPr>
            <w:tcW w:w="1926" w:type="dxa"/>
          </w:tcPr>
          <w:p>
            <w:pPr>
              <w:pStyle w:val="TableParagraph"/>
              <w:spacing w:before="23"/>
              <w:ind w:left="14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Em</w:t>
            </w:r>
            <w:r>
              <w:rPr>
                <w:rFonts w:ascii="Arial MT"/>
                <w:spacing w:val="-2"/>
                <w:sz w:val="22"/>
              </w:rPr>
              <w:t> andamento</w:t>
            </w:r>
          </w:p>
        </w:tc>
      </w:tr>
      <w:tr>
        <w:trPr>
          <w:trHeight w:val="285" w:hRule="atLeast"/>
        </w:trPr>
        <w:tc>
          <w:tcPr>
            <w:tcW w:w="6268" w:type="dxa"/>
          </w:tcPr>
          <w:p>
            <w:pPr>
              <w:pStyle w:val="TableParagraph"/>
              <w:spacing w:line="251" w:lineRule="exact" w:before="13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Folha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de Servidores</w:t>
            </w:r>
            <w:r>
              <w:rPr>
                <w:rFonts w:ascii="Arial MT"/>
                <w:spacing w:val="-8"/>
                <w:sz w:val="22"/>
              </w:rPr>
              <w:t> </w:t>
            </w:r>
            <w:r>
              <w:rPr>
                <w:rFonts w:ascii="Arial MT"/>
                <w:sz w:val="22"/>
              </w:rPr>
              <w:t>e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Residentes</w:t>
            </w:r>
            <w:r>
              <w:rPr>
                <w:rFonts w:ascii="Arial MT"/>
                <w:spacing w:val="3"/>
                <w:sz w:val="22"/>
              </w:rPr>
              <w:t> </w:t>
            </w:r>
            <w:r>
              <w:rPr>
                <w:rFonts w:ascii="Arial MT"/>
                <w:sz w:val="22"/>
              </w:rPr>
              <w:t>-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junho</w:t>
            </w:r>
          </w:p>
        </w:tc>
        <w:tc>
          <w:tcPr>
            <w:tcW w:w="1676" w:type="dxa"/>
          </w:tcPr>
          <w:p>
            <w:pPr>
              <w:pStyle w:val="TableParagraph"/>
              <w:spacing w:line="251" w:lineRule="exact" w:before="13"/>
              <w:ind w:left="16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23/07/2025</w:t>
            </w:r>
          </w:p>
        </w:tc>
        <w:tc>
          <w:tcPr>
            <w:tcW w:w="1926" w:type="dxa"/>
          </w:tcPr>
          <w:p>
            <w:pPr>
              <w:pStyle w:val="TableParagraph"/>
              <w:spacing w:line="251" w:lineRule="exact" w:before="13"/>
              <w:ind w:left="14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Em</w:t>
            </w:r>
            <w:r>
              <w:rPr>
                <w:rFonts w:ascii="Arial MT"/>
                <w:spacing w:val="-2"/>
                <w:sz w:val="22"/>
              </w:rPr>
              <w:t> andamento</w:t>
            </w:r>
          </w:p>
        </w:tc>
      </w:tr>
      <w:tr>
        <w:trPr>
          <w:trHeight w:val="285" w:hRule="atLeast"/>
        </w:trPr>
        <w:tc>
          <w:tcPr>
            <w:tcW w:w="6268" w:type="dxa"/>
          </w:tcPr>
          <w:p>
            <w:pPr>
              <w:pStyle w:val="TableParagraph"/>
              <w:spacing w:line="251" w:lineRule="exact" w:before="13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Notas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Fiscais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- </w:t>
            </w:r>
            <w:r>
              <w:rPr>
                <w:rFonts w:ascii="Arial MT"/>
                <w:spacing w:val="-4"/>
                <w:sz w:val="22"/>
              </w:rPr>
              <w:t>junho</w:t>
            </w:r>
          </w:p>
        </w:tc>
        <w:tc>
          <w:tcPr>
            <w:tcW w:w="1676" w:type="dxa"/>
          </w:tcPr>
          <w:p>
            <w:pPr>
              <w:pStyle w:val="TableParagraph"/>
              <w:spacing w:line="251" w:lineRule="exact" w:before="13"/>
              <w:ind w:left="16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30/07/2025</w:t>
            </w:r>
          </w:p>
        </w:tc>
        <w:tc>
          <w:tcPr>
            <w:tcW w:w="1926" w:type="dxa"/>
          </w:tcPr>
          <w:p>
            <w:pPr>
              <w:pStyle w:val="TableParagraph"/>
              <w:spacing w:line="251" w:lineRule="exact" w:before="13"/>
              <w:ind w:left="14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Em</w:t>
            </w:r>
            <w:r>
              <w:rPr>
                <w:rFonts w:ascii="Arial MT"/>
                <w:spacing w:val="-2"/>
                <w:sz w:val="22"/>
              </w:rPr>
              <w:t> andamento</w:t>
            </w:r>
          </w:p>
        </w:tc>
      </w:tr>
      <w:tr>
        <w:trPr>
          <w:trHeight w:val="285" w:hRule="atLeast"/>
        </w:trPr>
        <w:tc>
          <w:tcPr>
            <w:tcW w:w="6268" w:type="dxa"/>
          </w:tcPr>
          <w:p>
            <w:pPr>
              <w:pStyle w:val="TableParagraph"/>
              <w:spacing w:line="251" w:lineRule="exact" w:before="14"/>
              <w:ind w:left="107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Consolidação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Custeio</w:t>
            </w:r>
            <w:r>
              <w:rPr>
                <w:rFonts w:ascii="Arial MT" w:hAnsi="Arial MT"/>
                <w:spacing w:val="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-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pacing w:val="-4"/>
                <w:sz w:val="22"/>
              </w:rPr>
              <w:t>junho</w:t>
            </w:r>
          </w:p>
        </w:tc>
        <w:tc>
          <w:tcPr>
            <w:tcW w:w="1676" w:type="dxa"/>
          </w:tcPr>
          <w:p>
            <w:pPr>
              <w:pStyle w:val="TableParagraph"/>
              <w:spacing w:line="251" w:lineRule="exact" w:before="14"/>
              <w:ind w:left="16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08/08/2025</w:t>
            </w:r>
          </w:p>
        </w:tc>
        <w:tc>
          <w:tcPr>
            <w:tcW w:w="1926" w:type="dxa"/>
          </w:tcPr>
          <w:p>
            <w:pPr>
              <w:pStyle w:val="TableParagraph"/>
              <w:spacing w:line="251" w:lineRule="exact" w:before="14"/>
              <w:ind w:left="14" w:right="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Em</w:t>
            </w:r>
            <w:r>
              <w:rPr>
                <w:rFonts w:ascii="Arial MT"/>
                <w:spacing w:val="-2"/>
                <w:sz w:val="22"/>
              </w:rPr>
              <w:t> andamento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2022187</wp:posOffset>
            </wp:positionH>
            <wp:positionV relativeFrom="paragraph">
              <wp:posOffset>201282</wp:posOffset>
            </wp:positionV>
            <wp:extent cx="3337647" cy="2532507"/>
            <wp:effectExtent l="0" t="0" r="0" b="0"/>
            <wp:wrapTopAndBottom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7647" cy="2532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10" w:h="16840"/>
          <w:pgMar w:header="1067" w:footer="580" w:top="2440" w:bottom="780" w:left="566" w:right="566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8"/>
        <w:rPr>
          <w:sz w:val="20"/>
        </w:rPr>
      </w:pPr>
    </w:p>
    <w:p>
      <w:pPr>
        <w:pStyle w:val="BodyText"/>
        <w:ind w:left="14"/>
        <w:rPr>
          <w:sz w:val="20"/>
        </w:rPr>
      </w:pPr>
      <w:r>
        <w:rPr>
          <w:sz w:val="20"/>
        </w:rPr>
        <w:drawing>
          <wp:inline distT="0" distB="0" distL="0" distR="0">
            <wp:extent cx="6215470" cy="6300882"/>
            <wp:effectExtent l="0" t="0" r="0" b="0"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470" cy="630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10" w:h="16840"/>
          <w:pgMar w:header="1067" w:footer="580" w:top="2440" w:bottom="780" w:left="566" w:right="566"/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pgSz w:w="11910" w:h="16840"/>
          <w:pgMar w:header="1067" w:footer="580" w:top="2440" w:bottom="780" w:left="566" w:right="566"/>
        </w:sectPr>
      </w:pPr>
    </w:p>
    <w:p>
      <w:pPr>
        <w:pStyle w:val="ListParagraph"/>
        <w:numPr>
          <w:ilvl w:val="1"/>
          <w:numId w:val="3"/>
        </w:numPr>
        <w:tabs>
          <w:tab w:pos="1222" w:val="left" w:leader="none"/>
        </w:tabs>
        <w:spacing w:line="246" w:lineRule="exact" w:before="0" w:after="0"/>
        <w:ind w:left="1222" w:right="0" w:hanging="488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Relatório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Financeiro</w:t>
      </w:r>
    </w:p>
    <w:p>
      <w:pPr>
        <w:spacing w:before="113"/>
        <w:ind w:left="734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Posição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> Caixa: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6"/>
        <w:rPr>
          <w:rFonts w:ascii="Arial"/>
          <w:b/>
          <w:sz w:val="20"/>
        </w:rPr>
      </w:pPr>
    </w:p>
    <w:tbl>
      <w:tblPr>
        <w:tblW w:w="0" w:type="auto"/>
        <w:jc w:val="left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5"/>
        <w:gridCol w:w="550"/>
        <w:gridCol w:w="1345"/>
        <w:gridCol w:w="826"/>
        <w:gridCol w:w="1238"/>
        <w:gridCol w:w="1130"/>
        <w:gridCol w:w="1372"/>
      </w:tblGrid>
      <w:tr>
        <w:trPr>
          <w:trHeight w:val="325" w:hRule="atLeast"/>
        </w:trPr>
        <w:tc>
          <w:tcPr>
            <w:tcW w:w="9936" w:type="dxa"/>
            <w:gridSpan w:val="7"/>
            <w:shd w:val="clear" w:color="auto" w:fill="006FC0"/>
          </w:tcPr>
          <w:p>
            <w:pPr>
              <w:pStyle w:val="TableParagraph"/>
              <w:spacing w:line="302" w:lineRule="exact" w:before="3"/>
              <w:ind w:left="23"/>
              <w:jc w:val="center"/>
              <w:rPr>
                <w:b/>
                <w:sz w:val="25"/>
              </w:rPr>
            </w:pPr>
            <w:r>
              <w:rPr>
                <w:b/>
                <w:color w:val="FFFFFF"/>
                <w:sz w:val="25"/>
              </w:rPr>
              <w:t>Hospital</w:t>
            </w:r>
            <w:r>
              <w:rPr>
                <w:b/>
                <w:color w:val="FFFFFF"/>
                <w:spacing w:val="-1"/>
                <w:sz w:val="25"/>
              </w:rPr>
              <w:t> </w:t>
            </w:r>
            <w:r>
              <w:rPr>
                <w:b/>
                <w:color w:val="FFFFFF"/>
                <w:sz w:val="25"/>
              </w:rPr>
              <w:t>de</w:t>
            </w:r>
            <w:r>
              <w:rPr>
                <w:b/>
                <w:color w:val="FFFFFF"/>
                <w:spacing w:val="7"/>
                <w:sz w:val="25"/>
              </w:rPr>
              <w:t> </w:t>
            </w:r>
            <w:r>
              <w:rPr>
                <w:b/>
                <w:color w:val="FFFFFF"/>
                <w:sz w:val="25"/>
              </w:rPr>
              <w:t>Urgências</w:t>
            </w:r>
            <w:r>
              <w:rPr>
                <w:b/>
                <w:color w:val="FFFFFF"/>
                <w:spacing w:val="-3"/>
                <w:sz w:val="25"/>
              </w:rPr>
              <w:t> </w:t>
            </w:r>
            <w:r>
              <w:rPr>
                <w:b/>
                <w:color w:val="FFFFFF"/>
                <w:sz w:val="25"/>
              </w:rPr>
              <w:t>de</w:t>
            </w:r>
            <w:r>
              <w:rPr>
                <w:b/>
                <w:color w:val="FFFFFF"/>
                <w:spacing w:val="7"/>
                <w:sz w:val="25"/>
              </w:rPr>
              <w:t> </w:t>
            </w:r>
            <w:r>
              <w:rPr>
                <w:b/>
                <w:color w:val="FFFFFF"/>
                <w:sz w:val="25"/>
              </w:rPr>
              <w:t>Goiânia</w:t>
            </w:r>
            <w:r>
              <w:rPr>
                <w:b/>
                <w:color w:val="FFFFFF"/>
                <w:spacing w:val="-2"/>
                <w:sz w:val="25"/>
              </w:rPr>
              <w:t> </w:t>
            </w:r>
            <w:r>
              <w:rPr>
                <w:b/>
                <w:color w:val="FFFFFF"/>
                <w:sz w:val="25"/>
              </w:rPr>
              <w:t>-</w:t>
            </w:r>
            <w:r>
              <w:rPr>
                <w:b/>
                <w:color w:val="FFFFFF"/>
                <w:spacing w:val="-3"/>
                <w:sz w:val="25"/>
              </w:rPr>
              <w:t> </w:t>
            </w:r>
            <w:r>
              <w:rPr>
                <w:b/>
                <w:color w:val="FFFFFF"/>
                <w:spacing w:val="-4"/>
                <w:sz w:val="25"/>
              </w:rPr>
              <w:t>HUGO</w:t>
            </w:r>
          </w:p>
        </w:tc>
      </w:tr>
      <w:tr>
        <w:trPr>
          <w:trHeight w:val="324" w:hRule="atLeast"/>
        </w:trPr>
        <w:tc>
          <w:tcPr>
            <w:tcW w:w="3475" w:type="dxa"/>
            <w:shd w:val="clear" w:color="auto" w:fill="006F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5" w:type="dxa"/>
            <w:gridSpan w:val="2"/>
            <w:shd w:val="clear" w:color="auto" w:fill="006F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gridSpan w:val="2"/>
            <w:shd w:val="clear" w:color="auto" w:fill="006F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2" w:type="dxa"/>
            <w:gridSpan w:val="2"/>
            <w:shd w:val="clear" w:color="auto" w:fill="006F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3475" w:type="dxa"/>
            <w:shd w:val="clear" w:color="auto" w:fill="9BC2E6"/>
          </w:tcPr>
          <w:p>
            <w:pPr>
              <w:pStyle w:val="TableParagraph"/>
              <w:spacing w:before="131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Bancos</w:t>
            </w:r>
          </w:p>
        </w:tc>
        <w:tc>
          <w:tcPr>
            <w:tcW w:w="1895" w:type="dxa"/>
            <w:gridSpan w:val="2"/>
            <w:shd w:val="clear" w:color="auto" w:fill="9BC2E6"/>
          </w:tcPr>
          <w:p>
            <w:pPr>
              <w:pStyle w:val="TableParagraph"/>
              <w:spacing w:before="9"/>
              <w:ind w:left="600"/>
              <w:rPr>
                <w:b/>
                <w:sz w:val="18"/>
              </w:rPr>
            </w:pPr>
            <w:r>
              <w:rPr>
                <w:b/>
                <w:sz w:val="18"/>
              </w:rPr>
              <w:t>Saldo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em</w:t>
            </w:r>
          </w:p>
          <w:p>
            <w:pPr>
              <w:pStyle w:val="TableParagraph"/>
              <w:spacing w:line="198" w:lineRule="exact" w:before="23"/>
              <w:ind w:left="5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31-04-2025</w:t>
            </w:r>
          </w:p>
        </w:tc>
        <w:tc>
          <w:tcPr>
            <w:tcW w:w="826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9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>Saldo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em</w:t>
            </w:r>
          </w:p>
        </w:tc>
        <w:tc>
          <w:tcPr>
            <w:tcW w:w="1238" w:type="dxa"/>
            <w:tcBorders>
              <w:left w:val="nil"/>
            </w:tcBorders>
            <w:shd w:val="clear" w:color="auto" w:fill="9BC2E6"/>
          </w:tcPr>
          <w:p>
            <w:pPr>
              <w:pStyle w:val="TableParagraph"/>
              <w:spacing w:before="9"/>
              <w:ind w:left="66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31-05-</w:t>
            </w:r>
          </w:p>
          <w:p>
            <w:pPr>
              <w:pStyle w:val="TableParagraph"/>
              <w:spacing w:line="198" w:lineRule="exact" w:before="23"/>
              <w:ind w:left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2025</w:t>
            </w:r>
          </w:p>
        </w:tc>
        <w:tc>
          <w:tcPr>
            <w:tcW w:w="1130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131"/>
              <w:ind w:left="152"/>
              <w:rPr>
                <w:b/>
                <w:sz w:val="18"/>
              </w:rPr>
            </w:pPr>
            <w:r>
              <w:rPr>
                <w:b/>
                <w:sz w:val="18"/>
              </w:rPr>
              <w:t>Saldo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em</w:t>
            </w:r>
          </w:p>
        </w:tc>
        <w:tc>
          <w:tcPr>
            <w:tcW w:w="1372" w:type="dxa"/>
            <w:tcBorders>
              <w:left w:val="nil"/>
            </w:tcBorders>
            <w:shd w:val="clear" w:color="auto" w:fill="9BC2E6"/>
          </w:tcPr>
          <w:p>
            <w:pPr>
              <w:pStyle w:val="TableParagraph"/>
              <w:spacing w:before="131"/>
              <w:ind w:left="4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30-06-2025</w:t>
            </w:r>
          </w:p>
        </w:tc>
      </w:tr>
      <w:tr>
        <w:trPr>
          <w:trHeight w:val="227" w:hRule="atLeast"/>
        </w:trPr>
        <w:tc>
          <w:tcPr>
            <w:tcW w:w="3475" w:type="dxa"/>
          </w:tcPr>
          <w:p>
            <w:pPr>
              <w:pStyle w:val="TableParagraph"/>
              <w:spacing w:line="198" w:lineRule="exact" w:before="9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Banco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Safra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Custeio</w:t>
            </w:r>
            <w:r>
              <w:rPr>
                <w:b/>
                <w:spacing w:val="3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256485-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550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2"/>
              <w:ind w:left="89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345" w:type="dxa"/>
            <w:tcBorders>
              <w:left w:val="nil"/>
            </w:tcBorders>
          </w:tcPr>
          <w:p>
            <w:pPr>
              <w:pStyle w:val="TableParagraph"/>
              <w:spacing w:line="196" w:lineRule="exact" w:before="12"/>
              <w:ind w:right="68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220.435,GG</w:t>
            </w:r>
          </w:p>
        </w:tc>
        <w:tc>
          <w:tcPr>
            <w:tcW w:w="826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2"/>
              <w:ind w:left="90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238" w:type="dxa"/>
            <w:tcBorders>
              <w:left w:val="nil"/>
            </w:tcBorders>
          </w:tcPr>
          <w:p>
            <w:pPr>
              <w:pStyle w:val="TableParagraph"/>
              <w:spacing w:line="196" w:lineRule="exact" w:before="12"/>
              <w:ind w:right="66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137.375,5G</w:t>
            </w:r>
          </w:p>
        </w:tc>
        <w:tc>
          <w:tcPr>
            <w:tcW w:w="1130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2"/>
              <w:ind w:left="91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372" w:type="dxa"/>
            <w:tcBorders>
              <w:left w:val="nil"/>
            </w:tcBorders>
          </w:tcPr>
          <w:p>
            <w:pPr>
              <w:pStyle w:val="TableParagraph"/>
              <w:spacing w:line="196" w:lineRule="exact" w:before="12"/>
              <w:ind w:right="67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55.165,10</w:t>
            </w:r>
          </w:p>
        </w:tc>
      </w:tr>
      <w:tr>
        <w:trPr>
          <w:trHeight w:val="227" w:hRule="atLeast"/>
        </w:trPr>
        <w:tc>
          <w:tcPr>
            <w:tcW w:w="3475" w:type="dxa"/>
          </w:tcPr>
          <w:p>
            <w:pPr>
              <w:pStyle w:val="TableParagraph"/>
              <w:spacing w:line="199" w:lineRule="exact" w:before="9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Banco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Caixa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Custeio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577620282-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550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1"/>
              <w:ind w:left="89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345" w:type="dxa"/>
            <w:tcBorders>
              <w:left w:val="nil"/>
            </w:tcBorders>
          </w:tcPr>
          <w:p>
            <w:pPr>
              <w:pStyle w:val="TableParagraph"/>
              <w:spacing w:line="196" w:lineRule="exact" w:before="11"/>
              <w:ind w:right="68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41.04G,47</w:t>
            </w:r>
          </w:p>
        </w:tc>
        <w:tc>
          <w:tcPr>
            <w:tcW w:w="826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1"/>
              <w:ind w:left="90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238" w:type="dxa"/>
            <w:tcBorders>
              <w:left w:val="nil"/>
            </w:tcBorders>
          </w:tcPr>
          <w:p>
            <w:pPr>
              <w:pStyle w:val="TableParagraph"/>
              <w:spacing w:line="196" w:lineRule="exact" w:before="11"/>
              <w:ind w:right="66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232.74G,40</w:t>
            </w:r>
          </w:p>
        </w:tc>
        <w:tc>
          <w:tcPr>
            <w:tcW w:w="1130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1"/>
              <w:ind w:left="91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372" w:type="dxa"/>
            <w:tcBorders>
              <w:left w:val="nil"/>
            </w:tcBorders>
          </w:tcPr>
          <w:p>
            <w:pPr>
              <w:pStyle w:val="TableParagraph"/>
              <w:spacing w:line="196" w:lineRule="exact" w:before="11"/>
              <w:ind w:right="67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25.066,51</w:t>
            </w:r>
          </w:p>
        </w:tc>
      </w:tr>
      <w:tr>
        <w:trPr>
          <w:trHeight w:val="227" w:hRule="atLeast"/>
        </w:trPr>
        <w:tc>
          <w:tcPr>
            <w:tcW w:w="3475" w:type="dxa"/>
          </w:tcPr>
          <w:p>
            <w:pPr>
              <w:pStyle w:val="TableParagraph"/>
              <w:spacing w:line="199" w:lineRule="exact" w:before="9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Banco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Caixa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Investimento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C/C 580134407-</w:t>
            </w: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550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1"/>
              <w:ind w:left="89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345" w:type="dxa"/>
            <w:tcBorders>
              <w:left w:val="nil"/>
            </w:tcBorders>
          </w:tcPr>
          <w:p>
            <w:pPr>
              <w:pStyle w:val="TableParagraph"/>
              <w:spacing w:line="196" w:lineRule="exact" w:before="11"/>
              <w:ind w:right="68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778.578,14</w:t>
            </w:r>
          </w:p>
        </w:tc>
        <w:tc>
          <w:tcPr>
            <w:tcW w:w="826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1"/>
              <w:ind w:left="90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238" w:type="dxa"/>
            <w:tcBorders>
              <w:left w:val="nil"/>
            </w:tcBorders>
          </w:tcPr>
          <w:p>
            <w:pPr>
              <w:pStyle w:val="TableParagraph"/>
              <w:spacing w:line="196" w:lineRule="exact" w:before="11"/>
              <w:ind w:right="66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868,G8</w:t>
            </w:r>
          </w:p>
        </w:tc>
        <w:tc>
          <w:tcPr>
            <w:tcW w:w="1130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1"/>
              <w:ind w:left="91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372" w:type="dxa"/>
            <w:tcBorders>
              <w:left w:val="nil"/>
            </w:tcBorders>
          </w:tcPr>
          <w:p>
            <w:pPr>
              <w:pStyle w:val="TableParagraph"/>
              <w:spacing w:line="196" w:lineRule="exact" w:before="11"/>
              <w:ind w:right="67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0"/>
                <w:sz w:val="18"/>
              </w:rPr>
              <w:t>10.6GG,G3</w:t>
            </w:r>
          </w:p>
        </w:tc>
      </w:tr>
      <w:tr>
        <w:trPr>
          <w:trHeight w:val="227" w:hRule="atLeast"/>
        </w:trPr>
        <w:tc>
          <w:tcPr>
            <w:tcW w:w="3475" w:type="dxa"/>
          </w:tcPr>
          <w:p>
            <w:pPr>
              <w:pStyle w:val="TableParagraph"/>
              <w:spacing w:line="199" w:lineRule="exact" w:before="9"/>
              <w:ind w:left="2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Banco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Caixa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Rescisão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-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580134418-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0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1"/>
              <w:ind w:left="89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345" w:type="dxa"/>
            <w:tcBorders>
              <w:left w:val="nil"/>
            </w:tcBorders>
          </w:tcPr>
          <w:p>
            <w:pPr>
              <w:pStyle w:val="TableParagraph"/>
              <w:spacing w:line="196" w:lineRule="exact" w:before="11"/>
              <w:ind w:right="68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52.841,17</w:t>
            </w:r>
          </w:p>
        </w:tc>
        <w:tc>
          <w:tcPr>
            <w:tcW w:w="826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1"/>
              <w:ind w:left="90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238" w:type="dxa"/>
            <w:tcBorders>
              <w:left w:val="nil"/>
            </w:tcBorders>
          </w:tcPr>
          <w:p>
            <w:pPr>
              <w:pStyle w:val="TableParagraph"/>
              <w:spacing w:line="196" w:lineRule="exact" w:before="11"/>
              <w:ind w:right="66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0"/>
                <w:sz w:val="18"/>
              </w:rPr>
              <w:t>244.G32,7G</w:t>
            </w:r>
          </w:p>
        </w:tc>
        <w:tc>
          <w:tcPr>
            <w:tcW w:w="1130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1"/>
              <w:ind w:left="91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372" w:type="dxa"/>
            <w:tcBorders>
              <w:left w:val="nil"/>
            </w:tcBorders>
          </w:tcPr>
          <w:p>
            <w:pPr>
              <w:pStyle w:val="TableParagraph"/>
              <w:spacing w:line="196" w:lineRule="exact" w:before="11"/>
              <w:ind w:right="65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0"/>
                <w:sz w:val="18"/>
              </w:rPr>
              <w:t>244.G32,7G</w:t>
            </w:r>
          </w:p>
        </w:tc>
      </w:tr>
      <w:tr>
        <w:trPr>
          <w:trHeight w:val="227" w:hRule="atLeast"/>
        </w:trPr>
        <w:tc>
          <w:tcPr>
            <w:tcW w:w="3475" w:type="dxa"/>
          </w:tcPr>
          <w:p>
            <w:pPr>
              <w:pStyle w:val="TableParagraph"/>
              <w:spacing w:line="198" w:lineRule="exact" w:before="9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Banco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Bradesco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Custeio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39068-</w:t>
            </w:r>
            <w:r>
              <w:rPr>
                <w:b/>
                <w:spacing w:val="-12"/>
                <w:sz w:val="18"/>
              </w:rPr>
              <w:t>2</w:t>
            </w:r>
          </w:p>
        </w:tc>
        <w:tc>
          <w:tcPr>
            <w:tcW w:w="550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1"/>
              <w:ind w:left="89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345" w:type="dxa"/>
            <w:tcBorders>
              <w:left w:val="nil"/>
            </w:tcBorders>
          </w:tcPr>
          <w:p>
            <w:pPr>
              <w:pStyle w:val="TableParagraph"/>
              <w:spacing w:line="196" w:lineRule="exact" w:before="11"/>
              <w:ind w:right="68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111.281,7G</w:t>
            </w:r>
          </w:p>
        </w:tc>
        <w:tc>
          <w:tcPr>
            <w:tcW w:w="826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1"/>
              <w:ind w:left="90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238" w:type="dxa"/>
            <w:tcBorders>
              <w:left w:val="nil"/>
            </w:tcBorders>
          </w:tcPr>
          <w:p>
            <w:pPr>
              <w:pStyle w:val="TableParagraph"/>
              <w:spacing w:line="196" w:lineRule="exact" w:before="11"/>
              <w:ind w:right="68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G6.758,48</w:t>
            </w:r>
          </w:p>
        </w:tc>
        <w:tc>
          <w:tcPr>
            <w:tcW w:w="1130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1"/>
              <w:ind w:left="91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372" w:type="dxa"/>
            <w:tcBorders>
              <w:left w:val="nil"/>
            </w:tcBorders>
          </w:tcPr>
          <w:p>
            <w:pPr>
              <w:pStyle w:val="TableParagraph"/>
              <w:spacing w:line="196" w:lineRule="exact" w:before="11"/>
              <w:ind w:right="67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80.268,43</w:t>
            </w:r>
          </w:p>
        </w:tc>
      </w:tr>
      <w:tr>
        <w:trPr>
          <w:trHeight w:val="227" w:hRule="atLeast"/>
        </w:trPr>
        <w:tc>
          <w:tcPr>
            <w:tcW w:w="3475" w:type="dxa"/>
          </w:tcPr>
          <w:p>
            <w:pPr>
              <w:pStyle w:val="TableParagraph"/>
              <w:spacing w:line="198" w:lineRule="exact" w:before="9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Banco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Caixa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Aplicação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Custeio</w:t>
            </w:r>
          </w:p>
        </w:tc>
        <w:tc>
          <w:tcPr>
            <w:tcW w:w="550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2"/>
              <w:ind w:left="89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345" w:type="dxa"/>
            <w:tcBorders>
              <w:left w:val="nil"/>
            </w:tcBorders>
          </w:tcPr>
          <w:p>
            <w:pPr>
              <w:pStyle w:val="TableParagraph"/>
              <w:spacing w:line="196" w:lineRule="exact" w:before="12"/>
              <w:ind w:right="68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7.361.300,23</w:t>
            </w:r>
          </w:p>
        </w:tc>
        <w:tc>
          <w:tcPr>
            <w:tcW w:w="826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2"/>
              <w:ind w:left="90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238" w:type="dxa"/>
            <w:tcBorders>
              <w:left w:val="nil"/>
            </w:tcBorders>
          </w:tcPr>
          <w:p>
            <w:pPr>
              <w:pStyle w:val="TableParagraph"/>
              <w:spacing w:line="196" w:lineRule="exact" w:before="12"/>
              <w:ind w:right="66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4"/>
                <w:w w:val="95"/>
                <w:sz w:val="18"/>
              </w:rPr>
              <w:t>17.073.786,23</w:t>
            </w:r>
          </w:p>
        </w:tc>
        <w:tc>
          <w:tcPr>
            <w:tcW w:w="1130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2"/>
              <w:ind w:left="91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372" w:type="dxa"/>
            <w:tcBorders>
              <w:left w:val="nil"/>
            </w:tcBorders>
          </w:tcPr>
          <w:p>
            <w:pPr>
              <w:pStyle w:val="TableParagraph"/>
              <w:spacing w:line="196" w:lineRule="exact" w:before="12"/>
              <w:ind w:right="66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18.435.852,2G</w:t>
            </w:r>
          </w:p>
        </w:tc>
      </w:tr>
      <w:tr>
        <w:trPr>
          <w:trHeight w:val="227" w:hRule="atLeast"/>
        </w:trPr>
        <w:tc>
          <w:tcPr>
            <w:tcW w:w="3475" w:type="dxa"/>
          </w:tcPr>
          <w:p>
            <w:pPr>
              <w:pStyle w:val="TableParagraph"/>
              <w:spacing w:line="198" w:lineRule="exact" w:before="9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Banco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Caixa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Aplicação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Investimento</w:t>
            </w:r>
          </w:p>
        </w:tc>
        <w:tc>
          <w:tcPr>
            <w:tcW w:w="550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2"/>
              <w:ind w:left="89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345" w:type="dxa"/>
            <w:tcBorders>
              <w:left w:val="nil"/>
            </w:tcBorders>
          </w:tcPr>
          <w:p>
            <w:pPr>
              <w:pStyle w:val="TableParagraph"/>
              <w:spacing w:line="196" w:lineRule="exact" w:before="12"/>
              <w:ind w:right="68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5"/>
                <w:sz w:val="18"/>
              </w:rPr>
              <w:t>30.376.107,51</w:t>
            </w:r>
          </w:p>
        </w:tc>
        <w:tc>
          <w:tcPr>
            <w:tcW w:w="826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2"/>
              <w:ind w:left="90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238" w:type="dxa"/>
            <w:tcBorders>
              <w:left w:val="nil"/>
            </w:tcBorders>
          </w:tcPr>
          <w:p>
            <w:pPr>
              <w:pStyle w:val="TableParagraph"/>
              <w:spacing w:line="196" w:lineRule="exact" w:before="12"/>
              <w:ind w:right="66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w w:val="95"/>
                <w:sz w:val="18"/>
              </w:rPr>
              <w:t>31.610.00G,74</w:t>
            </w:r>
          </w:p>
        </w:tc>
        <w:tc>
          <w:tcPr>
            <w:tcW w:w="1130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2"/>
              <w:ind w:left="91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5"/>
                <w:sz w:val="18"/>
              </w:rPr>
              <w:t>R$</w:t>
            </w:r>
          </w:p>
        </w:tc>
        <w:tc>
          <w:tcPr>
            <w:tcW w:w="1372" w:type="dxa"/>
            <w:tcBorders>
              <w:left w:val="nil"/>
            </w:tcBorders>
          </w:tcPr>
          <w:p>
            <w:pPr>
              <w:pStyle w:val="TableParagraph"/>
              <w:spacing w:line="196" w:lineRule="exact" w:before="12"/>
              <w:ind w:right="66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pacing w:val="-2"/>
                <w:w w:val="90"/>
                <w:sz w:val="18"/>
              </w:rPr>
              <w:t>28.G57.3GG,G0</w:t>
            </w:r>
          </w:p>
        </w:tc>
      </w:tr>
      <w:tr>
        <w:trPr>
          <w:trHeight w:val="227" w:hRule="atLeast"/>
        </w:trPr>
        <w:tc>
          <w:tcPr>
            <w:tcW w:w="3475" w:type="dxa"/>
            <w:shd w:val="clear" w:color="auto" w:fill="006FC0"/>
          </w:tcPr>
          <w:p>
            <w:pPr>
              <w:pStyle w:val="TableParagraph"/>
              <w:spacing w:line="198" w:lineRule="exact" w:before="9"/>
              <w:ind w:left="2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Totais</w:t>
            </w:r>
          </w:p>
        </w:tc>
        <w:tc>
          <w:tcPr>
            <w:tcW w:w="550" w:type="dxa"/>
            <w:tcBorders>
              <w:right w:val="nil"/>
            </w:tcBorders>
            <w:shd w:val="clear" w:color="auto" w:fill="006FC0"/>
          </w:tcPr>
          <w:p>
            <w:pPr>
              <w:pStyle w:val="TableParagraph"/>
              <w:spacing w:line="198" w:lineRule="exact" w:before="9"/>
              <w:ind w:left="89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R$</w:t>
            </w:r>
          </w:p>
        </w:tc>
        <w:tc>
          <w:tcPr>
            <w:tcW w:w="1345" w:type="dxa"/>
            <w:tcBorders>
              <w:left w:val="nil"/>
            </w:tcBorders>
            <w:shd w:val="clear" w:color="auto" w:fill="006FC0"/>
          </w:tcPr>
          <w:p>
            <w:pPr>
              <w:pStyle w:val="TableParagraph"/>
              <w:spacing w:line="198" w:lineRule="exact" w:before="9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38.941.594,30</w:t>
            </w:r>
          </w:p>
        </w:tc>
        <w:tc>
          <w:tcPr>
            <w:tcW w:w="826" w:type="dxa"/>
            <w:tcBorders>
              <w:right w:val="nil"/>
            </w:tcBorders>
            <w:shd w:val="clear" w:color="auto" w:fill="006FC0"/>
          </w:tcPr>
          <w:p>
            <w:pPr>
              <w:pStyle w:val="TableParagraph"/>
              <w:spacing w:line="198" w:lineRule="exact" w:before="9"/>
              <w:ind w:left="90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R$</w:t>
            </w:r>
          </w:p>
        </w:tc>
        <w:tc>
          <w:tcPr>
            <w:tcW w:w="1238" w:type="dxa"/>
            <w:tcBorders>
              <w:left w:val="nil"/>
            </w:tcBorders>
            <w:shd w:val="clear" w:color="auto" w:fill="006FC0"/>
          </w:tcPr>
          <w:p>
            <w:pPr>
              <w:pStyle w:val="TableParagraph"/>
              <w:spacing w:line="198" w:lineRule="exact" w:before="9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49.396.481,21</w:t>
            </w:r>
          </w:p>
        </w:tc>
        <w:tc>
          <w:tcPr>
            <w:tcW w:w="1130" w:type="dxa"/>
            <w:tcBorders>
              <w:right w:val="nil"/>
            </w:tcBorders>
            <w:shd w:val="clear" w:color="auto" w:fill="006FC0"/>
          </w:tcPr>
          <w:p>
            <w:pPr>
              <w:pStyle w:val="TableParagraph"/>
              <w:spacing w:line="198" w:lineRule="exact" w:before="9"/>
              <w:ind w:left="91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R$</w:t>
            </w:r>
          </w:p>
        </w:tc>
        <w:tc>
          <w:tcPr>
            <w:tcW w:w="1372" w:type="dxa"/>
            <w:tcBorders>
              <w:left w:val="nil"/>
            </w:tcBorders>
            <w:shd w:val="clear" w:color="auto" w:fill="006FC0"/>
          </w:tcPr>
          <w:p>
            <w:pPr>
              <w:pStyle w:val="TableParagraph"/>
              <w:spacing w:line="198" w:lineRule="exact" w:before="9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47.809.384,95</w:t>
            </w:r>
          </w:p>
        </w:tc>
      </w:tr>
    </w:tbl>
    <w:p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jc w:val="left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5"/>
        <w:gridCol w:w="587"/>
        <w:gridCol w:w="1309"/>
        <w:gridCol w:w="672"/>
        <w:gridCol w:w="1394"/>
        <w:gridCol w:w="891"/>
        <w:gridCol w:w="1613"/>
      </w:tblGrid>
      <w:tr>
        <w:trPr>
          <w:trHeight w:val="227" w:hRule="atLeast"/>
        </w:trPr>
        <w:tc>
          <w:tcPr>
            <w:tcW w:w="3475" w:type="dxa"/>
          </w:tcPr>
          <w:p>
            <w:pPr>
              <w:pStyle w:val="TableParagraph"/>
              <w:spacing w:line="199" w:lineRule="exact" w:before="9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Rendimento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Real -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Mês</w:t>
            </w:r>
          </w:p>
        </w:tc>
        <w:tc>
          <w:tcPr>
            <w:tcW w:w="587" w:type="dxa"/>
            <w:tcBorders>
              <w:right w:val="nil"/>
            </w:tcBorders>
          </w:tcPr>
          <w:p>
            <w:pPr>
              <w:pStyle w:val="TableParagraph"/>
              <w:spacing w:line="199" w:lineRule="exact" w:before="9"/>
              <w:ind w:lef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R$</w:t>
            </w:r>
          </w:p>
        </w:tc>
        <w:tc>
          <w:tcPr>
            <w:tcW w:w="1309" w:type="dxa"/>
            <w:tcBorders>
              <w:left w:val="nil"/>
            </w:tcBorders>
          </w:tcPr>
          <w:p>
            <w:pPr>
              <w:pStyle w:val="TableParagraph"/>
              <w:spacing w:line="199" w:lineRule="exact" w:before="9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463.594,18</w:t>
            </w:r>
          </w:p>
        </w:tc>
        <w:tc>
          <w:tcPr>
            <w:tcW w:w="672" w:type="dxa"/>
            <w:tcBorders>
              <w:right w:val="nil"/>
            </w:tcBorders>
          </w:tcPr>
          <w:p>
            <w:pPr>
              <w:pStyle w:val="TableParagraph"/>
              <w:spacing w:line="199" w:lineRule="exact" w:before="9"/>
              <w:ind w:lef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R$</w:t>
            </w:r>
          </w:p>
        </w:tc>
        <w:tc>
          <w:tcPr>
            <w:tcW w:w="1394" w:type="dxa"/>
            <w:tcBorders>
              <w:left w:val="nil"/>
            </w:tcBorders>
          </w:tcPr>
          <w:p>
            <w:pPr>
              <w:pStyle w:val="TableParagraph"/>
              <w:spacing w:line="199" w:lineRule="exact" w:before="9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667.814,65</w:t>
            </w:r>
          </w:p>
        </w:tc>
        <w:tc>
          <w:tcPr>
            <w:tcW w:w="891" w:type="dxa"/>
            <w:tcBorders>
              <w:right w:val="nil"/>
            </w:tcBorders>
          </w:tcPr>
          <w:p>
            <w:pPr>
              <w:pStyle w:val="TableParagraph"/>
              <w:spacing w:line="199" w:lineRule="exact" w:before="9"/>
              <w:ind w:left="8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R$</w:t>
            </w:r>
          </w:p>
        </w:tc>
        <w:tc>
          <w:tcPr>
            <w:tcW w:w="1613" w:type="dxa"/>
            <w:tcBorders>
              <w:left w:val="nil"/>
            </w:tcBorders>
          </w:tcPr>
          <w:p>
            <w:pPr>
              <w:pStyle w:val="TableParagraph"/>
              <w:spacing w:line="199" w:lineRule="exact" w:before="9"/>
              <w:ind w:right="7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646.696,34</w:t>
            </w:r>
          </w:p>
        </w:tc>
      </w:tr>
      <w:tr>
        <w:trPr>
          <w:trHeight w:val="227" w:hRule="atLeast"/>
        </w:trPr>
        <w:tc>
          <w:tcPr>
            <w:tcW w:w="3475" w:type="dxa"/>
            <w:shd w:val="clear" w:color="auto" w:fill="006FC0"/>
          </w:tcPr>
          <w:p>
            <w:pPr>
              <w:pStyle w:val="TableParagraph"/>
              <w:spacing w:line="199" w:lineRule="exact" w:before="9"/>
              <w:ind w:left="2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Rendimento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Real -</w:t>
            </w:r>
            <w:r>
              <w:rPr>
                <w:b/>
                <w:color w:val="FFFFFF"/>
                <w:spacing w:val="2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Acumulado</w:t>
            </w:r>
          </w:p>
        </w:tc>
        <w:tc>
          <w:tcPr>
            <w:tcW w:w="587" w:type="dxa"/>
            <w:tcBorders>
              <w:right w:val="nil"/>
            </w:tcBorders>
            <w:shd w:val="clear" w:color="auto" w:fill="006FC0"/>
          </w:tcPr>
          <w:p>
            <w:pPr>
              <w:pStyle w:val="TableParagraph"/>
              <w:spacing w:line="199" w:lineRule="exact" w:before="9"/>
              <w:ind w:left="89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R$</w:t>
            </w:r>
          </w:p>
        </w:tc>
        <w:tc>
          <w:tcPr>
            <w:tcW w:w="1309" w:type="dxa"/>
            <w:tcBorders>
              <w:left w:val="nil"/>
            </w:tcBorders>
            <w:shd w:val="clear" w:color="auto" w:fill="006FC0"/>
          </w:tcPr>
          <w:p>
            <w:pPr>
              <w:pStyle w:val="TableParagraph"/>
              <w:spacing w:line="199" w:lineRule="exact" w:before="9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3.540.624,74</w:t>
            </w:r>
          </w:p>
        </w:tc>
        <w:tc>
          <w:tcPr>
            <w:tcW w:w="672" w:type="dxa"/>
            <w:tcBorders>
              <w:right w:val="nil"/>
            </w:tcBorders>
            <w:shd w:val="clear" w:color="auto" w:fill="006FC0"/>
          </w:tcPr>
          <w:p>
            <w:pPr>
              <w:pStyle w:val="TableParagraph"/>
              <w:spacing w:line="199" w:lineRule="exact" w:before="9"/>
              <w:ind w:left="89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R$</w:t>
            </w:r>
          </w:p>
        </w:tc>
        <w:tc>
          <w:tcPr>
            <w:tcW w:w="1394" w:type="dxa"/>
            <w:tcBorders>
              <w:left w:val="nil"/>
            </w:tcBorders>
            <w:shd w:val="clear" w:color="auto" w:fill="006FC0"/>
          </w:tcPr>
          <w:p>
            <w:pPr>
              <w:pStyle w:val="TableParagraph"/>
              <w:spacing w:line="199" w:lineRule="exact" w:before="9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4.208.439,39</w:t>
            </w:r>
          </w:p>
        </w:tc>
        <w:tc>
          <w:tcPr>
            <w:tcW w:w="891" w:type="dxa"/>
            <w:tcBorders>
              <w:right w:val="nil"/>
            </w:tcBorders>
            <w:shd w:val="clear" w:color="auto" w:fill="006FC0"/>
          </w:tcPr>
          <w:p>
            <w:pPr>
              <w:pStyle w:val="TableParagraph"/>
              <w:spacing w:line="199" w:lineRule="exact" w:before="9"/>
              <w:ind w:left="88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R$</w:t>
            </w:r>
          </w:p>
        </w:tc>
        <w:tc>
          <w:tcPr>
            <w:tcW w:w="1613" w:type="dxa"/>
            <w:tcBorders>
              <w:left w:val="nil"/>
            </w:tcBorders>
            <w:shd w:val="clear" w:color="auto" w:fill="006FC0"/>
          </w:tcPr>
          <w:p>
            <w:pPr>
              <w:pStyle w:val="TableParagraph"/>
              <w:spacing w:line="199" w:lineRule="exact" w:before="9"/>
              <w:ind w:right="70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4.855.135,73</w:t>
            </w:r>
          </w:p>
        </w:tc>
      </w:tr>
    </w:tbl>
    <w:p>
      <w:pPr>
        <w:pStyle w:val="BodyText"/>
        <w:spacing w:before="212"/>
        <w:rPr>
          <w:rFonts w:ascii="Arial"/>
          <w:b/>
          <w:sz w:val="24"/>
        </w:rPr>
      </w:pPr>
    </w:p>
    <w:p>
      <w:pPr>
        <w:pStyle w:val="BodyText"/>
        <w:spacing w:line="345" w:lineRule="auto" w:before="1"/>
        <w:ind w:left="104" w:firstLine="720"/>
      </w:pPr>
      <w:r>
        <w:rPr/>
        <w:t>No</w:t>
      </w:r>
      <w:r>
        <w:rPr>
          <w:spacing w:val="-7"/>
        </w:rPr>
        <w:t> </w:t>
      </w:r>
      <w:r>
        <w:rPr/>
        <w:t>mês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maio,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aplicação</w:t>
      </w:r>
      <w:r>
        <w:rPr>
          <w:spacing w:val="-12"/>
        </w:rPr>
        <w:t> </w:t>
      </w:r>
      <w:r>
        <w:rPr/>
        <w:t>obteve</w:t>
      </w:r>
      <w:r>
        <w:rPr>
          <w:spacing w:val="-4"/>
        </w:rPr>
        <w:t> </w:t>
      </w:r>
      <w:r>
        <w:rPr>
          <w:rFonts w:ascii="Arial" w:hAnsi="Arial"/>
          <w:b/>
        </w:rPr>
        <w:t>um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rendimento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R$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646.696,34</w:t>
      </w:r>
      <w:r>
        <w:rPr>
          <w:rFonts w:ascii="Arial" w:hAnsi="Arial"/>
          <w:b/>
          <w:spacing w:val="-5"/>
        </w:rPr>
        <w:t> </w:t>
      </w:r>
      <w:r>
        <w:rPr/>
        <w:t>(seiscentos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quarenta</w:t>
      </w:r>
      <w:r>
        <w:rPr>
          <w:spacing w:val="-12"/>
        </w:rPr>
        <w:t> </w:t>
      </w:r>
      <w:r>
        <w:rPr/>
        <w:t>e</w:t>
      </w:r>
      <w:r>
        <w:rPr>
          <w:spacing w:val="-7"/>
        </w:rPr>
        <w:t> </w:t>
      </w:r>
      <w:r>
        <w:rPr/>
        <w:t>seis mil e seiscentos e noventa e seis reais e trinta e quatro centavos).</w:t>
      </w:r>
    </w:p>
    <w:p>
      <w:pPr>
        <w:spacing w:line="350" w:lineRule="auto" w:before="6"/>
        <w:ind w:left="104" w:right="0" w:firstLine="630"/>
        <w:jc w:val="left"/>
        <w:rPr>
          <w:sz w:val="22"/>
        </w:rPr>
      </w:pP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rFonts w:ascii="Arial" w:hAnsi="Arial"/>
          <w:b/>
          <w:sz w:val="22"/>
        </w:rPr>
        <w:t>acumulado</w:t>
      </w:r>
      <w:r>
        <w:rPr>
          <w:rFonts w:ascii="Arial" w:hAnsi="Arial"/>
          <w:b/>
          <w:spacing w:val="-5"/>
          <w:sz w:val="22"/>
        </w:rPr>
        <w:t> </w:t>
      </w:r>
      <w:r>
        <w:rPr>
          <w:sz w:val="22"/>
        </w:rPr>
        <w:t>as</w:t>
      </w:r>
      <w:r>
        <w:rPr>
          <w:spacing w:val="-8"/>
          <w:sz w:val="22"/>
        </w:rPr>
        <w:t> </w:t>
      </w:r>
      <w:r>
        <w:rPr>
          <w:sz w:val="22"/>
        </w:rPr>
        <w:t>aplicações</w:t>
      </w:r>
      <w:r>
        <w:rPr>
          <w:spacing w:val="-8"/>
          <w:sz w:val="22"/>
        </w:rPr>
        <w:t> </w:t>
      </w:r>
      <w:r>
        <w:rPr>
          <w:sz w:val="22"/>
        </w:rPr>
        <w:t>financeiras</w:t>
      </w:r>
      <w:r>
        <w:rPr>
          <w:spacing w:val="-8"/>
          <w:sz w:val="22"/>
        </w:rPr>
        <w:t> </w:t>
      </w:r>
      <w:r>
        <w:rPr>
          <w:sz w:val="22"/>
        </w:rPr>
        <w:t>obtiveram</w:t>
      </w:r>
      <w:r>
        <w:rPr>
          <w:spacing w:val="-5"/>
          <w:sz w:val="22"/>
        </w:rPr>
        <w:t> </w:t>
      </w:r>
      <w:r>
        <w:rPr>
          <w:rFonts w:ascii="Arial" w:hAnsi="Arial"/>
          <w:b/>
          <w:sz w:val="22"/>
        </w:rPr>
        <w:t>um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rendimento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total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R$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4.855.135,73</w:t>
      </w:r>
      <w:r>
        <w:rPr>
          <w:rFonts w:ascii="Arial" w:hAnsi="Arial"/>
          <w:b/>
          <w:spacing w:val="-4"/>
          <w:sz w:val="22"/>
        </w:rPr>
        <w:t> </w:t>
      </w:r>
      <w:r>
        <w:rPr>
          <w:sz w:val="22"/>
        </w:rPr>
        <w:t>(quatro milhões</w:t>
      </w:r>
      <w:r>
        <w:rPr>
          <w:spacing w:val="-2"/>
          <w:sz w:val="22"/>
        </w:rPr>
        <w:t> </w:t>
      </w:r>
      <w:r>
        <w:rPr>
          <w:sz w:val="22"/>
        </w:rPr>
        <w:t>e oitocentos e cinquenta e cinco mil e centro e trinta e cinco reais e setenta e três centavos).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5"/>
      </w:pPr>
    </w:p>
    <w:p>
      <w:pPr>
        <w:spacing w:before="0"/>
        <w:ind w:left="734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Fluxo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Caixa: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pacing w:val="-2"/>
          <w:sz w:val="24"/>
        </w:rPr>
        <w:t>Junho/2025</w:t>
      </w:r>
    </w:p>
    <w:p>
      <w:pPr>
        <w:spacing w:after="0"/>
        <w:jc w:val="left"/>
        <w:rPr>
          <w:rFonts w:ascii="Arial"/>
          <w:b/>
          <w:sz w:val="24"/>
        </w:rPr>
        <w:sectPr>
          <w:pgSz w:w="11910" w:h="16840"/>
          <w:pgMar w:header="1067" w:footer="580" w:top="2440" w:bottom="780" w:left="566" w:right="566"/>
        </w:sectPr>
      </w:pPr>
    </w:p>
    <w:p>
      <w:pPr>
        <w:pStyle w:val="BodyText"/>
        <w:spacing w:before="43"/>
        <w:rPr>
          <w:rFonts w:ascii="Arial"/>
          <w:b/>
          <w:sz w:val="20"/>
        </w:rPr>
      </w:pPr>
    </w:p>
    <w:p>
      <w:pPr>
        <w:pStyle w:val="BodyText"/>
        <w:ind w:left="1696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4685300" cy="597407"/>
            <wp:effectExtent l="0" t="0" r="0" b="0"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5300" cy="59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tbl>
      <w:tblPr>
        <w:tblW w:w="0" w:type="auto"/>
        <w:jc w:val="left"/>
        <w:tblInd w:w="7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1"/>
        <w:gridCol w:w="1323"/>
        <w:gridCol w:w="254"/>
        <w:gridCol w:w="3400"/>
        <w:gridCol w:w="909"/>
        <w:gridCol w:w="1590"/>
      </w:tblGrid>
      <w:tr>
        <w:trPr>
          <w:trHeight w:val="599" w:hRule="atLeast"/>
        </w:trPr>
        <w:tc>
          <w:tcPr>
            <w:tcW w:w="9937" w:type="dxa"/>
            <w:gridSpan w:val="6"/>
            <w:shd w:val="clear" w:color="auto" w:fill="7E7E7E"/>
          </w:tcPr>
          <w:p>
            <w:pPr>
              <w:pStyle w:val="TableParagraph"/>
              <w:spacing w:before="158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Relatório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Mensal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Comparativo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z w:val="24"/>
              </w:rPr>
              <w:t>Recursos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Recebidos,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z w:val="24"/>
              </w:rPr>
              <w:t>Gastos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Devolvidos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ao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Poder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Público</w:t>
            </w:r>
          </w:p>
        </w:tc>
      </w:tr>
      <w:tr>
        <w:trPr>
          <w:trHeight w:val="620" w:hRule="atLeast"/>
        </w:trPr>
        <w:tc>
          <w:tcPr>
            <w:tcW w:w="9937" w:type="dxa"/>
            <w:gridSpan w:val="6"/>
          </w:tcPr>
          <w:p>
            <w:pPr>
              <w:pStyle w:val="TableParagraph"/>
              <w:spacing w:line="268" w:lineRule="auto" w:before="111"/>
              <w:ind w:left="2994" w:hanging="2777"/>
              <w:rPr>
                <w:sz w:val="15"/>
              </w:rPr>
            </w:pPr>
            <w:r>
              <w:rPr>
                <w:sz w:val="15"/>
              </w:rPr>
              <w:t>Metodologia de</w:t>
            </w:r>
            <w:r>
              <w:rPr>
                <w:spacing w:val="18"/>
                <w:sz w:val="15"/>
              </w:rPr>
              <w:t> </w:t>
            </w:r>
            <w:r>
              <w:rPr>
                <w:sz w:val="15"/>
              </w:rPr>
              <w:t>Avaliação da Transparência Ativa e</w:t>
            </w:r>
            <w:r>
              <w:rPr>
                <w:spacing w:val="18"/>
                <w:sz w:val="15"/>
              </w:rPr>
              <w:t> </w:t>
            </w:r>
            <w:r>
              <w:rPr>
                <w:sz w:val="15"/>
              </w:rPr>
              <w:t>Passiva -</w:t>
            </w:r>
            <w:r>
              <w:rPr>
                <w:spacing w:val="15"/>
                <w:sz w:val="15"/>
              </w:rPr>
              <w:t> </w:t>
            </w:r>
            <w:r>
              <w:rPr>
                <w:sz w:val="15"/>
              </w:rPr>
              <w:t>Organizações sem fins lucrativos que</w:t>
            </w:r>
            <w:r>
              <w:rPr>
                <w:spacing w:val="18"/>
                <w:sz w:val="15"/>
              </w:rPr>
              <w:t> </w:t>
            </w:r>
            <w:r>
              <w:rPr>
                <w:sz w:val="15"/>
              </w:rPr>
              <w:t>recebem recursos públicos e</w:t>
            </w:r>
            <w:r>
              <w:rPr>
                <w:spacing w:val="18"/>
                <w:sz w:val="15"/>
              </w:rPr>
              <w:t> </w:t>
            </w:r>
            <w:r>
              <w:rPr>
                <w:sz w:val="15"/>
              </w:rPr>
              <w:t>seus respectivos órgãos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supervisores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- CGE/TCE- 2ª Edição -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2021 - Item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3.9/Financeiro</w:t>
            </w:r>
          </w:p>
        </w:tc>
      </w:tr>
      <w:tr>
        <w:trPr>
          <w:trHeight w:val="189" w:hRule="atLeast"/>
        </w:trPr>
        <w:tc>
          <w:tcPr>
            <w:tcW w:w="9937" w:type="dxa"/>
            <w:gridSpan w:val="6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NOME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DO ÓRGÃO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PÚBLICO/CONTRATANTE: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SECRETARIA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ESTADO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DA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SAÚDE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GOIAS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2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CNPJ:</w:t>
            </w:r>
            <w:r>
              <w:rPr>
                <w:spacing w:val="27"/>
                <w:sz w:val="15"/>
              </w:rPr>
              <w:t> </w:t>
            </w:r>
            <w:r>
              <w:rPr>
                <w:spacing w:val="-2"/>
                <w:sz w:val="15"/>
              </w:rPr>
              <w:t>02.529.964/0001-</w:t>
            </w:r>
            <w:r>
              <w:rPr>
                <w:spacing w:val="-5"/>
                <w:sz w:val="15"/>
              </w:rPr>
              <w:t>57</w:t>
            </w:r>
          </w:p>
        </w:tc>
        <w:tc>
          <w:tcPr>
            <w:tcW w:w="2499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9937" w:type="dxa"/>
            <w:gridSpan w:val="6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z w:val="15"/>
              </w:rPr>
              <w:t>NOME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DA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ORGANIZAÇÃO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SOCIAL/CONTRATADA: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SOCIEDADE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BENEF.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ISRAELITA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BRAS.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HOSPITAL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ALBERT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EISNTEIN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2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CNPJ: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60.765.823/0090-</w:t>
            </w:r>
            <w:r>
              <w:rPr>
                <w:spacing w:val="-5"/>
                <w:sz w:val="15"/>
              </w:rPr>
              <w:t>05</w:t>
            </w:r>
          </w:p>
        </w:tc>
        <w:tc>
          <w:tcPr>
            <w:tcW w:w="2499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9937" w:type="dxa"/>
            <w:gridSpan w:val="6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z w:val="15"/>
              </w:rPr>
              <w:t>NOME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DA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UNIDADE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GERIDA: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HOSPITAL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ESTADUAL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URGÊNCIAS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GOIÁS -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DR.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VALDEMIRO </w:t>
            </w:r>
            <w:r>
              <w:rPr>
                <w:spacing w:val="-4"/>
                <w:sz w:val="15"/>
              </w:rPr>
              <w:t>CRUZ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2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CNPJ:</w:t>
            </w:r>
          </w:p>
        </w:tc>
        <w:tc>
          <w:tcPr>
            <w:tcW w:w="2499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z w:val="15"/>
              </w:rPr>
              <w:t>CONTRATO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GESTÃO/ADITIVO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Nº:</w:t>
            </w:r>
            <w:r>
              <w:rPr>
                <w:spacing w:val="65"/>
                <w:sz w:val="15"/>
              </w:rPr>
              <w:t> </w:t>
            </w:r>
            <w:r>
              <w:rPr>
                <w:sz w:val="15"/>
              </w:rPr>
              <w:t>097/2024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SES/GO</w:t>
            </w:r>
            <w:r>
              <w:rPr>
                <w:spacing w:val="3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1º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Termo Aditivo do Termo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Colaboração</w:t>
            </w:r>
          </w:p>
        </w:tc>
        <w:tc>
          <w:tcPr>
            <w:tcW w:w="2499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2461" w:type="dxa"/>
            <w:tcBorders>
              <w:right w:val="nil"/>
            </w:tcBorders>
          </w:tcPr>
          <w:p>
            <w:pPr>
              <w:pStyle w:val="TableParagraph"/>
              <w:spacing w:line="162" w:lineRule="exact" w:before="8"/>
              <w:ind w:left="23"/>
              <w:rPr>
                <w:sz w:val="15"/>
              </w:rPr>
            </w:pPr>
            <w:r>
              <w:rPr>
                <w:sz w:val="15"/>
              </w:rPr>
              <w:t>VIGÊNCIA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DO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CONTRATO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> GESTÃO: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62" w:lineRule="exact" w:before="8"/>
              <w:ind w:left="96"/>
              <w:rPr>
                <w:sz w:val="15"/>
              </w:rPr>
            </w:pPr>
            <w:r>
              <w:rPr>
                <w:sz w:val="15"/>
              </w:rPr>
              <w:t>INÍCIO</w:t>
            </w:r>
            <w:r>
              <w:rPr>
                <w:spacing w:val="13"/>
                <w:sz w:val="15"/>
              </w:rPr>
              <w:t> </w:t>
            </w:r>
            <w:r>
              <w:rPr>
                <w:spacing w:val="-2"/>
                <w:sz w:val="15"/>
              </w:rPr>
              <w:t>07/08/2024</w:t>
            </w:r>
          </w:p>
        </w:tc>
        <w:tc>
          <w:tcPr>
            <w:tcW w:w="25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62" w:lineRule="exact" w:before="8"/>
              <w:ind w:left="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E</w:t>
            </w:r>
          </w:p>
        </w:tc>
        <w:tc>
          <w:tcPr>
            <w:tcW w:w="3400" w:type="dxa"/>
            <w:tcBorders>
              <w:left w:val="nil"/>
            </w:tcBorders>
          </w:tcPr>
          <w:p>
            <w:pPr>
              <w:pStyle w:val="TableParagraph"/>
              <w:spacing w:line="162" w:lineRule="exact" w:before="8"/>
              <w:ind w:left="95"/>
              <w:rPr>
                <w:sz w:val="15"/>
              </w:rPr>
            </w:pPr>
            <w:r>
              <w:rPr>
                <w:sz w:val="15"/>
              </w:rPr>
              <w:t>TÉRMINO</w:t>
            </w:r>
            <w:r>
              <w:rPr>
                <w:spacing w:val="24"/>
                <w:sz w:val="15"/>
              </w:rPr>
              <w:t> </w:t>
            </w:r>
            <w:r>
              <w:rPr>
                <w:spacing w:val="-2"/>
                <w:sz w:val="15"/>
              </w:rPr>
              <w:t>04/12/2027</w:t>
            </w:r>
          </w:p>
        </w:tc>
        <w:tc>
          <w:tcPr>
            <w:tcW w:w="2499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z w:val="15"/>
              </w:rPr>
              <w:t>PREVISÃO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REPASSE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MENSAL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DO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CONTRATO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GESTÃO/ADITIVO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CUSTEIO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5"/>
                <w:sz w:val="15"/>
              </w:rPr>
              <w:t>:R$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25.051.562,75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2" w:lineRule="exact" w:before="8"/>
              <w:ind w:left="23"/>
              <w:rPr>
                <w:sz w:val="15"/>
              </w:rPr>
            </w:pPr>
            <w:r>
              <w:rPr>
                <w:sz w:val="15"/>
              </w:rPr>
              <w:t>PREVISÃO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REPASSE MENSAL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DO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CONTRATO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DE GESTÃO/ADITIVO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INVESTIMENTO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5"/>
                <w:sz w:val="15"/>
              </w:rPr>
              <w:t>:R$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2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2" w:lineRule="exact" w:before="8"/>
              <w:ind w:right="207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9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43" w:hRule="atLeast"/>
        </w:trPr>
        <w:tc>
          <w:tcPr>
            <w:tcW w:w="9937" w:type="dxa"/>
            <w:gridSpan w:val="6"/>
          </w:tcPr>
          <w:p>
            <w:pPr>
              <w:pStyle w:val="TableParagraph"/>
              <w:spacing w:line="317" w:lineRule="exact" w:before="7"/>
              <w:ind w:left="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Relatório</w:t>
            </w:r>
            <w:r>
              <w:rPr>
                <w:b/>
                <w:spacing w:val="22"/>
                <w:sz w:val="27"/>
              </w:rPr>
              <w:t> </w:t>
            </w:r>
            <w:r>
              <w:rPr>
                <w:b/>
                <w:sz w:val="27"/>
              </w:rPr>
              <w:t>Financeiro</w:t>
            </w:r>
            <w:r>
              <w:rPr>
                <w:b/>
                <w:spacing w:val="22"/>
                <w:sz w:val="27"/>
              </w:rPr>
              <w:t> </w:t>
            </w:r>
            <w:r>
              <w:rPr>
                <w:b/>
                <w:spacing w:val="-2"/>
                <w:sz w:val="27"/>
              </w:rPr>
              <w:t>Mensal</w:t>
            </w:r>
          </w:p>
        </w:tc>
      </w:tr>
      <w:tr>
        <w:trPr>
          <w:trHeight w:val="17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Competência: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06/2025</w:t>
            </w:r>
          </w:p>
        </w:tc>
        <w:tc>
          <w:tcPr>
            <w:tcW w:w="2499" w:type="dxa"/>
            <w:gridSpan w:val="2"/>
          </w:tcPr>
          <w:p>
            <w:pPr>
              <w:pStyle w:val="TableParagraph"/>
              <w:spacing w:line="160" w:lineRule="exact"/>
              <w:ind w:left="24"/>
              <w:rPr>
                <w:b/>
                <w:sz w:val="15"/>
              </w:rPr>
            </w:pPr>
            <w:r>
              <w:rPr>
                <w:b/>
                <w:sz w:val="15"/>
              </w:rPr>
              <w:t>Em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Reais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  <w:shd w:val="clear" w:color="auto" w:fill="A6A6A6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SALDO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BANCÁRIO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ANTERIOR</w:t>
            </w:r>
          </w:p>
        </w:tc>
        <w:tc>
          <w:tcPr>
            <w:tcW w:w="2499" w:type="dxa"/>
            <w:gridSpan w:val="2"/>
            <w:shd w:val="clear" w:color="auto" w:fill="A6A6A6"/>
          </w:tcPr>
          <w:p>
            <w:pPr>
              <w:pStyle w:val="TableParagraph"/>
              <w:spacing w:line="161" w:lineRule="exact" w:before="8"/>
              <w:ind w:left="163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49.396.481,22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1.1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Caixa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207"/>
              <w:jc w:val="right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-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9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1.2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Banco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conta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movimento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9"/>
              <w:ind w:left="7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9"/>
              <w:ind w:right="53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712.685,25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1.2.1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CEF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AG. 0012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577620282-1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232.749,40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1.2.2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SAFRA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AG.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0115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256485-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137.375,59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1.2.3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BRADESCO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AG.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2372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39068-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96.758,49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9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1.2.4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CEF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AG. 0012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580134407-8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INVESTIMENTO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9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9"/>
              <w:ind w:right="5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868,98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1.2.5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CEF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AG. 0012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580134418-3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RESCISÓRIO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244.932,79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1.3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Aplicações </w:t>
            </w:r>
            <w:r>
              <w:rPr>
                <w:b/>
                <w:spacing w:val="-2"/>
                <w:sz w:val="15"/>
              </w:rPr>
              <w:t>financeiras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48.683.795,97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1.3.1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CEF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AG.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0012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577620282-1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APL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17.073.786,23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9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1.3.2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SAFRA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AG.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0115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256485-1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APLICAÇÃO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9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9"/>
              <w:ind w:right="207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1.3.3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CEF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AG.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0012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C/C 580134418-3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FUNDO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RESCISÓRIO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207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1.3.4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CEF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AG. 0012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580134407-8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INVESTIMENTO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31.610.009,74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1.3.5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BRADESCO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AG.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2372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39068-2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APL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207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9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SALDO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ANTERIOR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(1= 1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.1+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1.2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+ </w:t>
            </w:r>
            <w:r>
              <w:rPr>
                <w:b/>
                <w:spacing w:val="-4"/>
                <w:sz w:val="15"/>
              </w:rPr>
              <w:t>1.3)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9"/>
              <w:ind w:left="7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9"/>
              <w:ind w:right="53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49.396.481,22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9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7438" w:type="dxa"/>
            <w:gridSpan w:val="4"/>
            <w:shd w:val="clear" w:color="auto" w:fill="A6A6A6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2.ENTRADAS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DE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RECURSOS</w:t>
            </w:r>
            <w:r>
              <w:rPr>
                <w:b/>
                <w:spacing w:val="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FINANCEIROS</w:t>
            </w:r>
          </w:p>
        </w:tc>
        <w:tc>
          <w:tcPr>
            <w:tcW w:w="909" w:type="dxa"/>
            <w:tcBorders>
              <w:right w:val="nil"/>
            </w:tcBorders>
            <w:shd w:val="clear" w:color="auto" w:fill="A6A6A6"/>
          </w:tcPr>
          <w:p>
            <w:pPr>
              <w:pStyle w:val="TableParagraph"/>
              <w:spacing w:line="161" w:lineRule="exact" w:before="8"/>
              <w:ind w:left="7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  <w:shd w:val="clear" w:color="auto" w:fill="A6A6A6"/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25.390.595,20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2.1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Repasse 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CUSTEIO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24.686.392,43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9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2.1.1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Repasse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-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CEF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AG.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0012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577620282-1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9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9"/>
              <w:ind w:right="5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24.651.562,75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z w:val="15"/>
              </w:rPr>
              <w:t>2.1.2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Repasse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Piso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> </w:t>
            </w:r>
            <w:r>
              <w:rPr>
                <w:spacing w:val="-2"/>
                <w:sz w:val="15"/>
              </w:rPr>
              <w:t>Enfermagem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34.829,68</w:t>
            </w:r>
          </w:p>
        </w:tc>
      </w:tr>
      <w:tr>
        <w:trPr>
          <w:trHeight w:val="16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5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2.2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Repasse - C/C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 </w:t>
            </w:r>
            <w:r>
              <w:rPr>
                <w:b/>
                <w:spacing w:val="-2"/>
                <w:sz w:val="15"/>
              </w:rPr>
              <w:t>INVESTIMENTO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50" w:lineRule="exact"/>
              <w:ind w:left="7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50" w:lineRule="exact"/>
              <w:ind w:right="53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8.993,40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2.2.1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Repasse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-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CEF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AG.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0012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580134407-</w:t>
            </w:r>
            <w:r>
              <w:rPr>
                <w:spacing w:val="-10"/>
                <w:sz w:val="15"/>
              </w:rPr>
              <w:t>8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8.993,40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9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2.3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Repasse -</w:t>
            </w:r>
            <w:r>
              <w:rPr>
                <w:b/>
                <w:spacing w:val="30"/>
                <w:sz w:val="15"/>
              </w:rPr>
              <w:t> </w:t>
            </w:r>
            <w:r>
              <w:rPr>
                <w:b/>
                <w:sz w:val="15"/>
              </w:rPr>
              <w:t>C/C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 </w:t>
            </w:r>
            <w:r>
              <w:rPr>
                <w:b/>
                <w:spacing w:val="-2"/>
                <w:sz w:val="15"/>
              </w:rPr>
              <w:t>RESCISÓRIO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9"/>
              <w:ind w:left="7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9"/>
              <w:ind w:right="207"/>
              <w:jc w:val="right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-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2.3.1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CEF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AG. 0012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580134418-3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RESCISÓRIO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207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2.4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RENDIMENTO</w:t>
            </w:r>
            <w:r>
              <w:rPr>
                <w:b/>
                <w:spacing w:val="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SOBRE</w:t>
            </w:r>
            <w:r>
              <w:rPr>
                <w:b/>
                <w:spacing w:val="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APLICAÇÕES</w:t>
            </w:r>
            <w:r>
              <w:rPr>
                <w:b/>
                <w:spacing w:val="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FINANCEIRAS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646.696,34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z w:val="15"/>
              </w:rPr>
              <w:t>2.4.1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Rendimento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sobre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Aplicação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Financeiras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BRADESCO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AG.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2372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C/C 39068-2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240,12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9"/>
              <w:ind w:left="23"/>
              <w:rPr>
                <w:sz w:val="15"/>
              </w:rPr>
            </w:pPr>
            <w:r>
              <w:rPr>
                <w:sz w:val="15"/>
              </w:rPr>
              <w:t>2.4.1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Rendimento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sobre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Aplicação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Financeiras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CEF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AG. 0012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C/C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577620282-1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9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9"/>
              <w:ind w:right="5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313.066,06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z w:val="15"/>
              </w:rPr>
              <w:t>2.4.3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Rendimento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sobre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Aplicação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Financeiras -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CEF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AG.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0012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C/C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580134407-8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INVESTIMENTO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333.390,16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z w:val="15"/>
              </w:rPr>
              <w:t>2.4.4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Rendimento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sobre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Aplicação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Financeiras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SAFRA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AG.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0115</w:t>
            </w:r>
            <w:r>
              <w:rPr>
                <w:spacing w:val="27"/>
                <w:sz w:val="15"/>
              </w:rPr>
              <w:t> </w:t>
            </w:r>
            <w:r>
              <w:rPr>
                <w:sz w:val="15"/>
              </w:rPr>
              <w:t>C/C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256485-1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207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2.5 Outras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entradas:</w:t>
            </w:r>
            <w:r>
              <w:rPr>
                <w:b/>
                <w:spacing w:val="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RECUPERAÇÃO</w:t>
            </w:r>
            <w:r>
              <w:rPr>
                <w:b/>
                <w:spacing w:val="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DE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DESPESAS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26.884,38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2.6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Aporte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para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Caixa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207"/>
              <w:jc w:val="right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-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2.7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Devolução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Saldo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Caixa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207"/>
              <w:jc w:val="right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-</w:t>
            </w:r>
          </w:p>
        </w:tc>
      </w:tr>
      <w:tr>
        <w:trPr>
          <w:trHeight w:val="190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2.8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Reembolso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Despesas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21.628,65</w:t>
            </w:r>
          </w:p>
        </w:tc>
      </w:tr>
      <w:tr>
        <w:trPr>
          <w:trHeight w:val="189" w:hRule="atLeast"/>
        </w:trPr>
        <w:tc>
          <w:tcPr>
            <w:tcW w:w="7438" w:type="dxa"/>
            <w:gridSpan w:val="4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SUBTOTAL</w:t>
            </w:r>
            <w:r>
              <w:rPr>
                <w:b/>
                <w:spacing w:val="15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ENTRADAS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(2=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2.1+2.2+2.3+2.4+2.5+2.6+2.7)</w:t>
            </w:r>
          </w:p>
        </w:tc>
        <w:tc>
          <w:tcPr>
            <w:tcW w:w="90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3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25.390.595,20</w:t>
            </w:r>
          </w:p>
        </w:tc>
      </w:tr>
    </w:tbl>
    <w:p>
      <w:pPr>
        <w:pStyle w:val="TableParagraph"/>
        <w:spacing w:after="0" w:line="161" w:lineRule="exact"/>
        <w:jc w:val="right"/>
        <w:rPr>
          <w:b/>
          <w:sz w:val="15"/>
        </w:rPr>
        <w:sectPr>
          <w:pgSz w:w="11910" w:h="16840"/>
          <w:pgMar w:header="1067" w:footer="580" w:top="2440" w:bottom="2093" w:left="566" w:right="566"/>
        </w:sectPr>
      </w:pPr>
    </w:p>
    <w:tbl>
      <w:tblPr>
        <w:tblW w:w="0" w:type="auto"/>
        <w:jc w:val="left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9"/>
        <w:gridCol w:w="910"/>
        <w:gridCol w:w="1591"/>
      </w:tblGrid>
      <w:tr>
        <w:trPr>
          <w:trHeight w:val="190" w:hRule="atLeast"/>
        </w:trPr>
        <w:tc>
          <w:tcPr>
            <w:tcW w:w="7439" w:type="dxa"/>
            <w:shd w:val="clear" w:color="auto" w:fill="BEBEBE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RESGATE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APLICAÇÃO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FINANCEIRA</w:t>
            </w:r>
          </w:p>
        </w:tc>
        <w:tc>
          <w:tcPr>
            <w:tcW w:w="910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spacing w:line="170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26.325.000,00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3.1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TOTAL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RESGATE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APLICAÇÃO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FINANCEIRA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CUSTEIO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23.339.000,00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3.1.1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Resgate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Aplicação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CEF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AG.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0012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C/C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577620282-1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23.339.000,00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3.1.2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Resgate Aplicação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- SAFRA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AG.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0115</w:t>
            </w:r>
            <w:r>
              <w:rPr>
                <w:spacing w:val="19"/>
                <w:sz w:val="15"/>
              </w:rPr>
              <w:t> </w:t>
            </w:r>
            <w:r>
              <w:rPr>
                <w:sz w:val="15"/>
              </w:rPr>
              <w:t>C/C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256485-1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3.2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TOTAL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RESGATE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APLICAÇÃO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FINANCEIRA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INVESTIMENTO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7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2.986.000,00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3.2.1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Resgate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Aplicação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CEF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AG.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0012</w:t>
            </w:r>
            <w:r>
              <w:rPr>
                <w:spacing w:val="15"/>
                <w:sz w:val="15"/>
              </w:rPr>
              <w:t> </w:t>
            </w:r>
            <w:r>
              <w:rPr>
                <w:sz w:val="15"/>
              </w:rPr>
              <w:t>C/C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580134407-8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INVESTIMENTO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2.986.000,00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TOTAL DOS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RESGATES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(3=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3.1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+ 3.2.1)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26.325.000,00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01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7439" w:type="dxa"/>
            <w:shd w:val="clear" w:color="auto" w:fill="ADAAAA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TOTAL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DAS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ENTRADAS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(2+3)</w:t>
            </w:r>
          </w:p>
        </w:tc>
        <w:tc>
          <w:tcPr>
            <w:tcW w:w="910" w:type="dxa"/>
            <w:tcBorders>
              <w:right w:val="nil"/>
            </w:tcBorders>
            <w:shd w:val="clear" w:color="auto" w:fill="ADAAAA"/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  <w:shd w:val="clear" w:color="auto" w:fill="ADAAAA"/>
          </w:tcPr>
          <w:p>
            <w:pPr>
              <w:pStyle w:val="TableParagraph"/>
              <w:spacing w:line="170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51.715.595,20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01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7439" w:type="dxa"/>
            <w:shd w:val="clear" w:color="auto" w:fill="A6A6A6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APLICAÇÃO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FINANCEIRA</w:t>
            </w:r>
          </w:p>
        </w:tc>
        <w:tc>
          <w:tcPr>
            <w:tcW w:w="910" w:type="dxa"/>
            <w:tcBorders>
              <w:right w:val="nil"/>
            </w:tcBorders>
            <w:shd w:val="clear" w:color="auto" w:fill="A6A6A6"/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  <w:shd w:val="clear" w:color="auto" w:fill="A6A6A6"/>
          </w:tcPr>
          <w:p>
            <w:pPr>
              <w:pStyle w:val="TableParagraph"/>
              <w:spacing w:line="170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24.388.000,00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4.1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TOTAL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APLICAÇÃO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FINANCEIRA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CUSTEIO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24.388.000,00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4.1.1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Aplicação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Financeira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BRADESCO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AG.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2372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C/C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39068-2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APLICAÇÃO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4.1.2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Aplicação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Financeira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CEF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AG.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0012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C/C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577620282-1</w:t>
            </w:r>
            <w:r>
              <w:rPr>
                <w:spacing w:val="17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 APLICAÇÃO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24.388.000,00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4.2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TOTAL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APLICAÇÃO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FINANCEIRA-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INVESTIMENTO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-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4.2.1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Aplicação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Financeira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CEF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AG.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0012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C/C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580134407-8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INVESTIMENTO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4.3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TOTAL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DAS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APLICAÇÕES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FINANCEIRAS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(4=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4.1+4.2.1)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24.388.000,00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4.3.1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Entrada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Conta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Aplicação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Financeira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(+)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24.388.000,00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4.3.2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Saida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Conta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Aplicação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Financeira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ref.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Resgate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em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Conta</w:t>
            </w:r>
            <w:r>
              <w:rPr>
                <w:spacing w:val="43"/>
                <w:sz w:val="15"/>
              </w:rPr>
              <w:t> </w:t>
            </w:r>
            <w:r>
              <w:rPr>
                <w:sz w:val="15"/>
              </w:rPr>
              <w:t>(-</w:t>
            </w:r>
            <w:r>
              <w:rPr>
                <w:spacing w:val="-10"/>
                <w:sz w:val="15"/>
              </w:rPr>
              <w:t>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26.325.000,00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Movimentação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z w:val="15"/>
              </w:rPr>
              <w:t>Financeira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em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Conta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Aplicação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7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1.937.000,00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01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7439" w:type="dxa"/>
            <w:shd w:val="clear" w:color="auto" w:fill="BEBEBE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SAÍDAS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RECURSOS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FINANCEIROS</w:t>
            </w:r>
          </w:p>
        </w:tc>
        <w:tc>
          <w:tcPr>
            <w:tcW w:w="910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spacing w:line="170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26.969.691,47</w:t>
            </w:r>
          </w:p>
        </w:tc>
      </w:tr>
      <w:tr>
        <w:trPr>
          <w:trHeight w:val="200" w:hRule="atLeast"/>
        </w:trPr>
        <w:tc>
          <w:tcPr>
            <w:tcW w:w="7439" w:type="dxa"/>
            <w:shd w:val="clear" w:color="auto" w:fill="BEBEBE"/>
          </w:tcPr>
          <w:p>
            <w:pPr>
              <w:pStyle w:val="TableParagraph"/>
              <w:spacing w:line="18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5.1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PAGAMENTOS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REALIZADOS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CUSTEIO</w:t>
            </w:r>
          </w:p>
        </w:tc>
        <w:tc>
          <w:tcPr>
            <w:tcW w:w="910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spacing w:line="18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spacing w:line="180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23.984.144,40</w:t>
            </w:r>
          </w:p>
        </w:tc>
      </w:tr>
      <w:tr>
        <w:trPr>
          <w:trHeight w:val="200" w:hRule="atLeast"/>
        </w:trPr>
        <w:tc>
          <w:tcPr>
            <w:tcW w:w="7439" w:type="dxa"/>
          </w:tcPr>
          <w:p>
            <w:pPr>
              <w:pStyle w:val="TableParagraph"/>
              <w:spacing w:line="180" w:lineRule="exact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5.1.1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Pessoal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8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80" w:lineRule="exact"/>
              <w:ind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5.246.529,52</w:t>
            </w:r>
          </w:p>
        </w:tc>
      </w:tr>
      <w:tr>
        <w:trPr>
          <w:trHeight w:val="200" w:hRule="atLeast"/>
        </w:trPr>
        <w:tc>
          <w:tcPr>
            <w:tcW w:w="7439" w:type="dxa"/>
          </w:tcPr>
          <w:p>
            <w:pPr>
              <w:pStyle w:val="TableParagraph"/>
              <w:spacing w:line="180" w:lineRule="exact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5.1.2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Serviços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8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80" w:lineRule="exact"/>
              <w:ind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11.839.543,91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5.1.3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Materiais e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Insumos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4.444.375,04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5.1.4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Tributos: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Impostos,Taxas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e</w:t>
            </w:r>
            <w:r>
              <w:rPr>
                <w:spacing w:val="11"/>
                <w:sz w:val="15"/>
              </w:rPr>
              <w:t> </w:t>
            </w:r>
            <w:r>
              <w:rPr>
                <w:spacing w:val="-2"/>
                <w:sz w:val="15"/>
              </w:rPr>
              <w:t>Contribuições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718.355,65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5.1.5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Outros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Fornecedores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5.1.6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Investimentos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5.1.7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Encargos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Sobre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folha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Pagamento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1.180.614,94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5.1.8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Encargos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Sobre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Rescisão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Trabalhista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13.668,85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5.1.9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Outros: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Recibo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Pagamento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a </w:t>
            </w:r>
            <w:r>
              <w:rPr>
                <w:spacing w:val="-2"/>
                <w:sz w:val="15"/>
              </w:rPr>
              <w:t>Autônomo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6.535,67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5.1.10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Concessionárias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(Água,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Luz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e</w:t>
            </w:r>
            <w:r>
              <w:rPr>
                <w:spacing w:val="10"/>
                <w:sz w:val="15"/>
              </w:rPr>
              <w:t> </w:t>
            </w:r>
            <w:r>
              <w:rPr>
                <w:spacing w:val="-2"/>
                <w:sz w:val="15"/>
              </w:rPr>
              <w:t>telefonia)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378.357,45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5.1.11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Rescisões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trabalhistas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115.650,44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5.1.12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Diárias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5.1.13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Pensão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Alimenticia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1.566,66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5.1.14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Adiantamento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4.056,80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5.1.15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Despesas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com </w:t>
            </w:r>
            <w:r>
              <w:rPr>
                <w:spacing w:val="-2"/>
                <w:sz w:val="15"/>
              </w:rPr>
              <w:t>Viagens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5.1.16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Despesas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com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Vale</w:t>
            </w:r>
            <w:r>
              <w:rPr>
                <w:spacing w:val="9"/>
                <w:sz w:val="15"/>
              </w:rPr>
              <w:t> </w:t>
            </w:r>
            <w:r>
              <w:rPr>
                <w:spacing w:val="-2"/>
                <w:sz w:val="15"/>
              </w:rPr>
              <w:t>Transporte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34.889,47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5.1.17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Despesas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Bancárias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5.1.18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Custas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Processuais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5.1.19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Reembolso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7"/>
                <w:sz w:val="15"/>
              </w:rPr>
              <w:t> </w:t>
            </w:r>
            <w:r>
              <w:rPr>
                <w:sz w:val="15"/>
              </w:rPr>
              <w:t>Despesas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(-</w:t>
            </w:r>
            <w:r>
              <w:rPr>
                <w:spacing w:val="-10"/>
                <w:sz w:val="15"/>
              </w:rPr>
              <w:t>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5.1.20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Reembolso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> </w:t>
            </w:r>
            <w:r>
              <w:rPr>
                <w:sz w:val="15"/>
              </w:rPr>
              <w:t>Rateio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(-</w:t>
            </w:r>
            <w:r>
              <w:rPr>
                <w:spacing w:val="-10"/>
                <w:sz w:val="15"/>
              </w:rPr>
              <w:t>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68" w:lineRule="exac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TOTAL DE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z w:val="14"/>
              </w:rPr>
              <w:t>PAGAMENTOS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CUSTEIO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(5=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SOMA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5.1.1 á </w:t>
            </w:r>
            <w:r>
              <w:rPr>
                <w:b/>
                <w:spacing w:val="-2"/>
                <w:sz w:val="14"/>
              </w:rPr>
              <w:t>5.2.4)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23.984.144,40</w:t>
            </w:r>
          </w:p>
        </w:tc>
      </w:tr>
      <w:tr>
        <w:trPr>
          <w:trHeight w:val="190" w:hRule="atLeast"/>
        </w:trPr>
        <w:tc>
          <w:tcPr>
            <w:tcW w:w="7439" w:type="dxa"/>
            <w:shd w:val="clear" w:color="auto" w:fill="A4A4A4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6.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TRANSFERÊNCIAS</w:t>
            </w:r>
          </w:p>
        </w:tc>
        <w:tc>
          <w:tcPr>
            <w:tcW w:w="910" w:type="dxa"/>
            <w:tcBorders>
              <w:right w:val="nil"/>
            </w:tcBorders>
            <w:shd w:val="clear" w:color="auto" w:fill="A4A4A4"/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  <w:shd w:val="clear" w:color="auto" w:fill="A4A4A4"/>
          </w:tcPr>
          <w:p>
            <w:pPr>
              <w:pStyle w:val="TableParagraph"/>
              <w:spacing w:line="170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24.396.000,00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6.1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Transferências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Conta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Aplicação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24.388.000,00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6.2.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Aporte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para Caixa (-</w:t>
            </w:r>
            <w:r>
              <w:rPr>
                <w:spacing w:val="-10"/>
                <w:sz w:val="15"/>
              </w:rPr>
              <w:t>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6.3.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Devolução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do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Saldo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Caixa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(-</w:t>
            </w:r>
            <w:r>
              <w:rPr>
                <w:spacing w:val="-10"/>
                <w:sz w:val="15"/>
              </w:rPr>
              <w:t>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6.4.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Bloqueio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Judicial</w:t>
            </w:r>
            <w:r>
              <w:rPr>
                <w:spacing w:val="18"/>
                <w:sz w:val="15"/>
              </w:rPr>
              <w:t> </w:t>
            </w:r>
            <w:r>
              <w:rPr>
                <w:sz w:val="15"/>
              </w:rPr>
              <w:t>(-</w:t>
            </w:r>
            <w:r>
              <w:rPr>
                <w:spacing w:val="-10"/>
                <w:sz w:val="15"/>
              </w:rPr>
              <w:t>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8.000,00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TOTAL</w:t>
            </w:r>
            <w:r>
              <w:rPr>
                <w:b/>
                <w:spacing w:val="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TRANSFERÊNCIAS</w:t>
            </w:r>
            <w:r>
              <w:rPr>
                <w:b/>
                <w:spacing w:val="1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(6=6.1+6.2+6.3)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24.396.000,00</w:t>
            </w:r>
          </w:p>
        </w:tc>
      </w:tr>
      <w:tr>
        <w:trPr>
          <w:trHeight w:val="190" w:hRule="atLeast"/>
        </w:trPr>
        <w:tc>
          <w:tcPr>
            <w:tcW w:w="7439" w:type="dxa"/>
            <w:shd w:val="clear" w:color="auto" w:fill="BEBEBE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PAGAMENTOS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REALIZADOS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INVESTIMENTOS</w:t>
            </w:r>
          </w:p>
        </w:tc>
        <w:tc>
          <w:tcPr>
            <w:tcW w:w="910" w:type="dxa"/>
            <w:tcBorders>
              <w:right w:val="nil"/>
            </w:tcBorders>
            <w:shd w:val="clear" w:color="auto" w:fill="BEBEBE"/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  <w:shd w:val="clear" w:color="auto" w:fill="BEBEBE"/>
          </w:tcPr>
          <w:p>
            <w:pPr>
              <w:pStyle w:val="TableParagraph"/>
              <w:spacing w:line="170" w:lineRule="exact"/>
              <w:ind w:right="57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2.662.893,10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7.1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Aquisições</w:t>
            </w:r>
            <w:r>
              <w:rPr>
                <w:spacing w:val="15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Bens</w:t>
            </w:r>
            <w:r>
              <w:rPr>
                <w:spacing w:val="15"/>
                <w:sz w:val="15"/>
              </w:rPr>
              <w:t> </w:t>
            </w:r>
            <w:r>
              <w:rPr>
                <w:sz w:val="15"/>
              </w:rPr>
              <w:t>(equipamentos,</w:t>
            </w:r>
            <w:r>
              <w:rPr>
                <w:spacing w:val="16"/>
                <w:sz w:val="15"/>
              </w:rPr>
              <w:t> </w:t>
            </w:r>
            <w:r>
              <w:rPr>
                <w:spacing w:val="-2"/>
                <w:sz w:val="15"/>
              </w:rPr>
              <w:t>mobiliários,etc)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2.571.807,11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7.2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Aquisições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Bens</w:t>
            </w:r>
            <w:r>
              <w:rPr>
                <w:spacing w:val="9"/>
                <w:sz w:val="15"/>
              </w:rPr>
              <w:t> </w:t>
            </w:r>
            <w:r>
              <w:rPr>
                <w:spacing w:val="-2"/>
                <w:sz w:val="15"/>
              </w:rPr>
              <w:t>Imobilizados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2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7.3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Aquisições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Direito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Uso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1"/>
                <w:sz w:val="15"/>
              </w:rPr>
              <w:t> </w:t>
            </w:r>
            <w:r>
              <w:rPr>
                <w:spacing w:val="-2"/>
                <w:sz w:val="15"/>
              </w:rPr>
              <w:t>Software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10.370,40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7.4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Outros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80.715,59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TOTAL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PAGAMENTOS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- INVESTIMENTO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(7=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7.1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+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7.2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+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7.3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+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7.4)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7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2.662.893,10</w:t>
            </w:r>
          </w:p>
        </w:tc>
      </w:tr>
      <w:tr>
        <w:trPr>
          <w:trHeight w:val="190" w:hRule="atLeast"/>
        </w:trPr>
        <w:tc>
          <w:tcPr>
            <w:tcW w:w="7439" w:type="dxa"/>
            <w:shd w:val="clear" w:color="auto" w:fill="A6A6A6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8.VALORES</w:t>
            </w:r>
            <w:r>
              <w:rPr>
                <w:b/>
                <w:spacing w:val="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DEVOLVIDOS</w:t>
            </w:r>
            <w:r>
              <w:rPr>
                <w:b/>
                <w:spacing w:val="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À</w:t>
            </w:r>
            <w:r>
              <w:rPr>
                <w:b/>
                <w:spacing w:val="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CONTRATANTE</w:t>
            </w:r>
          </w:p>
        </w:tc>
        <w:tc>
          <w:tcPr>
            <w:tcW w:w="910" w:type="dxa"/>
            <w:tcBorders>
              <w:right w:val="nil"/>
            </w:tcBorders>
            <w:shd w:val="clear" w:color="auto" w:fill="A6A6A6"/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  <w:shd w:val="clear" w:color="auto" w:fill="A6A6A6"/>
          </w:tcPr>
          <w:p>
            <w:pPr>
              <w:pStyle w:val="TableParagraph"/>
              <w:spacing w:line="170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322.653,97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8.1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Valores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Devolvidos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à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Contratante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11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21.628,65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sz w:val="15"/>
              </w:rPr>
            </w:pPr>
            <w:r>
              <w:rPr>
                <w:sz w:val="15"/>
              </w:rPr>
              <w:t>8.2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Valores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Devolvidos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à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Contratante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11"/>
                <w:sz w:val="15"/>
              </w:rPr>
              <w:t> </w:t>
            </w:r>
            <w:r>
              <w:rPr>
                <w:spacing w:val="-2"/>
                <w:sz w:val="15"/>
              </w:rPr>
              <w:t>INVESTIMENTO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301.025,32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70" w:lineRule="exact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TOTAL</w:t>
            </w:r>
            <w:r>
              <w:rPr>
                <w:b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VALORES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DEVOLVIDOS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(8=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8.1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+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8.2)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70" w:lineRule="exact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322.653,97</w:t>
            </w:r>
          </w:p>
        </w:tc>
      </w:tr>
    </w:tbl>
    <w:p>
      <w:pPr>
        <w:pStyle w:val="TableParagraph"/>
        <w:spacing w:after="0" w:line="170" w:lineRule="exact"/>
        <w:jc w:val="right"/>
        <w:rPr>
          <w:b/>
          <w:sz w:val="15"/>
        </w:rPr>
        <w:sectPr>
          <w:type w:val="continuous"/>
          <w:pgSz w:w="11910" w:h="16840"/>
          <w:pgMar w:header="1067" w:footer="580" w:top="2440" w:bottom="780" w:left="566" w:right="566"/>
        </w:sectPr>
      </w:pPr>
    </w:p>
    <w:p>
      <w:pPr>
        <w:pStyle w:val="BodyText"/>
        <w:spacing w:before="129"/>
        <w:rPr>
          <w:rFonts w:ascii="Arial"/>
          <w:b/>
          <w:sz w:val="20"/>
        </w:rPr>
      </w:pPr>
    </w:p>
    <w:tbl>
      <w:tblPr>
        <w:tblW w:w="0" w:type="auto"/>
        <w:jc w:val="left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9"/>
        <w:gridCol w:w="910"/>
        <w:gridCol w:w="1590"/>
      </w:tblGrid>
      <w:tr>
        <w:trPr>
          <w:trHeight w:val="189" w:hRule="atLeast"/>
        </w:trPr>
        <w:tc>
          <w:tcPr>
            <w:tcW w:w="7439" w:type="dxa"/>
            <w:shd w:val="clear" w:color="auto" w:fill="A6A6A6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8.VALORES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DEVOLVIDOS</w:t>
            </w:r>
            <w:r>
              <w:rPr>
                <w:b/>
                <w:spacing w:val="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À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CONTRATANTE</w:t>
            </w:r>
          </w:p>
        </w:tc>
        <w:tc>
          <w:tcPr>
            <w:tcW w:w="910" w:type="dxa"/>
            <w:tcBorders>
              <w:right w:val="nil"/>
            </w:tcBorders>
            <w:shd w:val="clear" w:color="auto" w:fill="A6A6A6"/>
          </w:tcPr>
          <w:p>
            <w:pPr>
              <w:pStyle w:val="TableParagraph"/>
              <w:spacing w:line="161" w:lineRule="exact" w:before="8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  <w:shd w:val="clear" w:color="auto" w:fill="A6A6A6"/>
          </w:tcPr>
          <w:p>
            <w:pPr>
              <w:pStyle w:val="TableParagraph"/>
              <w:spacing w:line="161" w:lineRule="exact" w:before="8"/>
              <w:ind w:right="5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322.653,97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z w:val="15"/>
              </w:rPr>
              <w:t>8.1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Valores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Devolvidos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à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Contratante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10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21.628,65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z w:val="15"/>
              </w:rPr>
              <w:t>8.2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Valores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Devolvidos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à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Contratante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10"/>
                <w:sz w:val="15"/>
              </w:rPr>
              <w:t> </w:t>
            </w:r>
            <w:r>
              <w:rPr>
                <w:spacing w:val="-2"/>
                <w:sz w:val="15"/>
              </w:rPr>
              <w:t>INVESTIMENTO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301.025,32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TOTAL</w:t>
            </w:r>
            <w:r>
              <w:rPr>
                <w:b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VALORES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DEVOLVIDOS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(8=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8.1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+ </w:t>
            </w:r>
            <w:r>
              <w:rPr>
                <w:b/>
                <w:spacing w:val="-4"/>
                <w:sz w:val="15"/>
              </w:rPr>
              <w:t>8.2)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322.653,97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0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7439" w:type="dxa"/>
            <w:shd w:val="clear" w:color="auto" w:fill="A6A6A6"/>
          </w:tcPr>
          <w:p>
            <w:pPr>
              <w:pStyle w:val="TableParagraph"/>
              <w:spacing w:line="162" w:lineRule="exact" w:before="8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9.SALDO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BANCÁRIO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FINAL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EM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30/06/2025</w:t>
            </w:r>
          </w:p>
        </w:tc>
        <w:tc>
          <w:tcPr>
            <w:tcW w:w="910" w:type="dxa"/>
            <w:tcBorders>
              <w:right w:val="nil"/>
            </w:tcBorders>
            <w:shd w:val="clear" w:color="auto" w:fill="A4A4A4"/>
          </w:tcPr>
          <w:p>
            <w:pPr>
              <w:pStyle w:val="TableParagraph"/>
              <w:spacing w:line="162" w:lineRule="exact" w:before="8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  <w:shd w:val="clear" w:color="auto" w:fill="A4A4A4"/>
          </w:tcPr>
          <w:p>
            <w:pPr>
              <w:pStyle w:val="TableParagraph"/>
              <w:spacing w:line="162" w:lineRule="exact" w:before="8"/>
              <w:ind w:right="5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47.809.384,95</w:t>
            </w:r>
          </w:p>
        </w:tc>
      </w:tr>
      <w:tr>
        <w:trPr>
          <w:trHeight w:val="190" w:hRule="atLeast"/>
        </w:trPr>
        <w:tc>
          <w:tcPr>
            <w:tcW w:w="7439" w:type="dxa"/>
          </w:tcPr>
          <w:p>
            <w:pPr>
              <w:pStyle w:val="TableParagraph"/>
              <w:spacing w:line="162" w:lineRule="exact" w:before="8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9.2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Banco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conta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movimento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62" w:lineRule="exact" w:before="8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2" w:lineRule="exact" w:before="8"/>
              <w:ind w:right="5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416.132,76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62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9.2.1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CEF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AG.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0012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577620282-1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62" w:lineRule="exact" w:before="8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2" w:lineRule="exact" w:before="8"/>
              <w:ind w:right="5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25.066,51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62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9.2.2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CEF</w:t>
            </w:r>
            <w:r>
              <w:rPr>
                <w:spacing w:val="28"/>
                <w:sz w:val="15"/>
              </w:rPr>
              <w:t> </w:t>
            </w:r>
            <w:r>
              <w:rPr>
                <w:spacing w:val="-2"/>
                <w:sz w:val="15"/>
              </w:rPr>
              <w:t>CEF AG. 0012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580134407-8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INVESTIMENTO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62" w:lineRule="exact" w:before="8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2" w:lineRule="exact" w:before="8"/>
              <w:ind w:right="5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10.699,93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9.2.3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SAFRA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AG.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0115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256485-1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55.165,10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9.2.4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BRADESCO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AG.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2372-8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39068-2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80.268,43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9.2.5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CEF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AG. 0012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580134418-3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-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RESCISÓRIO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244.932,79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9.3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Aplicações</w:t>
            </w:r>
            <w:r>
              <w:rPr>
                <w:b/>
                <w:spacing w:val="-2"/>
                <w:sz w:val="15"/>
              </w:rPr>
              <w:t> financeiras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47.393.252,19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9.3.1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CEF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AG.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0012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C/C 577620282-1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APL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CUSTEIO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18.435.852,29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9.3.2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CEF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AG.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0012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580134407-8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INVESTIMENTO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28.957.399,90</w:t>
            </w:r>
          </w:p>
        </w:tc>
      </w:tr>
      <w:tr>
        <w:trPr>
          <w:trHeight w:val="189" w:hRule="atLeast"/>
        </w:trPr>
        <w:tc>
          <w:tcPr>
            <w:tcW w:w="7439" w:type="dxa"/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9.3.3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SAFRA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AG.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0115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C/C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256485-1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APLICAÇÃO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74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209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89" w:hRule="atLeast"/>
        </w:trPr>
        <w:tc>
          <w:tcPr>
            <w:tcW w:w="7439" w:type="dxa"/>
            <w:shd w:val="clear" w:color="auto" w:fill="F1F1F1"/>
          </w:tcPr>
          <w:p>
            <w:pPr>
              <w:pStyle w:val="TableParagraph"/>
              <w:spacing w:line="161" w:lineRule="exact" w:before="8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SALDO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BANCÁRIO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FINAL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: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9=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(1+2)-</w:t>
            </w:r>
            <w:r>
              <w:rPr>
                <w:b/>
                <w:spacing w:val="-2"/>
                <w:sz w:val="15"/>
              </w:rPr>
              <w:t>(4.2.3+5+6.2+6.3+6.4)</w:t>
            </w:r>
          </w:p>
        </w:tc>
        <w:tc>
          <w:tcPr>
            <w:tcW w:w="910" w:type="dxa"/>
            <w:tcBorders>
              <w:right w:val="nil"/>
            </w:tcBorders>
            <w:shd w:val="clear" w:color="auto" w:fill="F1F1F1"/>
          </w:tcPr>
          <w:p>
            <w:pPr>
              <w:pStyle w:val="TableParagraph"/>
              <w:spacing w:line="161" w:lineRule="exact" w:before="8"/>
              <w:ind w:left="7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  <w:shd w:val="clear" w:color="auto" w:fill="F1F1F1"/>
          </w:tcPr>
          <w:p>
            <w:pPr>
              <w:pStyle w:val="TableParagraph"/>
              <w:spacing w:line="161" w:lineRule="exact" w:before="8"/>
              <w:ind w:right="5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47.809.384,95</w:t>
            </w:r>
          </w:p>
        </w:tc>
      </w:tr>
      <w:tr>
        <w:trPr>
          <w:trHeight w:val="189" w:hRule="atLeast"/>
        </w:trPr>
        <w:tc>
          <w:tcPr>
            <w:tcW w:w="7439" w:type="dxa"/>
            <w:tcBorders>
              <w:right w:val="nil"/>
            </w:tcBorders>
          </w:tcPr>
          <w:p>
            <w:pPr>
              <w:pStyle w:val="TableParagraph"/>
              <w:spacing w:line="161" w:lineRule="exact" w:before="8"/>
              <w:ind w:left="23"/>
              <w:rPr>
                <w:sz w:val="15"/>
              </w:rPr>
            </w:pPr>
            <w:r>
              <w:rPr>
                <w:sz w:val="15"/>
              </w:rPr>
              <w:t>Fonte: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Extratos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bancários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e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Balancete</w:t>
            </w:r>
            <w:r>
              <w:rPr>
                <w:spacing w:val="9"/>
                <w:sz w:val="15"/>
              </w:rPr>
              <w:t> </w:t>
            </w:r>
            <w:r>
              <w:rPr>
                <w:spacing w:val="-2"/>
                <w:sz w:val="15"/>
              </w:rPr>
              <w:t>Contábil.</w:t>
            </w:r>
          </w:p>
        </w:tc>
        <w:tc>
          <w:tcPr>
            <w:tcW w:w="91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61" w:lineRule="exact" w:before="8"/>
              <w:ind w:left="82"/>
              <w:rPr>
                <w:sz w:val="15"/>
              </w:rPr>
            </w:pPr>
            <w:r>
              <w:rPr>
                <w:spacing w:val="-5"/>
                <w:sz w:val="15"/>
              </w:rPr>
              <w:t>R$</w:t>
            </w:r>
          </w:p>
        </w:tc>
        <w:tc>
          <w:tcPr>
            <w:tcW w:w="1590" w:type="dxa"/>
            <w:tcBorders>
              <w:left w:val="nil"/>
            </w:tcBorders>
          </w:tcPr>
          <w:p>
            <w:pPr>
              <w:pStyle w:val="TableParagraph"/>
              <w:spacing w:line="161" w:lineRule="exact" w:before="8"/>
              <w:ind w:right="209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</w:tc>
      </w:tr>
      <w:tr>
        <w:trPr>
          <w:trHeight w:val="190" w:hRule="atLeast"/>
        </w:trPr>
        <w:tc>
          <w:tcPr>
            <w:tcW w:w="7439" w:type="dxa"/>
            <w:shd w:val="clear" w:color="auto" w:fill="BEBEBE"/>
          </w:tcPr>
          <w:p>
            <w:pPr>
              <w:pStyle w:val="TableParagraph"/>
              <w:spacing w:line="162" w:lineRule="exact" w:before="8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10.INFORMAÇÕES</w:t>
            </w:r>
            <w:r>
              <w:rPr>
                <w:b/>
                <w:spacing w:val="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COMPLEMENTARES</w:t>
            </w:r>
            <w:r>
              <w:rPr>
                <w:b/>
                <w:spacing w:val="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-</w:t>
            </w:r>
            <w:r>
              <w:rPr>
                <w:b/>
                <w:spacing w:val="1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GLOSAS</w:t>
            </w:r>
          </w:p>
        </w:tc>
        <w:tc>
          <w:tcPr>
            <w:tcW w:w="2500" w:type="dxa"/>
            <w:gridSpan w:val="2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7439" w:type="dxa"/>
            <w:shd w:val="clear" w:color="auto" w:fill="BEBEBE"/>
          </w:tcPr>
          <w:p>
            <w:pPr>
              <w:pStyle w:val="TableParagraph"/>
              <w:spacing w:line="162" w:lineRule="exact" w:before="8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TOTAL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DAS</w:t>
            </w:r>
            <w:r>
              <w:rPr>
                <w:b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GLOSAS</w:t>
            </w:r>
          </w:p>
        </w:tc>
        <w:tc>
          <w:tcPr>
            <w:tcW w:w="2500" w:type="dxa"/>
            <w:gridSpan w:val="2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99" w:hRule="atLeast"/>
        </w:trPr>
        <w:tc>
          <w:tcPr>
            <w:tcW w:w="7439" w:type="dxa"/>
            <w:shd w:val="clear" w:color="auto" w:fill="F1F1F1"/>
          </w:tcPr>
          <w:p>
            <w:pPr>
              <w:pStyle w:val="TableParagraph"/>
              <w:spacing w:before="8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11.Nota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Explicativa:</w:t>
            </w:r>
          </w:p>
        </w:tc>
        <w:tc>
          <w:tcPr>
            <w:tcW w:w="2500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before="23"/>
        <w:ind w:left="764" w:right="0" w:firstLine="0"/>
        <w:jc w:val="left"/>
        <w:rPr>
          <w:rFonts w:ascii="Calibri" w:hAnsi="Calibri"/>
          <w:b/>
          <w:sz w:val="15"/>
        </w:rPr>
      </w:pPr>
      <w:r>
        <w:rPr>
          <w:rFonts w:ascii="Calibri" w:hAnsi="Calibri"/>
          <w:b/>
          <w:sz w:val="15"/>
        </w:rPr>
        <w:t>Assinatura</w:t>
      </w:r>
      <w:r>
        <w:rPr>
          <w:rFonts w:ascii="Calibri" w:hAnsi="Calibri"/>
          <w:b/>
          <w:spacing w:val="-4"/>
          <w:sz w:val="15"/>
        </w:rPr>
        <w:t> </w:t>
      </w:r>
      <w:r>
        <w:rPr>
          <w:rFonts w:ascii="Calibri" w:hAnsi="Calibri"/>
          <w:b/>
          <w:sz w:val="15"/>
        </w:rPr>
        <w:t>do</w:t>
      </w:r>
      <w:r>
        <w:rPr>
          <w:rFonts w:ascii="Calibri" w:hAnsi="Calibri"/>
          <w:b/>
          <w:spacing w:val="1"/>
          <w:sz w:val="15"/>
        </w:rPr>
        <w:t> </w:t>
      </w:r>
      <w:r>
        <w:rPr>
          <w:rFonts w:ascii="Calibri" w:hAnsi="Calibri"/>
          <w:b/>
          <w:sz w:val="15"/>
        </w:rPr>
        <w:t>Resposável</w:t>
      </w:r>
      <w:r>
        <w:rPr>
          <w:rFonts w:ascii="Calibri" w:hAnsi="Calibri"/>
          <w:b/>
          <w:spacing w:val="4"/>
          <w:sz w:val="15"/>
        </w:rPr>
        <w:t> </w:t>
      </w:r>
      <w:r>
        <w:rPr>
          <w:rFonts w:ascii="Calibri" w:hAnsi="Calibri"/>
          <w:b/>
          <w:sz w:val="15"/>
        </w:rPr>
        <w:t>pela</w:t>
      </w:r>
      <w:r>
        <w:rPr>
          <w:rFonts w:ascii="Calibri" w:hAnsi="Calibri"/>
          <w:b/>
          <w:spacing w:val="-3"/>
          <w:sz w:val="15"/>
        </w:rPr>
        <w:t> </w:t>
      </w:r>
      <w:r>
        <w:rPr>
          <w:rFonts w:ascii="Calibri" w:hAnsi="Calibri"/>
          <w:b/>
          <w:sz w:val="15"/>
        </w:rPr>
        <w:t>Area</w:t>
      </w:r>
      <w:r>
        <w:rPr>
          <w:rFonts w:ascii="Calibri" w:hAnsi="Calibri"/>
          <w:b/>
          <w:spacing w:val="-4"/>
          <w:sz w:val="15"/>
        </w:rPr>
        <w:t> </w:t>
      </w:r>
      <w:r>
        <w:rPr>
          <w:rFonts w:ascii="Calibri" w:hAnsi="Calibri"/>
          <w:b/>
          <w:spacing w:val="-2"/>
          <w:sz w:val="15"/>
        </w:rPr>
        <w:t>financeira</w:t>
      </w:r>
    </w:p>
    <w:p>
      <w:pPr>
        <w:pStyle w:val="BodyText"/>
        <w:spacing w:before="44"/>
        <w:rPr>
          <w:rFonts w:ascii="Calibri"/>
          <w:b/>
          <w:sz w:val="15"/>
        </w:rPr>
      </w:pPr>
    </w:p>
    <w:p>
      <w:pPr>
        <w:spacing w:before="0"/>
        <w:ind w:left="8203" w:right="0" w:firstLine="0"/>
        <w:jc w:val="left"/>
        <w:rPr>
          <w:rFonts w:ascii="Calibri" w:hAnsi="Calibri"/>
          <w:b/>
          <w:sz w:val="15"/>
        </w:rPr>
      </w:pPr>
      <w:r>
        <w:rPr>
          <w:rFonts w:ascii="Calibri" w:hAnsi="Calibri"/>
          <w:b/>
          <w:sz w:val="15"/>
        </w:rPr>
        <w:t>Goiânia,</w:t>
      </w:r>
      <w:r>
        <w:rPr>
          <w:rFonts w:ascii="Calibri" w:hAnsi="Calibri"/>
          <w:b/>
          <w:spacing w:val="-1"/>
          <w:sz w:val="15"/>
        </w:rPr>
        <w:t> </w:t>
      </w:r>
      <w:r>
        <w:rPr>
          <w:rFonts w:ascii="Calibri" w:hAnsi="Calibri"/>
          <w:b/>
          <w:sz w:val="15"/>
        </w:rPr>
        <w:t>07</w:t>
      </w:r>
      <w:r>
        <w:rPr>
          <w:rFonts w:ascii="Calibri" w:hAnsi="Calibri"/>
          <w:b/>
          <w:spacing w:val="-8"/>
          <w:sz w:val="15"/>
        </w:rPr>
        <w:t> </w:t>
      </w:r>
      <w:r>
        <w:rPr>
          <w:rFonts w:ascii="Calibri" w:hAnsi="Calibri"/>
          <w:b/>
          <w:sz w:val="15"/>
        </w:rPr>
        <w:t>de</w:t>
      </w:r>
      <w:r>
        <w:rPr>
          <w:rFonts w:ascii="Calibri" w:hAnsi="Calibri"/>
          <w:b/>
          <w:spacing w:val="4"/>
          <w:sz w:val="15"/>
        </w:rPr>
        <w:t> </w:t>
      </w:r>
      <w:r>
        <w:rPr>
          <w:rFonts w:ascii="Calibri" w:hAnsi="Calibri"/>
          <w:b/>
          <w:sz w:val="15"/>
        </w:rPr>
        <w:t>Julho</w:t>
      </w:r>
      <w:r>
        <w:rPr>
          <w:rFonts w:ascii="Calibri" w:hAnsi="Calibri"/>
          <w:b/>
          <w:spacing w:val="-1"/>
          <w:sz w:val="15"/>
        </w:rPr>
        <w:t> </w:t>
      </w:r>
      <w:r>
        <w:rPr>
          <w:rFonts w:ascii="Calibri" w:hAnsi="Calibri"/>
          <w:b/>
          <w:sz w:val="15"/>
        </w:rPr>
        <w:t>de</w:t>
      </w:r>
      <w:r>
        <w:rPr>
          <w:rFonts w:ascii="Calibri" w:hAnsi="Calibri"/>
          <w:b/>
          <w:spacing w:val="4"/>
          <w:sz w:val="15"/>
        </w:rPr>
        <w:t> </w:t>
      </w:r>
      <w:r>
        <w:rPr>
          <w:rFonts w:ascii="Calibri" w:hAnsi="Calibri"/>
          <w:b/>
          <w:spacing w:val="-2"/>
          <w:sz w:val="15"/>
        </w:rPr>
        <w:t>2025.</w:t>
      </w:r>
    </w:p>
    <w:p>
      <w:pPr>
        <w:spacing w:before="22"/>
        <w:ind w:left="764" w:right="0" w:firstLine="0"/>
        <w:jc w:val="left"/>
        <w:rPr>
          <w:rFonts w:ascii="Calibri"/>
          <w:b/>
          <w:sz w:val="15"/>
        </w:rPr>
      </w:pPr>
      <w:r>
        <w:rPr>
          <w:rFonts w:ascii="Calibri"/>
          <w:b/>
          <w:sz w:val="15"/>
        </w:rPr>
        <w:t>Danilo</w:t>
      </w:r>
      <w:r>
        <w:rPr>
          <w:rFonts w:ascii="Calibri"/>
          <w:b/>
          <w:spacing w:val="-1"/>
          <w:sz w:val="15"/>
        </w:rPr>
        <w:t> </w:t>
      </w:r>
      <w:r>
        <w:rPr>
          <w:rFonts w:ascii="Calibri"/>
          <w:b/>
          <w:sz w:val="15"/>
        </w:rPr>
        <w:t>da</w:t>
      </w:r>
      <w:r>
        <w:rPr>
          <w:rFonts w:ascii="Calibri"/>
          <w:b/>
          <w:spacing w:val="-5"/>
          <w:sz w:val="15"/>
        </w:rPr>
        <w:t> </w:t>
      </w:r>
      <w:r>
        <w:rPr>
          <w:rFonts w:ascii="Calibri"/>
          <w:b/>
          <w:sz w:val="15"/>
        </w:rPr>
        <w:t>Silva</w:t>
      </w:r>
      <w:r>
        <w:rPr>
          <w:rFonts w:ascii="Calibri"/>
          <w:b/>
          <w:spacing w:val="-6"/>
          <w:sz w:val="15"/>
        </w:rPr>
        <w:t> </w:t>
      </w:r>
      <w:r>
        <w:rPr>
          <w:rFonts w:ascii="Calibri"/>
          <w:b/>
          <w:spacing w:val="-4"/>
          <w:sz w:val="15"/>
        </w:rPr>
        <w:t>Lili</w:t>
      </w:r>
    </w:p>
    <w:p>
      <w:pPr>
        <w:spacing w:before="21"/>
        <w:ind w:left="764" w:right="0" w:firstLine="0"/>
        <w:jc w:val="left"/>
        <w:rPr>
          <w:rFonts w:ascii="Calibri"/>
          <w:b/>
          <w:sz w:val="15"/>
        </w:rPr>
      </w:pPr>
      <w:r>
        <w:rPr>
          <w:rFonts w:ascii="Calibri"/>
          <w:b/>
          <w:sz w:val="15"/>
        </w:rPr>
        <w:t>Gerente</w:t>
      </w:r>
      <w:r>
        <w:rPr>
          <w:rFonts w:ascii="Calibri"/>
          <w:b/>
          <w:spacing w:val="5"/>
          <w:sz w:val="15"/>
        </w:rPr>
        <w:t> </w:t>
      </w:r>
      <w:r>
        <w:rPr>
          <w:rFonts w:ascii="Calibri"/>
          <w:b/>
          <w:sz w:val="15"/>
        </w:rPr>
        <w:t>Regional</w:t>
      </w:r>
      <w:r>
        <w:rPr>
          <w:rFonts w:ascii="Calibri"/>
          <w:b/>
          <w:spacing w:val="3"/>
          <w:sz w:val="15"/>
        </w:rPr>
        <w:t> </w:t>
      </w:r>
      <w:r>
        <w:rPr>
          <w:rFonts w:ascii="Calibri"/>
          <w:b/>
          <w:sz w:val="15"/>
        </w:rPr>
        <w:t>Controladoria</w:t>
      </w:r>
      <w:r>
        <w:rPr>
          <w:rFonts w:ascii="Calibri"/>
          <w:b/>
          <w:spacing w:val="-5"/>
          <w:sz w:val="15"/>
        </w:rPr>
        <w:t> </w:t>
      </w:r>
      <w:r>
        <w:rPr>
          <w:rFonts w:ascii="Calibri"/>
          <w:b/>
          <w:sz w:val="15"/>
        </w:rPr>
        <w:t>-</w:t>
      </w:r>
      <w:r>
        <w:rPr>
          <w:rFonts w:ascii="Calibri"/>
          <w:b/>
          <w:spacing w:val="4"/>
          <w:sz w:val="15"/>
        </w:rPr>
        <w:t> </w:t>
      </w:r>
      <w:r>
        <w:rPr>
          <w:rFonts w:ascii="Calibri"/>
          <w:b/>
          <w:sz w:val="15"/>
        </w:rPr>
        <w:t>Controladoria</w:t>
      </w:r>
      <w:r>
        <w:rPr>
          <w:rFonts w:ascii="Calibri"/>
          <w:b/>
          <w:spacing w:val="-5"/>
          <w:sz w:val="15"/>
        </w:rPr>
        <w:t> </w:t>
      </w:r>
      <w:r>
        <w:rPr>
          <w:rFonts w:ascii="Calibri"/>
          <w:b/>
          <w:spacing w:val="-2"/>
          <w:sz w:val="15"/>
        </w:rPr>
        <w:t>Regional</w:t>
      </w:r>
    </w:p>
    <w:p>
      <w:pPr>
        <w:spacing w:after="0"/>
        <w:jc w:val="left"/>
        <w:rPr>
          <w:rFonts w:ascii="Calibri"/>
          <w:b/>
          <w:sz w:val="15"/>
        </w:rPr>
        <w:sectPr>
          <w:pgSz w:w="11910" w:h="16840"/>
          <w:pgMar w:header="1067" w:footer="580" w:top="2440" w:bottom="780" w:left="566" w:right="566"/>
        </w:sectPr>
      </w:pP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40" w:lineRule="auto" w:before="255" w:after="0"/>
        <w:ind w:left="1037" w:right="0" w:hanging="303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pacing w:val="-2"/>
          <w:sz w:val="22"/>
        </w:rPr>
        <w:t>Operações</w:t>
      </w:r>
    </w:p>
    <w:p>
      <w:pPr>
        <w:pStyle w:val="ListParagraph"/>
        <w:numPr>
          <w:ilvl w:val="1"/>
          <w:numId w:val="1"/>
        </w:numPr>
        <w:tabs>
          <w:tab w:pos="1101" w:val="left" w:leader="none"/>
        </w:tabs>
        <w:spacing w:line="240" w:lineRule="auto" w:before="112" w:after="0"/>
        <w:ind w:left="1101" w:right="0" w:hanging="367"/>
        <w:jc w:val="left"/>
        <w:rPr>
          <w:rFonts w:ascii="Arial"/>
          <w:b/>
          <w:sz w:val="22"/>
        </w:rPr>
      </w:pPr>
      <w:r>
        <w:rPr>
          <w:rFonts w:ascii="Arial"/>
          <w:b/>
          <w:spacing w:val="-2"/>
          <w:sz w:val="22"/>
        </w:rPr>
        <w:t>Facilities</w:t>
      </w:r>
    </w:p>
    <w:p>
      <w:pPr>
        <w:pStyle w:val="BodyText"/>
        <w:spacing w:line="350" w:lineRule="auto" w:before="117" w:after="4"/>
        <w:ind w:left="734" w:right="167" w:firstLine="720"/>
        <w:jc w:val="both"/>
      </w:pPr>
      <w:r>
        <w:rPr/>
        <w:t>No mês de maio, realizamos</w:t>
      </w:r>
      <w:r>
        <w:rPr>
          <w:spacing w:val="-3"/>
        </w:rPr>
        <w:t> </w:t>
      </w:r>
      <w:r>
        <w:rPr/>
        <w:t>a aquisição de 400 travesseiros, destinados a todos os leitos</w:t>
      </w:r>
      <w:r>
        <w:rPr>
          <w:spacing w:val="-3"/>
        </w:rPr>
        <w:t> </w:t>
      </w:r>
      <w:r>
        <w:rPr/>
        <w:t>da instituição, assim como aos espaços de repouso dos nossos colaboradores. Essa iniciativa visa oferecer mais conforto, qualidade e segurança tanto para os pacientes quanto para os profissionais da saúde.</w:t>
      </w: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3918941" cy="2175129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941" cy="217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4"/>
      </w:pPr>
    </w:p>
    <w:p>
      <w:pPr>
        <w:spacing w:line="232" w:lineRule="auto" w:before="1"/>
        <w:ind w:left="734" w:right="174" w:firstLine="720"/>
        <w:jc w:val="both"/>
        <w:rPr>
          <w:sz w:val="24"/>
        </w:rPr>
      </w:pPr>
      <w:r>
        <w:rPr>
          <w:sz w:val="24"/>
        </w:rPr>
        <w:t>Visando aprimorar o atendimento aos pacientes ortopédicos, o nosso time de fisioterapia</w:t>
      </w:r>
      <w:r>
        <w:rPr>
          <w:spacing w:val="-4"/>
          <w:sz w:val="24"/>
        </w:rPr>
        <w:t> </w:t>
      </w:r>
      <w:r>
        <w:rPr>
          <w:sz w:val="24"/>
        </w:rPr>
        <w:t>solicitou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aquisição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30</w:t>
      </w:r>
      <w:r>
        <w:rPr>
          <w:spacing w:val="-4"/>
          <w:sz w:val="24"/>
        </w:rPr>
        <w:t> </w:t>
      </w:r>
      <w:r>
        <w:rPr>
          <w:sz w:val="24"/>
        </w:rPr>
        <w:t>poltronas</w:t>
      </w:r>
      <w:r>
        <w:rPr>
          <w:spacing w:val="-9"/>
          <w:sz w:val="24"/>
        </w:rPr>
        <w:t> </w:t>
      </w:r>
      <w:r>
        <w:rPr>
          <w:sz w:val="24"/>
        </w:rPr>
        <w:t>fixas,</w:t>
      </w:r>
      <w:r>
        <w:rPr>
          <w:spacing w:val="-6"/>
          <w:sz w:val="24"/>
        </w:rPr>
        <w:t> </w:t>
      </w:r>
      <w:r>
        <w:rPr>
          <w:sz w:val="24"/>
        </w:rPr>
        <w:t>com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objetivo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proporcionar</w:t>
      </w:r>
      <w:r>
        <w:rPr>
          <w:spacing w:val="-5"/>
          <w:sz w:val="24"/>
        </w:rPr>
        <w:t> </w:t>
      </w:r>
      <w:r>
        <w:rPr>
          <w:sz w:val="24"/>
        </w:rPr>
        <w:t>melhor acomodação e conforto durante o tratamento.</w:t>
      </w:r>
      <w:r>
        <w:rPr>
          <w:spacing w:val="-5"/>
          <w:sz w:val="24"/>
        </w:rPr>
        <w:t> </w:t>
      </w:r>
      <w:r>
        <w:rPr>
          <w:sz w:val="24"/>
        </w:rPr>
        <w:t>No mês de maio, esses itens foram recebidos e já estão disponíveis para uso, agregando ainda mais qualidade e segurança à assistência prestada na unidade de ortopedia.</w:t>
      </w:r>
    </w:p>
    <w:p>
      <w:pPr>
        <w:pStyle w:val="BodyText"/>
        <w:spacing w:before="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825500</wp:posOffset>
            </wp:positionH>
            <wp:positionV relativeFrom="paragraph">
              <wp:posOffset>170392</wp:posOffset>
            </wp:positionV>
            <wp:extent cx="5894301" cy="2674620"/>
            <wp:effectExtent l="0" t="0" r="0" b="0"/>
            <wp:wrapTopAndBottom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301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10" w:h="16840"/>
          <w:pgMar w:header="1067" w:footer="580" w:top="2440" w:bottom="780" w:left="566" w:right="566"/>
        </w:sectPr>
      </w:pP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68" w:lineRule="exact" w:before="0" w:after="0"/>
        <w:ind w:left="1132" w:right="0" w:hanging="398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Segurança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2"/>
          <w:sz w:val="24"/>
        </w:rPr>
        <w:t> Bombeiros</w:t>
      </w:r>
    </w:p>
    <w:p>
      <w:pPr>
        <w:spacing w:line="252" w:lineRule="auto" w:before="259" w:after="4"/>
        <w:ind w:left="734" w:right="171" w:firstLine="720"/>
        <w:jc w:val="both"/>
        <w:rPr>
          <w:sz w:val="24"/>
        </w:rPr>
      </w:pPr>
      <w:r>
        <w:rPr>
          <w:sz w:val="24"/>
        </w:rPr>
        <w:t>Durante a ação de adequação dos quadros elétricos da unidade, contamos com o acompanhamento</w:t>
      </w:r>
      <w:r>
        <w:rPr>
          <w:spacing w:val="-17"/>
          <w:sz w:val="24"/>
        </w:rPr>
        <w:t> </w:t>
      </w:r>
      <w:r>
        <w:rPr>
          <w:sz w:val="24"/>
        </w:rPr>
        <w:t>da</w:t>
      </w:r>
      <w:r>
        <w:rPr>
          <w:spacing w:val="-17"/>
          <w:sz w:val="24"/>
        </w:rPr>
        <w:t> </w:t>
      </w:r>
      <w:r>
        <w:rPr>
          <w:sz w:val="24"/>
        </w:rPr>
        <w:t>equipe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bombeiros,</w:t>
      </w:r>
      <w:r>
        <w:rPr>
          <w:spacing w:val="-17"/>
          <w:sz w:val="24"/>
        </w:rPr>
        <w:t> </w:t>
      </w:r>
      <w:r>
        <w:rPr>
          <w:sz w:val="24"/>
        </w:rPr>
        <w:t>assegurando</w:t>
      </w:r>
      <w:r>
        <w:rPr>
          <w:spacing w:val="-17"/>
          <w:sz w:val="24"/>
        </w:rPr>
        <w:t> </w:t>
      </w:r>
      <w:r>
        <w:rPr>
          <w:sz w:val="24"/>
        </w:rPr>
        <w:t>que</w:t>
      </w:r>
      <w:r>
        <w:rPr>
          <w:spacing w:val="-16"/>
          <w:sz w:val="24"/>
        </w:rPr>
        <w:t> </w:t>
      </w:r>
      <w:r>
        <w:rPr>
          <w:sz w:val="24"/>
        </w:rPr>
        <w:t>todos</w:t>
      </w:r>
      <w:r>
        <w:rPr>
          <w:spacing w:val="-17"/>
          <w:sz w:val="24"/>
        </w:rPr>
        <w:t> </w:t>
      </w:r>
      <w:r>
        <w:rPr>
          <w:sz w:val="24"/>
        </w:rPr>
        <w:t>os</w:t>
      </w:r>
      <w:r>
        <w:rPr>
          <w:spacing w:val="-17"/>
          <w:sz w:val="24"/>
        </w:rPr>
        <w:t> </w:t>
      </w:r>
      <w:r>
        <w:rPr>
          <w:sz w:val="24"/>
        </w:rPr>
        <w:t>procedimentos</w:t>
      </w:r>
      <w:r>
        <w:rPr>
          <w:spacing w:val="-16"/>
          <w:sz w:val="24"/>
        </w:rPr>
        <w:t> </w:t>
      </w:r>
      <w:r>
        <w:rPr>
          <w:sz w:val="24"/>
        </w:rPr>
        <w:t>fossem realizados de acordo com as normas de segurança. Essa supervisão foi fundamental para garantir a qualidade dos serviços executados e a proteção de todos os colaboradores, pacientes e instalações da instituição.</w:t>
      </w:r>
    </w:p>
    <w:p>
      <w:pPr>
        <w:pStyle w:val="BodyText"/>
        <w:ind w:left="1454"/>
        <w:rPr>
          <w:sz w:val="20"/>
        </w:rPr>
      </w:pPr>
      <w:r>
        <w:rPr>
          <w:sz w:val="20"/>
        </w:rPr>
        <w:drawing>
          <wp:inline distT="0" distB="0" distL="0" distR="0">
            <wp:extent cx="4477610" cy="2357628"/>
            <wp:effectExtent l="0" t="0" r="0" b="0"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610" cy="235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24"/>
        </w:rPr>
      </w:pPr>
    </w:p>
    <w:p>
      <w:pPr>
        <w:spacing w:line="252" w:lineRule="auto" w:before="0" w:after="4"/>
        <w:ind w:left="734" w:right="168" w:firstLine="720"/>
        <w:jc w:val="both"/>
        <w:rPr>
          <w:sz w:val="24"/>
        </w:rPr>
      </w:pPr>
      <w:r>
        <w:rPr>
          <w:sz w:val="24"/>
        </w:rPr>
        <w:t>No</w:t>
      </w:r>
      <w:r>
        <w:rPr>
          <w:spacing w:val="-13"/>
          <w:sz w:val="24"/>
        </w:rPr>
        <w:t> </w:t>
      </w:r>
      <w:r>
        <w:rPr>
          <w:sz w:val="24"/>
        </w:rPr>
        <w:t>mês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maio</w:t>
      </w:r>
      <w:r>
        <w:rPr>
          <w:spacing w:val="-13"/>
          <w:sz w:val="24"/>
        </w:rPr>
        <w:t> </w:t>
      </w:r>
      <w:r>
        <w:rPr>
          <w:sz w:val="24"/>
        </w:rPr>
        <w:t>os</w:t>
      </w:r>
      <w:r>
        <w:rPr>
          <w:spacing w:val="-14"/>
          <w:sz w:val="24"/>
        </w:rPr>
        <w:t> </w:t>
      </w:r>
      <w:r>
        <w:rPr>
          <w:sz w:val="24"/>
        </w:rPr>
        <w:t>DDS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segurança</w:t>
      </w:r>
      <w:r>
        <w:rPr>
          <w:spacing w:val="-13"/>
          <w:sz w:val="24"/>
        </w:rPr>
        <w:t> </w:t>
      </w:r>
      <w:r>
        <w:rPr>
          <w:sz w:val="24"/>
        </w:rPr>
        <w:t>se</w:t>
      </w:r>
      <w:r>
        <w:rPr>
          <w:spacing w:val="-13"/>
          <w:sz w:val="24"/>
        </w:rPr>
        <w:t> </w:t>
      </w:r>
      <w:r>
        <w:rPr>
          <w:sz w:val="24"/>
        </w:rPr>
        <w:t>tornaram</w:t>
      </w:r>
      <w:r>
        <w:rPr>
          <w:spacing w:val="-14"/>
          <w:sz w:val="24"/>
        </w:rPr>
        <w:t> </w:t>
      </w:r>
      <w:r>
        <w:rPr>
          <w:sz w:val="24"/>
        </w:rPr>
        <w:t>ainda</w:t>
      </w:r>
      <w:r>
        <w:rPr>
          <w:spacing w:val="-13"/>
          <w:sz w:val="24"/>
        </w:rPr>
        <w:t> </w:t>
      </w:r>
      <w:r>
        <w:rPr>
          <w:sz w:val="24"/>
        </w:rPr>
        <w:t>mais</w:t>
      </w:r>
      <w:r>
        <w:rPr>
          <w:spacing w:val="-14"/>
          <w:sz w:val="24"/>
        </w:rPr>
        <w:t> </w:t>
      </w:r>
      <w:r>
        <w:rPr>
          <w:sz w:val="24"/>
        </w:rPr>
        <w:t>frequente,</w:t>
      </w:r>
      <w:r>
        <w:rPr>
          <w:spacing w:val="-16"/>
          <w:sz w:val="24"/>
        </w:rPr>
        <w:t> </w:t>
      </w:r>
      <w:r>
        <w:rPr>
          <w:sz w:val="24"/>
        </w:rPr>
        <w:t>com</w:t>
      </w:r>
      <w:r>
        <w:rPr>
          <w:spacing w:val="-14"/>
          <w:sz w:val="24"/>
        </w:rPr>
        <w:t> </w:t>
      </w: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sz w:val="24"/>
        </w:rPr>
        <w:t>intuito de garantir a segurança dos usuários da unidade e alinhar os procedimentos operacionais </w:t>
      </w:r>
      <w:r>
        <w:rPr>
          <w:spacing w:val="-2"/>
          <w:sz w:val="24"/>
        </w:rPr>
        <w:t>padrão.</w:t>
      </w: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5174659" cy="2353151"/>
            <wp:effectExtent l="0" t="0" r="0" b="0"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4659" cy="235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ListParagraph"/>
        <w:numPr>
          <w:ilvl w:val="1"/>
          <w:numId w:val="4"/>
        </w:numPr>
        <w:tabs>
          <w:tab w:pos="1198" w:val="left" w:leader="none"/>
        </w:tabs>
        <w:spacing w:line="272" w:lineRule="exact" w:before="268" w:after="0"/>
        <w:ind w:left="1198" w:right="0" w:hanging="464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Engenharia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2"/>
          <w:sz w:val="24"/>
        </w:rPr>
        <w:t>Clínica</w:t>
      </w:r>
    </w:p>
    <w:p>
      <w:pPr>
        <w:pStyle w:val="BodyText"/>
        <w:spacing w:line="252" w:lineRule="auto"/>
        <w:ind w:left="734" w:right="169" w:firstLine="720"/>
        <w:jc w:val="both"/>
      </w:pPr>
      <w:r>
        <w:rPr/>
        <w:t>Atividades</w:t>
      </w:r>
      <w:r>
        <w:rPr>
          <w:spacing w:val="-1"/>
        </w:rPr>
        <w:t> </w:t>
      </w:r>
      <w:r>
        <w:rPr/>
        <w:t>de instalação e treinamento de equipamentos</w:t>
      </w:r>
      <w:r>
        <w:rPr>
          <w:spacing w:val="-6"/>
        </w:rPr>
        <w:t> </w:t>
      </w:r>
      <w:r>
        <w:rPr/>
        <w:t>médico-hospitalares</w:t>
      </w:r>
      <w:r>
        <w:rPr>
          <w:spacing w:val="-1"/>
        </w:rPr>
        <w:t> </w:t>
      </w:r>
      <w:r>
        <w:rPr/>
        <w:t>adquiridos</w:t>
      </w:r>
      <w:r>
        <w:rPr>
          <w:spacing w:val="-1"/>
        </w:rPr>
        <w:t> </w:t>
      </w:r>
      <w:r>
        <w:rPr/>
        <w:t>com recursos</w:t>
      </w:r>
      <w:r>
        <w:rPr>
          <w:spacing w:val="-3"/>
        </w:rPr>
        <w:t> </w:t>
      </w:r>
      <w:r>
        <w:rPr/>
        <w:t>a título de investimento: 01 (um)</w:t>
      </w:r>
      <w:r>
        <w:rPr>
          <w:spacing w:val="-1"/>
        </w:rPr>
        <w:t> </w:t>
      </w:r>
      <w:r>
        <w:rPr/>
        <w:t>raio-X móvel digital, 07 (sete)</w:t>
      </w:r>
      <w:r>
        <w:rPr>
          <w:spacing w:val="-1"/>
        </w:rPr>
        <w:t> </w:t>
      </w:r>
      <w:r>
        <w:rPr/>
        <w:t>eletrocardiógrafos e 01 (um) bisturi elétrico com coagulador por plasma de argônio. Instalação de 10 (dez) osmoses reversas portáteis e 10 (dez) dialisadoras locadas.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1"/>
      </w:pPr>
    </w:p>
    <w:p>
      <w:pPr>
        <w:pStyle w:val="ListParagraph"/>
        <w:numPr>
          <w:ilvl w:val="2"/>
          <w:numId w:val="4"/>
        </w:numPr>
        <w:tabs>
          <w:tab w:pos="1396" w:val="left" w:leader="none"/>
        </w:tabs>
        <w:spacing w:line="240" w:lineRule="auto" w:before="0" w:after="0"/>
        <w:ind w:left="1396" w:right="0" w:hanging="662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01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(um)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raio-X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móvel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digital (Treinamento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operacional)</w:t>
      </w:r>
    </w:p>
    <w:p>
      <w:pPr>
        <w:pStyle w:val="ListParagraph"/>
        <w:spacing w:after="0" w:line="240" w:lineRule="auto"/>
        <w:jc w:val="left"/>
        <w:rPr>
          <w:rFonts w:ascii="Arial" w:hAnsi="Arial"/>
          <w:b/>
          <w:sz w:val="24"/>
        </w:rPr>
        <w:sectPr>
          <w:pgSz w:w="11910" w:h="16840"/>
          <w:pgMar w:header="1067" w:footer="580" w:top="2440" w:bottom="780" w:left="566" w:right="566"/>
        </w:sectPr>
      </w:pPr>
    </w:p>
    <w:p>
      <w:pPr>
        <w:pStyle w:val="BodyText"/>
        <w:ind w:left="386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233795" cy="3211830"/>
                <wp:effectExtent l="0" t="0" r="0" b="7619"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6233795" cy="3211830"/>
                          <a:chExt cx="6233795" cy="3211830"/>
                        </a:xfrm>
                      </wpg:grpSpPr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3667" cy="877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 descr="Uma imagem contendo pessoa, homem, esporte, edifício  O conteúdo gerado por IA pode estar incorreto.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6730" y="871855"/>
                            <a:ext cx="4156075" cy="2339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90.85pt;height:252.9pt;mso-position-horizontal-relative:char;mso-position-vertical-relative:line" id="docshapegroup108" coordorigin="0,0" coordsize="9817,5058">
                <v:shape style="position:absolute;left:0;top:0;width:9817;height:1382" type="#_x0000_t75" id="docshape109" stroked="false">
                  <v:imagedata r:id="rId29" o:title=""/>
                </v:shape>
                <v:shape style="position:absolute;left:2010;top:1373;width:6545;height:3685" type="#_x0000_t75" id="docshape110" alt="Uma imagem contendo pessoa, homem, esporte, edifício  O conteúdo gerado por IA pode estar incorreto." stroked="false">
                  <v:imagedata r:id="rId36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ListParagraph"/>
        <w:numPr>
          <w:ilvl w:val="2"/>
          <w:numId w:val="4"/>
        </w:numPr>
        <w:tabs>
          <w:tab w:pos="1397" w:val="left" w:leader="none"/>
        </w:tabs>
        <w:spacing w:line="240" w:lineRule="auto" w:before="269" w:after="0"/>
        <w:ind w:left="1397" w:right="0" w:hanging="663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3080639</wp:posOffset>
            </wp:positionH>
            <wp:positionV relativeFrom="paragraph">
              <wp:posOffset>355218</wp:posOffset>
            </wp:positionV>
            <wp:extent cx="1766870" cy="2352294"/>
            <wp:effectExtent l="0" t="0" r="0" b="0"/>
            <wp:wrapTopAndBottom/>
            <wp:docPr id="125" name="Image 125" descr="Mesa com computador e cadeira  O conteúdo gerado por IA pode estar incorre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 descr="Mesa com computador e cadeira  O conteúdo gerado por IA pode estar incorreto.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870" cy="2352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w:t>07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(sete)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2"/>
          <w:sz w:val="24"/>
        </w:rPr>
        <w:t>eletrocardiógrafos</w:t>
      </w:r>
    </w:p>
    <w:p>
      <w:pPr>
        <w:pStyle w:val="BodyText"/>
        <w:spacing w:before="15"/>
        <w:rPr>
          <w:rFonts w:ascii="Arial"/>
          <w:b/>
          <w:sz w:val="24"/>
        </w:rPr>
      </w:pPr>
    </w:p>
    <w:p>
      <w:pPr>
        <w:pStyle w:val="ListParagraph"/>
        <w:numPr>
          <w:ilvl w:val="2"/>
          <w:numId w:val="4"/>
        </w:numPr>
        <w:tabs>
          <w:tab w:pos="1397" w:val="left" w:leader="none"/>
        </w:tabs>
        <w:spacing w:line="240" w:lineRule="auto" w:before="0" w:after="0"/>
        <w:ind w:left="1397" w:right="0" w:hanging="663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3082289</wp:posOffset>
            </wp:positionH>
            <wp:positionV relativeFrom="paragraph">
              <wp:posOffset>185942</wp:posOffset>
            </wp:positionV>
            <wp:extent cx="1768721" cy="2359533"/>
            <wp:effectExtent l="0" t="0" r="0" b="0"/>
            <wp:wrapTopAndBottom/>
            <wp:docPr id="126" name="Image 126" descr="Uma imagem contendo no interior, pequeno, geladeira, monitor  O conteúdo gerado por IA pode estar incorre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 descr="Uma imagem contendo no interior, pequeno, geladeira, monitor  O conteúdo gerado por IA pode estar incorreto.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721" cy="2359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w:t>01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(um)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bisturi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elétrico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coagulador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plasma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5"/>
          <w:sz w:val="24"/>
        </w:rPr>
        <w:t> </w:t>
      </w:r>
      <w:r>
        <w:rPr>
          <w:rFonts w:ascii="Arial" w:hAnsi="Arial"/>
          <w:b/>
          <w:spacing w:val="-2"/>
          <w:sz w:val="24"/>
        </w:rPr>
        <w:t>argônio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26"/>
        <w:rPr>
          <w:rFonts w:ascii="Arial"/>
          <w:b/>
          <w:sz w:val="24"/>
        </w:rPr>
      </w:pPr>
    </w:p>
    <w:p>
      <w:pPr>
        <w:pStyle w:val="ListParagraph"/>
        <w:numPr>
          <w:ilvl w:val="2"/>
          <w:numId w:val="4"/>
        </w:numPr>
        <w:tabs>
          <w:tab w:pos="1386" w:val="left" w:leader="none"/>
        </w:tabs>
        <w:spacing w:line="240" w:lineRule="auto" w:before="0" w:after="0"/>
        <w:ind w:left="1386" w:right="0" w:hanging="652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Instalação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10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(dez)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osmoses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reversas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portáteis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10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(dez)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dialisadoras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"/>
          <w:sz w:val="24"/>
        </w:rPr>
        <w:t>locadas</w:t>
      </w:r>
    </w:p>
    <w:p>
      <w:pPr>
        <w:pStyle w:val="ListParagraph"/>
        <w:spacing w:after="0" w:line="240" w:lineRule="auto"/>
        <w:jc w:val="left"/>
        <w:rPr>
          <w:rFonts w:ascii="Arial" w:hAnsi="Arial"/>
          <w:b/>
          <w:sz w:val="24"/>
        </w:rPr>
        <w:sectPr>
          <w:headerReference w:type="default" r:id="rId34"/>
          <w:footerReference w:type="default" r:id="rId35"/>
          <w:pgSz w:w="11910" w:h="16840"/>
          <w:pgMar w:header="0" w:footer="580" w:top="1060" w:bottom="780" w:left="566" w:right="566"/>
        </w:sectPr>
      </w:pPr>
    </w:p>
    <w:p>
      <w:pPr>
        <w:pStyle w:val="BodyText"/>
        <w:ind w:left="386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233795" cy="3211195"/>
                <wp:effectExtent l="0" t="0" r="0" b="8255"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6233795" cy="3211195"/>
                          <a:chExt cx="6233795" cy="3211195"/>
                        </a:xfrm>
                      </wpg:grpSpPr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3667" cy="877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 descr="Uma imagem contendo chão, no interior, homem, quarto  O conteúdo gerado por IA pode estar incorreto.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8852" y="871855"/>
                            <a:ext cx="1316989" cy="23393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 descr="Uma imagem contendo no interior, pequeno, quarto, mesa  O conteúdo gerado por IA pode estar incorreto.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3566" y="871855"/>
                            <a:ext cx="1316989" cy="2339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90.85pt;height:252.85pt;mso-position-horizontal-relative:char;mso-position-vertical-relative:line" id="docshapegroup112" coordorigin="0,0" coordsize="9817,5057">
                <v:shape style="position:absolute;left:0;top:0;width:9817;height:1382" type="#_x0000_t75" id="docshape113" stroked="false">
                  <v:imagedata r:id="rId29" o:title=""/>
                </v:shape>
                <v:shape style="position:absolute;left:3147;top:1373;width:2074;height:3684" type="#_x0000_t75" id="docshape114" alt="Uma imagem contendo chão, no interior, homem, quarto  O conteúdo gerado por IA pode estar incorreto." stroked="false">
                  <v:imagedata r:id="rId41" o:title=""/>
                </v:shape>
                <v:shape style="position:absolute;left:5344;top:1373;width:2074;height:3684" type="#_x0000_t75" id="docshape115" alt="Uma imagem contendo no interior, pequeno, quarto, mesa  O conteúdo gerado por IA pode estar incorreto." stroked="false">
                  <v:imagedata r:id="rId42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ListParagraph"/>
        <w:numPr>
          <w:ilvl w:val="1"/>
          <w:numId w:val="4"/>
        </w:numPr>
        <w:tabs>
          <w:tab w:pos="1197" w:val="left" w:leader="none"/>
        </w:tabs>
        <w:spacing w:line="273" w:lineRule="exact" w:before="265" w:after="0"/>
        <w:ind w:left="1197" w:right="0" w:hanging="463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Projetos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pacing w:val="-2"/>
          <w:sz w:val="24"/>
        </w:rPr>
        <w:t>obras</w:t>
      </w:r>
    </w:p>
    <w:p>
      <w:pPr>
        <w:pStyle w:val="ListParagraph"/>
        <w:numPr>
          <w:ilvl w:val="2"/>
          <w:numId w:val="5"/>
        </w:numPr>
        <w:tabs>
          <w:tab w:pos="1332" w:val="left" w:leader="none"/>
        </w:tabs>
        <w:spacing w:line="273" w:lineRule="exact" w:before="0" w:after="0"/>
        <w:ind w:left="1332" w:right="0" w:hanging="598"/>
        <w:jc w:val="left"/>
        <w:rPr>
          <w:sz w:val="24"/>
        </w:rPr>
      </w:pPr>
      <w:r>
        <w:rPr>
          <w:sz w:val="24"/>
        </w:rPr>
        <w:t>Entregas</w:t>
      </w:r>
      <w:r>
        <w:rPr>
          <w:spacing w:val="-3"/>
          <w:sz w:val="24"/>
        </w:rPr>
        <w:t> </w:t>
      </w:r>
      <w:r>
        <w:rPr>
          <w:sz w:val="24"/>
        </w:rPr>
        <w:t>parciais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Plano</w:t>
      </w:r>
      <w:r>
        <w:rPr>
          <w:spacing w:val="-2"/>
          <w:sz w:val="24"/>
        </w:rPr>
        <w:t> Diretor</w:t>
      </w:r>
    </w:p>
    <w:p>
      <w:pPr>
        <w:tabs>
          <w:tab w:pos="4045" w:val="left" w:leader="none"/>
        </w:tabs>
        <w:spacing w:line="240" w:lineRule="auto"/>
        <w:ind w:left="734" w:right="0" w:firstLine="0"/>
        <w:rPr>
          <w:position w:val="1"/>
          <w:sz w:val="20"/>
        </w:rPr>
      </w:pPr>
      <w:r>
        <w:rPr>
          <w:sz w:val="20"/>
        </w:rPr>
        <w:drawing>
          <wp:inline distT="0" distB="0" distL="0" distR="0">
            <wp:extent cx="1927944" cy="2724150"/>
            <wp:effectExtent l="0" t="0" r="0" b="0"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94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1916743" cy="2719958"/>
            <wp:effectExtent l="0" t="0" r="0" b="0"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743" cy="271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</w:p>
    <w:p>
      <w:pPr>
        <w:pStyle w:val="ListParagraph"/>
        <w:numPr>
          <w:ilvl w:val="2"/>
          <w:numId w:val="5"/>
        </w:numPr>
        <w:tabs>
          <w:tab w:pos="1332" w:val="left" w:leader="none"/>
        </w:tabs>
        <w:spacing w:line="273" w:lineRule="exact" w:before="230" w:after="0"/>
        <w:ind w:left="1332" w:right="0" w:hanging="598"/>
        <w:jc w:val="left"/>
        <w:rPr>
          <w:sz w:val="24"/>
        </w:rPr>
      </w:pPr>
      <w:r>
        <w:rPr>
          <w:sz w:val="24"/>
        </w:rPr>
        <w:t>Conclusão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Projeto</w:t>
      </w:r>
      <w:r>
        <w:rPr>
          <w:spacing w:val="-3"/>
          <w:sz w:val="24"/>
        </w:rPr>
        <w:t> </w:t>
      </w:r>
      <w:r>
        <w:rPr>
          <w:sz w:val="24"/>
        </w:rPr>
        <w:t>Básico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protocolo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4"/>
          <w:sz w:val="24"/>
        </w:rPr>
        <w:t> </w:t>
      </w:r>
      <w:r>
        <w:rPr>
          <w:sz w:val="24"/>
        </w:rPr>
        <w:t>análise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Vigilância</w:t>
      </w:r>
      <w:r>
        <w:rPr>
          <w:spacing w:val="5"/>
          <w:sz w:val="24"/>
        </w:rPr>
        <w:t> </w:t>
      </w:r>
      <w:r>
        <w:rPr>
          <w:sz w:val="24"/>
        </w:rPr>
        <w:t>Sanitária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Municipal</w:t>
      </w:r>
    </w:p>
    <w:p>
      <w:pPr>
        <w:spacing w:line="273" w:lineRule="exact" w:before="0"/>
        <w:ind w:left="734" w:right="0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UTI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5</w:t>
      </w: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5386761" cy="2310003"/>
            <wp:effectExtent l="0" t="0" r="0" b="0"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6761" cy="231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39"/>
          <w:footerReference w:type="default" r:id="rId40"/>
          <w:pgSz w:w="11910" w:h="16840"/>
          <w:pgMar w:header="0" w:footer="580" w:top="1060" w:bottom="780" w:left="566" w:right="566"/>
        </w:sectPr>
      </w:pPr>
    </w:p>
    <w:p>
      <w:pPr>
        <w:pStyle w:val="BodyText"/>
        <w:ind w:left="38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33795" cy="2311400"/>
                <wp:effectExtent l="0" t="0" r="0" b="3175"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6233795" cy="2311400"/>
                          <a:chExt cx="6233795" cy="2311400"/>
                        </a:xfrm>
                      </wpg:grpSpPr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3667" cy="877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79" y="871855"/>
                            <a:ext cx="545211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90.85pt;height:182pt;mso-position-horizontal-relative:char;mso-position-vertical-relative:line" id="docshapegroup117" coordorigin="0,0" coordsize="9817,3640">
                <v:shape style="position:absolute;left:0;top:0;width:9817;height:1382" type="#_x0000_t75" id="docshape118" stroked="false">
                  <v:imagedata r:id="rId29" o:title=""/>
                </v:shape>
                <v:shape style="position:absolute;left:348;top:1373;width:8586;height:2267" type="#_x0000_t75" id="docshape119" stroked="false">
                  <v:imagedata r:id="rId48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1"/>
          <w:numId w:val="4"/>
        </w:numPr>
        <w:tabs>
          <w:tab w:pos="1197" w:val="left" w:leader="none"/>
        </w:tabs>
        <w:spacing w:line="272" w:lineRule="exact" w:before="6" w:after="0"/>
        <w:ind w:left="1197" w:right="0" w:hanging="463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Manutenção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2"/>
          <w:sz w:val="24"/>
        </w:rPr>
        <w:t>Predial</w:t>
      </w:r>
    </w:p>
    <w:p>
      <w:pPr>
        <w:pStyle w:val="BodyText"/>
        <w:spacing w:line="249" w:lineRule="exact"/>
        <w:ind w:left="734"/>
        <w:jc w:val="both"/>
      </w:pPr>
      <w:r>
        <w:rPr/>
        <w:t>5.5.1</w:t>
      </w:r>
      <w:r>
        <w:rPr>
          <w:spacing w:val="-4"/>
        </w:rPr>
        <w:t> </w:t>
      </w:r>
      <w:r>
        <w:rPr/>
        <w:t>Manutenção</w:t>
      </w:r>
      <w:r>
        <w:rPr>
          <w:spacing w:val="-4"/>
        </w:rPr>
        <w:t> </w:t>
      </w:r>
      <w:r>
        <w:rPr>
          <w:spacing w:val="-2"/>
        </w:rPr>
        <w:t>Predial</w:t>
      </w:r>
    </w:p>
    <w:p>
      <w:pPr>
        <w:pStyle w:val="BodyText"/>
        <w:spacing w:line="235" w:lineRule="auto" w:before="116"/>
        <w:ind w:left="734" w:right="170" w:firstLine="720"/>
        <w:jc w:val="both"/>
      </w:pPr>
      <w:r>
        <w:rPr/>
        <w:t>No</w:t>
      </w:r>
      <w:r>
        <w:rPr>
          <w:spacing w:val="-13"/>
        </w:rPr>
        <w:t> </w:t>
      </w:r>
      <w:r>
        <w:rPr/>
        <w:t>mês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junho,</w:t>
      </w:r>
      <w:r>
        <w:rPr>
          <w:spacing w:val="-15"/>
        </w:rPr>
        <w:t> </w:t>
      </w:r>
      <w:r>
        <w:rPr/>
        <w:t>teve</w:t>
      </w:r>
      <w:r>
        <w:rPr>
          <w:spacing w:val="-15"/>
        </w:rPr>
        <w:t> </w:t>
      </w:r>
      <w:r>
        <w:rPr/>
        <w:t>a</w:t>
      </w:r>
      <w:r>
        <w:rPr>
          <w:spacing w:val="-12"/>
        </w:rPr>
        <w:t> </w:t>
      </w:r>
      <w:r>
        <w:rPr/>
        <w:t>conclusão</w:t>
      </w:r>
      <w:r>
        <w:rPr>
          <w:spacing w:val="-16"/>
        </w:rPr>
        <w:t> </w:t>
      </w:r>
      <w:r>
        <w:rPr/>
        <w:t>da</w:t>
      </w:r>
      <w:r>
        <w:rPr>
          <w:spacing w:val="-8"/>
        </w:rPr>
        <w:t> </w:t>
      </w:r>
      <w:r>
        <w:rPr/>
        <w:t>substituição</w:t>
      </w:r>
      <w:r>
        <w:rPr>
          <w:spacing w:val="-12"/>
        </w:rPr>
        <w:t> </w:t>
      </w:r>
      <w:r>
        <w:rPr/>
        <w:t>dos</w:t>
      </w:r>
      <w:r>
        <w:rPr>
          <w:spacing w:val="-15"/>
        </w:rPr>
        <w:t> </w:t>
      </w:r>
      <w:r>
        <w:rPr/>
        <w:t>painéis</w:t>
      </w:r>
      <w:r>
        <w:rPr>
          <w:spacing w:val="-15"/>
        </w:rPr>
        <w:t> </w:t>
      </w:r>
      <w:r>
        <w:rPr/>
        <w:t>de</w:t>
      </w:r>
      <w:r>
        <w:rPr>
          <w:spacing w:val="-12"/>
        </w:rPr>
        <w:t> </w:t>
      </w:r>
      <w:r>
        <w:rPr/>
        <w:t>baixa</w:t>
      </w:r>
      <w:r>
        <w:rPr>
          <w:spacing w:val="-12"/>
        </w:rPr>
        <w:t> </w:t>
      </w:r>
      <w:r>
        <w:rPr/>
        <w:t>tensão</w:t>
      </w:r>
      <w:r>
        <w:rPr>
          <w:spacing w:val="-16"/>
        </w:rPr>
        <w:t> </w:t>
      </w:r>
      <w:r>
        <w:rPr/>
        <w:t>da</w:t>
      </w:r>
      <w:r>
        <w:rPr>
          <w:spacing w:val="-11"/>
        </w:rPr>
        <w:t> </w:t>
      </w:r>
      <w:r>
        <w:rPr/>
        <w:t>subestação, medida que proporciona maior segurança e confiabilidade ao sistema elétrico da unidade. Paralelamente,</w:t>
      </w:r>
      <w:r>
        <w:rPr>
          <w:spacing w:val="-14"/>
        </w:rPr>
        <w:t> </w:t>
      </w:r>
      <w:r>
        <w:rPr/>
        <w:t>foi</w:t>
      </w:r>
      <w:r>
        <w:rPr>
          <w:spacing w:val="-12"/>
        </w:rPr>
        <w:t> </w:t>
      </w:r>
      <w:r>
        <w:rPr/>
        <w:t>iniciada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reforma</w:t>
      </w:r>
      <w:r>
        <w:rPr>
          <w:spacing w:val="-10"/>
        </w:rPr>
        <w:t> </w:t>
      </w:r>
      <w:r>
        <w:rPr/>
        <w:t>dos</w:t>
      </w:r>
      <w:r>
        <w:rPr>
          <w:spacing w:val="-13"/>
        </w:rPr>
        <w:t> </w:t>
      </w:r>
      <w:r>
        <w:rPr/>
        <w:t>postos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enfermagem,</w:t>
      </w:r>
      <w:r>
        <w:rPr>
          <w:spacing w:val="-14"/>
        </w:rPr>
        <w:t> </w:t>
      </w:r>
      <w:r>
        <w:rPr/>
        <w:t>com</w:t>
      </w:r>
      <w:r>
        <w:rPr>
          <w:spacing w:val="-11"/>
        </w:rPr>
        <w:t> </w:t>
      </w:r>
      <w:r>
        <w:rPr/>
        <w:t>o</w:t>
      </w:r>
      <w:r>
        <w:rPr>
          <w:spacing w:val="-10"/>
        </w:rPr>
        <w:t> </w:t>
      </w:r>
      <w:r>
        <w:rPr/>
        <w:t>objetivo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oferecer</w:t>
      </w:r>
      <w:r>
        <w:rPr>
          <w:spacing w:val="-11"/>
        </w:rPr>
        <w:t> </w:t>
      </w:r>
      <w:r>
        <w:rPr/>
        <w:t>melhores condições de trabalho e mais qualidade à equipe assistencial.</w:t>
      </w:r>
    </w:p>
    <w:p>
      <w:pPr>
        <w:pStyle w:val="BodyText"/>
        <w:spacing w:line="232" w:lineRule="auto" w:before="236"/>
        <w:ind w:left="734" w:right="169" w:firstLine="720"/>
        <w:jc w:val="both"/>
      </w:pPr>
      <w:r>
        <w:rPr/>
        <w:t>Também estão em andamento as reformas dos repousos médico e de enfermagem, visando conforto e adequação dos ambientes de descanso. A motor grupo gerador da unidade teve a sua potência dobrada possibilitando que toda a unidade esteja assistida em falta de fornecimento de energia convencional, além disso foram encontrados vazamentos na unidade que possibilitaram a redução significativa no valor e consumo de água portável. Ademais a manutenção preventiva e corretiva da unidade continua sendo executada regularmente, conforme demonstrado nas imagens </w:t>
      </w:r>
      <w:r>
        <w:rPr>
          <w:spacing w:val="-2"/>
        </w:rPr>
        <w:t>anexas.</w:t>
      </w:r>
    </w:p>
    <w:p>
      <w:pPr>
        <w:pStyle w:val="BodyText"/>
        <w:spacing w:before="13"/>
        <w:rPr>
          <w:sz w:val="20"/>
        </w:rPr>
      </w:pPr>
    </w:p>
    <w:tbl>
      <w:tblPr>
        <w:tblW w:w="0" w:type="auto"/>
        <w:jc w:val="left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7"/>
        <w:gridCol w:w="4937"/>
      </w:tblGrid>
      <w:tr>
        <w:trPr>
          <w:trHeight w:val="4696" w:hRule="atLeast"/>
        </w:trPr>
        <w:tc>
          <w:tcPr>
            <w:tcW w:w="4937" w:type="dxa"/>
          </w:tcPr>
          <w:p>
            <w:pPr>
              <w:pStyle w:val="TableParagraph"/>
              <w:ind w:left="70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2221632" cy="2957512"/>
                  <wp:effectExtent l="0" t="0" r="0" b="0"/>
                  <wp:docPr id="139" name="Image 1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632" cy="295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4937" w:type="dxa"/>
          </w:tcPr>
          <w:p>
            <w:pPr>
              <w:pStyle w:val="TableParagraph"/>
              <w:ind w:left="7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2217521" cy="2964656"/>
                  <wp:effectExtent l="0" t="0" r="0" b="0"/>
                  <wp:docPr id="140" name="Image 1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521" cy="2964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9874" w:type="dxa"/>
            <w:gridSpan w:val="2"/>
          </w:tcPr>
          <w:p>
            <w:pPr>
              <w:pStyle w:val="TableParagraph"/>
              <w:spacing w:line="227" w:lineRule="exact"/>
              <w:ind w:left="8" w:right="7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Figura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01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-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Reforma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revitalização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espaços</w:t>
            </w:r>
          </w:p>
        </w:tc>
      </w:tr>
    </w:tbl>
    <w:p>
      <w:pPr>
        <w:pStyle w:val="TableParagraph"/>
        <w:spacing w:after="0" w:line="227" w:lineRule="exact"/>
        <w:jc w:val="center"/>
        <w:rPr>
          <w:rFonts w:ascii="Arial MT" w:hAnsi="Arial MT"/>
          <w:sz w:val="20"/>
        </w:rPr>
        <w:sectPr>
          <w:headerReference w:type="default" r:id="rId46"/>
          <w:footerReference w:type="default" r:id="rId47"/>
          <w:pgSz w:w="11910" w:h="16840"/>
          <w:pgMar w:header="0" w:footer="580" w:top="1060" w:bottom="780" w:left="566" w:right="566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604519</wp:posOffset>
            </wp:positionH>
            <wp:positionV relativeFrom="page">
              <wp:posOffset>677544</wp:posOffset>
            </wp:positionV>
            <wp:extent cx="6213821" cy="874776"/>
            <wp:effectExtent l="0" t="0" r="0" b="0"/>
            <wp:wrapNone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3821" cy="874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7"/>
        <w:gridCol w:w="4937"/>
      </w:tblGrid>
      <w:tr>
        <w:trPr>
          <w:trHeight w:val="4696" w:hRule="atLeast"/>
        </w:trPr>
        <w:tc>
          <w:tcPr>
            <w:tcW w:w="4937" w:type="dxa"/>
          </w:tcPr>
          <w:p>
            <w:pPr>
              <w:pStyle w:val="TableParagraph"/>
              <w:ind w:left="69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2218594" cy="2942081"/>
                  <wp:effectExtent l="0" t="0" r="0" b="0"/>
                  <wp:docPr id="143" name="Image 143" descr="Grupo de pessoas em pé na rua  O conteúdo gerado por IA pode estar incorreto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" name="Image 143" descr="Grupo de pessoas em pé na rua  O conteúdo gerado por IA pode estar incorreto.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594" cy="2942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4937" w:type="dxa"/>
          </w:tcPr>
          <w:p>
            <w:pPr>
              <w:pStyle w:val="TableParagraph"/>
              <w:ind w:left="11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2974249" cy="2242184"/>
                  <wp:effectExtent l="0" t="0" r="0" b="0"/>
                  <wp:docPr id="144" name="Image 144" descr="Grupo de pessoas em pé lado a lado  O conteúdo gerado por IA pode estar incorreto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" name="Image 144" descr="Grupo de pessoas em pé lado a lado  O conteúdo gerado por IA pode estar incorreto.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249" cy="2242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9874" w:type="dxa"/>
            <w:gridSpan w:val="2"/>
          </w:tcPr>
          <w:p>
            <w:pPr>
              <w:pStyle w:val="TableParagraph"/>
              <w:spacing w:line="227" w:lineRule="exact"/>
              <w:ind w:left="59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Figura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02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-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Integração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início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das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obras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reformas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postos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enfermagem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</w:t>
            </w:r>
            <w:r>
              <w:rPr>
                <w:rFonts w:ascii="Arial MT" w:hAnsi="Arial MT"/>
                <w:spacing w:val="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painéis</w:t>
            </w:r>
            <w:r>
              <w:rPr>
                <w:rFonts w:ascii="Arial MT" w:hAnsi="Arial MT"/>
                <w:spacing w:val="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baixa </w:t>
            </w:r>
            <w:r>
              <w:rPr>
                <w:rFonts w:ascii="Arial MT" w:hAnsi="Arial MT"/>
                <w:spacing w:val="-2"/>
                <w:sz w:val="20"/>
              </w:rPr>
              <w:t>tensão</w:t>
            </w:r>
          </w:p>
        </w:tc>
      </w:tr>
    </w:tbl>
    <w:p>
      <w:pPr>
        <w:pStyle w:val="BodyText"/>
        <w:spacing w:before="15" w:after="1"/>
        <w:rPr>
          <w:sz w:val="20"/>
        </w:rPr>
      </w:pPr>
    </w:p>
    <w:tbl>
      <w:tblPr>
        <w:tblW w:w="0" w:type="auto"/>
        <w:jc w:val="left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2"/>
        <w:gridCol w:w="4932"/>
      </w:tblGrid>
      <w:tr>
        <w:trPr>
          <w:trHeight w:val="4696" w:hRule="atLeast"/>
        </w:trPr>
        <w:tc>
          <w:tcPr>
            <w:tcW w:w="4932" w:type="dxa"/>
          </w:tcPr>
          <w:p>
            <w:pPr>
              <w:pStyle w:val="TableParagraph"/>
              <w:ind w:left="7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2222865" cy="2971800"/>
                  <wp:effectExtent l="0" t="0" r="0" b="0"/>
                  <wp:docPr id="145" name="Image 1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865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4932" w:type="dxa"/>
          </w:tcPr>
          <w:p>
            <w:pPr>
              <w:pStyle w:val="TableParagraph"/>
              <w:ind w:left="7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2222865" cy="2971800"/>
                  <wp:effectExtent l="0" t="0" r="0" b="0"/>
                  <wp:docPr id="146" name="Image 146" descr="Uma imagem contendo edifício, no interior, mesa, estacionado  O conteúdo gerado por IA pode estar incorreto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" name="Image 146" descr="Uma imagem contendo edifício, no interior, mesa, estacionado  O conteúdo gerado por IA pode estar incorreto.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865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9864" w:type="dxa"/>
            <w:gridSpan w:val="2"/>
          </w:tcPr>
          <w:p>
            <w:pPr>
              <w:pStyle w:val="TableParagraph"/>
              <w:spacing w:line="227" w:lineRule="exact"/>
              <w:ind w:left="15" w:righ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Figura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03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-Aumento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da</w:t>
            </w:r>
            <w:r>
              <w:rPr>
                <w:rFonts w:ascii="Arial MT"/>
                <w:spacing w:val="-4"/>
                <w:sz w:val="20"/>
              </w:rPr>
              <w:t> </w:t>
            </w:r>
            <w:r>
              <w:rPr>
                <w:rFonts w:ascii="Arial MT"/>
                <w:sz w:val="20"/>
              </w:rPr>
              <w:t>carga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instalada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grupo</w:t>
            </w:r>
            <w:r>
              <w:rPr>
                <w:rFonts w:ascii="Arial MT"/>
                <w:spacing w:val="-4"/>
                <w:sz w:val="20"/>
              </w:rPr>
              <w:t> </w:t>
            </w:r>
            <w:r>
              <w:rPr>
                <w:rFonts w:ascii="Arial MT"/>
                <w:sz w:val="20"/>
              </w:rPr>
              <w:t>gerador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2</w:t>
            </w:r>
            <w:r>
              <w:rPr>
                <w:rFonts w:ascii="Arial MT"/>
                <w:spacing w:val="-1"/>
                <w:sz w:val="20"/>
              </w:rPr>
              <w:t> </w:t>
            </w:r>
            <w:r>
              <w:rPr>
                <w:rFonts w:ascii="Arial MT"/>
                <w:sz w:val="20"/>
              </w:rPr>
              <w:t>Mega</w:t>
            </w:r>
            <w:r>
              <w:rPr>
                <w:rFonts w:ascii="Arial MT"/>
                <w:spacing w:val="-4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Watts</w:t>
            </w:r>
          </w:p>
        </w:tc>
      </w:tr>
    </w:tbl>
    <w:p>
      <w:pPr>
        <w:pStyle w:val="TableParagraph"/>
        <w:spacing w:after="0" w:line="227" w:lineRule="exact"/>
        <w:jc w:val="center"/>
        <w:rPr>
          <w:rFonts w:ascii="Arial MT"/>
          <w:sz w:val="20"/>
        </w:rPr>
        <w:sectPr>
          <w:headerReference w:type="default" r:id="rId51"/>
          <w:footerReference w:type="default" r:id="rId52"/>
          <w:pgSz w:w="11910" w:h="16840"/>
          <w:pgMar w:header="0" w:footer="580" w:top="1060" w:bottom="780" w:left="566" w:right="566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604519</wp:posOffset>
            </wp:positionH>
            <wp:positionV relativeFrom="page">
              <wp:posOffset>677544</wp:posOffset>
            </wp:positionV>
            <wp:extent cx="6213821" cy="874776"/>
            <wp:effectExtent l="0" t="0" r="0" b="0"/>
            <wp:wrapNone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3821" cy="874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7"/>
        <w:gridCol w:w="4937"/>
      </w:tblGrid>
      <w:tr>
        <w:trPr>
          <w:trHeight w:val="4696" w:hRule="atLeast"/>
        </w:trPr>
        <w:tc>
          <w:tcPr>
            <w:tcW w:w="4937" w:type="dxa"/>
          </w:tcPr>
          <w:p>
            <w:pPr>
              <w:pStyle w:val="TableParagraph"/>
              <w:ind w:left="71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2222013" cy="2971800"/>
                  <wp:effectExtent l="0" t="0" r="0" b="0"/>
                  <wp:docPr id="149" name="Image 1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013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4937" w:type="dxa"/>
          </w:tcPr>
          <w:p>
            <w:pPr>
              <w:pStyle w:val="TableParagraph"/>
              <w:ind w:left="71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2212517" cy="2971800"/>
                  <wp:effectExtent l="0" t="0" r="0" b="0"/>
                  <wp:docPr id="150" name="Image 150" descr="Uma imagem contendo no interior, pequeno, edifício, cozinha  O conteúdo gerado por IA pode estar incorreto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" name="Image 150" descr="Uma imagem contendo no interior, pequeno, edifício, cozinha  O conteúdo gerado por IA pode estar incorreto.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517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9874" w:type="dxa"/>
            <w:gridSpan w:val="2"/>
          </w:tcPr>
          <w:p>
            <w:pPr>
              <w:pStyle w:val="TableParagraph"/>
              <w:spacing w:line="227" w:lineRule="exact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Figura</w:t>
            </w:r>
            <w:r>
              <w:rPr>
                <w:rFonts w:ascii="Arial MT"/>
                <w:spacing w:val="-1"/>
                <w:sz w:val="20"/>
              </w:rPr>
              <w:t> </w:t>
            </w:r>
            <w:r>
              <w:rPr>
                <w:rFonts w:ascii="Arial MT"/>
                <w:sz w:val="20"/>
              </w:rPr>
              <w:t>04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-</w:t>
            </w:r>
            <w:r>
              <w:rPr>
                <w:rFonts w:ascii="Arial MT"/>
                <w:spacing w:val="-1"/>
                <w:sz w:val="20"/>
              </w:rPr>
              <w:t> </w:t>
            </w:r>
            <w:r>
              <w:rPr>
                <w:rFonts w:ascii="Arial MT"/>
                <w:sz w:val="20"/>
              </w:rPr>
              <w:t>Reforma</w:t>
            </w:r>
            <w:r>
              <w:rPr>
                <w:rFonts w:ascii="Arial MT"/>
                <w:spacing w:val="-4"/>
                <w:sz w:val="20"/>
              </w:rPr>
              <w:t> </w:t>
            </w:r>
            <w:r>
              <w:rPr>
                <w:rFonts w:ascii="Arial MT"/>
                <w:sz w:val="20"/>
              </w:rPr>
              <w:t>de</w:t>
            </w:r>
            <w:r>
              <w:rPr>
                <w:rFonts w:ascii="Arial MT"/>
                <w:spacing w:val="-4"/>
                <w:sz w:val="20"/>
              </w:rPr>
              <w:t> </w:t>
            </w:r>
            <w:r>
              <w:rPr>
                <w:rFonts w:ascii="Arial MT"/>
                <w:sz w:val="20"/>
              </w:rPr>
              <w:t>postos de</w:t>
            </w:r>
            <w:r>
              <w:rPr>
                <w:rFonts w:ascii="Arial MT"/>
                <w:spacing w:val="-4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enfermagem.</w:t>
            </w:r>
          </w:p>
        </w:tc>
      </w:tr>
    </w:tbl>
    <w:p>
      <w:pPr>
        <w:pStyle w:val="BodyText"/>
        <w:spacing w:before="15" w:after="1"/>
        <w:rPr>
          <w:sz w:val="20"/>
        </w:rPr>
      </w:pPr>
    </w:p>
    <w:tbl>
      <w:tblPr>
        <w:tblW w:w="0" w:type="auto"/>
        <w:jc w:val="left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2"/>
        <w:gridCol w:w="4932"/>
      </w:tblGrid>
      <w:tr>
        <w:trPr>
          <w:trHeight w:val="4696" w:hRule="atLeast"/>
        </w:trPr>
        <w:tc>
          <w:tcPr>
            <w:tcW w:w="4932" w:type="dxa"/>
          </w:tcPr>
          <w:p>
            <w:pPr>
              <w:pStyle w:val="TableParagraph"/>
              <w:ind w:left="68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2253961" cy="2975229"/>
                  <wp:effectExtent l="0" t="0" r="0" b="0"/>
                  <wp:docPr id="151" name="Image 151" descr="Uma imagem contendo no interior, teto, quarto, móveis  O conteúdo gerado por IA pode estar incorreto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" name="Image 151" descr="Uma imagem contendo no interior, teto, quarto, móveis  O conteúdo gerado por IA pode estar incorreto.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961" cy="2975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4932" w:type="dxa"/>
          </w:tcPr>
          <w:p>
            <w:pPr>
              <w:pStyle w:val="TableParagraph"/>
              <w:ind w:left="67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2241442" cy="2946273"/>
                  <wp:effectExtent l="0" t="0" r="0" b="0"/>
                  <wp:docPr id="152" name="Image 1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442" cy="294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9864" w:type="dxa"/>
            <w:gridSpan w:val="2"/>
          </w:tcPr>
          <w:p>
            <w:pPr>
              <w:pStyle w:val="TableParagraph"/>
              <w:spacing w:line="227" w:lineRule="exact"/>
              <w:ind w:left="15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Figura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05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–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Reforma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dos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repousos</w:t>
            </w:r>
            <w:r>
              <w:rPr>
                <w:rFonts w:ascii="Arial MT" w:hAnsi="Arial MT"/>
                <w:spacing w:val="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médicos e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enfermagem</w:t>
            </w:r>
          </w:p>
        </w:tc>
      </w:tr>
    </w:tbl>
    <w:p>
      <w:pPr>
        <w:pStyle w:val="TableParagraph"/>
        <w:spacing w:after="0" w:line="227" w:lineRule="exact"/>
        <w:jc w:val="center"/>
        <w:rPr>
          <w:rFonts w:ascii="Arial MT" w:hAnsi="Arial MT"/>
          <w:sz w:val="20"/>
        </w:rPr>
        <w:sectPr>
          <w:headerReference w:type="default" r:id="rId57"/>
          <w:footerReference w:type="default" r:id="rId58"/>
          <w:pgSz w:w="11910" w:h="16840"/>
          <w:pgMar w:header="0" w:footer="580" w:top="1060" w:bottom="780" w:left="566" w:right="566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604519</wp:posOffset>
            </wp:positionH>
            <wp:positionV relativeFrom="page">
              <wp:posOffset>677544</wp:posOffset>
            </wp:positionV>
            <wp:extent cx="6213821" cy="874776"/>
            <wp:effectExtent l="0" t="0" r="0" b="0"/>
            <wp:wrapNone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3821" cy="874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2"/>
        <w:gridCol w:w="4932"/>
      </w:tblGrid>
      <w:tr>
        <w:trPr>
          <w:trHeight w:val="4696" w:hRule="atLeast"/>
        </w:trPr>
        <w:tc>
          <w:tcPr>
            <w:tcW w:w="4932" w:type="dxa"/>
          </w:tcPr>
          <w:p>
            <w:pPr>
              <w:pStyle w:val="TableParagraph"/>
              <w:ind w:left="11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647487" cy="2946273"/>
                  <wp:effectExtent l="0" t="0" r="0" b="0"/>
                  <wp:docPr id="155" name="Image 155" descr="Uma imagem contendo pessoa, homem, criança, menino  O conteúdo gerado por IA pode estar incorreto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" name="Image 155" descr="Uma imagem contendo pessoa, homem, criança, menino  O conteúdo gerado por IA pode estar incorreto.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487" cy="294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4932" w:type="dxa"/>
          </w:tcPr>
          <w:p>
            <w:pPr>
              <w:pStyle w:val="TableParagraph"/>
              <w:ind w:left="91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954312" cy="2969037"/>
                  <wp:effectExtent l="0" t="0" r="0" b="0"/>
                  <wp:docPr id="156" name="Image 156" descr="Uma imagem contendo ao ar livre, homem, pessoa, fogo  O conteúdo gerado por IA pode estar incorreto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" name="Image 156" descr="Uma imagem contendo ao ar livre, homem, pessoa, fogo  O conteúdo gerado por IA pode estar incorreto.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312" cy="2969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9864" w:type="dxa"/>
            <w:gridSpan w:val="2"/>
          </w:tcPr>
          <w:p>
            <w:pPr>
              <w:pStyle w:val="TableParagraph"/>
              <w:spacing w:line="227" w:lineRule="exact"/>
              <w:ind w:left="15" w:right="8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Figura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06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–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Vazamentos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encontrados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na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unidade.</w:t>
            </w:r>
          </w:p>
        </w:tc>
      </w:tr>
      <w:tr>
        <w:trPr>
          <w:trHeight w:val="4591" w:hRule="atLeast"/>
        </w:trPr>
        <w:tc>
          <w:tcPr>
            <w:tcW w:w="4932" w:type="dxa"/>
          </w:tcPr>
          <w:p>
            <w:pPr>
              <w:pStyle w:val="TableParagraph"/>
              <w:ind w:left="75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2165914" cy="2913030"/>
                  <wp:effectExtent l="0" t="0" r="0" b="0"/>
                  <wp:docPr id="157" name="Image 157" descr="Uma imagem contendo no interior, edifício, cozinha, grande  O conteúdo gerado por IA pode estar incorreto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" name="Image 157" descr="Uma imagem contendo no interior, edifício, cozinha, grande  O conteúdo gerado por IA pode estar incorreto.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914" cy="291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4932" w:type="dxa"/>
          </w:tcPr>
          <w:p>
            <w:pPr>
              <w:pStyle w:val="TableParagraph"/>
              <w:ind w:left="7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2177251" cy="2890361"/>
                  <wp:effectExtent l="0" t="0" r="0" b="0"/>
                  <wp:docPr id="158" name="Image 1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251" cy="2890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9864" w:type="dxa"/>
            <w:gridSpan w:val="2"/>
          </w:tcPr>
          <w:p>
            <w:pPr>
              <w:pStyle w:val="TableParagraph"/>
              <w:spacing w:line="227" w:lineRule="exact"/>
              <w:ind w:left="15" w:right="1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Figura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06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–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Conclusão Obra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Subestação.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spacing w:before="179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933" w:val="left" w:leader="none"/>
        </w:tabs>
        <w:spacing w:line="240" w:lineRule="auto" w:before="0" w:after="0"/>
        <w:ind w:left="933" w:right="0" w:hanging="199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4"/>
        </w:rPr>
        <w:t>Núcleo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Práticas,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Qualidade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Segurança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pacing w:val="-2"/>
          <w:sz w:val="24"/>
        </w:rPr>
        <w:t>Paciente</w:t>
      </w:r>
    </w:p>
    <w:p>
      <w:pPr>
        <w:pStyle w:val="BodyText"/>
        <w:spacing w:line="235" w:lineRule="auto" w:before="242"/>
        <w:ind w:left="734" w:right="118" w:firstLine="720"/>
      </w:pPr>
      <w:r>
        <w:rPr/>
        <w:t>O Núcleo de Práticas, Qualidade e Segurança tem como principal objetivo promover a excelência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assistência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meio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/>
        <w:t>padronização</w:t>
      </w:r>
      <w:r>
        <w:rPr>
          <w:spacing w:val="-6"/>
        </w:rPr>
        <w:t> </w:t>
      </w:r>
      <w:r>
        <w:rPr/>
        <w:t>de</w:t>
      </w:r>
      <w:r>
        <w:rPr>
          <w:spacing w:val="-1"/>
        </w:rPr>
        <w:t> </w:t>
      </w:r>
      <w:r>
        <w:rPr/>
        <w:t>processos,</w:t>
      </w:r>
      <w:r>
        <w:rPr>
          <w:spacing w:val="-5"/>
        </w:rPr>
        <w:t> </w:t>
      </w:r>
      <w:r>
        <w:rPr/>
        <w:t>fortalecimentos</w:t>
      </w:r>
      <w:r>
        <w:rPr>
          <w:spacing w:val="-9"/>
        </w:rPr>
        <w:t> </w:t>
      </w:r>
      <w:r>
        <w:rPr/>
        <w:t>das</w:t>
      </w:r>
      <w:r>
        <w:rPr>
          <w:spacing w:val="-4"/>
        </w:rPr>
        <w:t> </w:t>
      </w:r>
      <w:r>
        <w:rPr/>
        <w:t>boas</w:t>
      </w:r>
      <w:r>
        <w:rPr>
          <w:spacing w:val="-9"/>
        </w:rPr>
        <w:t> </w:t>
      </w:r>
      <w:r>
        <w:rPr/>
        <w:t>práticas e da cultura de segurança. Visando isso, segue abaixo, as ações realizadas no mês de junho:</w:t>
      </w:r>
    </w:p>
    <w:p>
      <w:pPr>
        <w:pStyle w:val="BodyText"/>
      </w:pPr>
    </w:p>
    <w:p>
      <w:pPr>
        <w:pStyle w:val="BodyText"/>
        <w:spacing w:before="21"/>
      </w:pPr>
    </w:p>
    <w:p>
      <w:pPr>
        <w:pStyle w:val="ListParagraph"/>
        <w:numPr>
          <w:ilvl w:val="1"/>
          <w:numId w:val="1"/>
        </w:numPr>
        <w:tabs>
          <w:tab w:pos="1101" w:val="left" w:leader="none"/>
        </w:tabs>
        <w:spacing w:line="240" w:lineRule="auto" w:before="1" w:after="0"/>
        <w:ind w:left="1101" w:right="0" w:hanging="367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Reuniões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que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ocorreram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das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2"/>
          <w:sz w:val="22"/>
        </w:rPr>
        <w:t>Comissões</w:t>
      </w:r>
    </w:p>
    <w:p>
      <w:pPr>
        <w:pStyle w:val="ListParagraph"/>
        <w:spacing w:after="0" w:line="240" w:lineRule="auto"/>
        <w:jc w:val="left"/>
        <w:rPr>
          <w:rFonts w:ascii="Arial" w:hAnsi="Arial"/>
          <w:b/>
          <w:sz w:val="22"/>
        </w:rPr>
        <w:sectPr>
          <w:headerReference w:type="default" r:id="rId63"/>
          <w:footerReference w:type="default" r:id="rId64"/>
          <w:pgSz w:w="11910" w:h="16840"/>
          <w:pgMar w:header="0" w:footer="580" w:top="1060" w:bottom="780" w:left="566" w:right="566"/>
        </w:sectPr>
      </w:pPr>
    </w:p>
    <w:p>
      <w:pPr>
        <w:pStyle w:val="BodyText"/>
        <w:ind w:left="386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318885" cy="3161030"/>
                <wp:effectExtent l="0" t="0" r="0" b="1269"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6318885" cy="3161030"/>
                          <a:chExt cx="6318885" cy="3161030"/>
                        </a:xfrm>
                      </wpg:grpSpPr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3667" cy="877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79" y="871855"/>
                            <a:ext cx="6097905" cy="2289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97.55pt;height:248.9pt;mso-position-horizontal-relative:char;mso-position-vertical-relative:line" id="docshapegroup124" coordorigin="0,0" coordsize="9951,4978">
                <v:shape style="position:absolute;left:0;top:0;width:9817;height:1382" type="#_x0000_t75" id="docshape125" stroked="false">
                  <v:imagedata r:id="rId29" o:title=""/>
                </v:shape>
                <v:shape style="position:absolute;left:348;top:1373;width:9603;height:3605" type="#_x0000_t75" id="docshape126" stroked="false">
                  <v:imagedata r:id="rId71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tabs>
          <w:tab w:pos="5991" w:val="left" w:leader="none"/>
        </w:tabs>
        <w:ind w:left="734"/>
      </w:pPr>
      <w:r>
        <w:rPr/>
        <w:t>Reunião</w:t>
      </w:r>
      <w:r>
        <w:rPr>
          <w:spacing w:val="-10"/>
        </w:rPr>
        <w:t> </w:t>
      </w:r>
      <w:r>
        <w:rPr/>
        <w:t>da</w:t>
      </w:r>
      <w:r>
        <w:rPr>
          <w:spacing w:val="-4"/>
        </w:rPr>
        <w:t> </w:t>
      </w:r>
      <w:r>
        <w:rPr/>
        <w:t>Comissão</w:t>
      </w:r>
      <w:r>
        <w:rPr>
          <w:spacing w:val="-10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Óbitos</w:t>
      </w:r>
      <w:r>
        <w:rPr/>
        <w:tab/>
        <w:t>Reunião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Comissão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Ética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Enfermagem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825500</wp:posOffset>
            </wp:positionH>
            <wp:positionV relativeFrom="paragraph">
              <wp:posOffset>161316</wp:posOffset>
            </wp:positionV>
            <wp:extent cx="3875380" cy="2045207"/>
            <wp:effectExtent l="0" t="0" r="0" b="0"/>
            <wp:wrapTopAndBottom/>
            <wp:docPr id="163" name="Image 163" descr="Grupo de pessoas posando para foto  O conteúdo gerado por IA pode estar incorre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 descr="Grupo de pessoas posando para foto  O conteúdo gerado por IA pode estar incorreto.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5380" cy="2045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734"/>
      </w:pPr>
      <w:r>
        <w:rPr/>
        <w:t>Reunião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/>
        <w:t>Comissão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Analise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revisão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prontuário</w:t>
      </w:r>
    </w:p>
    <w:p>
      <w:pPr>
        <w:pStyle w:val="BodyText"/>
        <w:spacing w:before="20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825500</wp:posOffset>
            </wp:positionH>
            <wp:positionV relativeFrom="paragraph">
              <wp:posOffset>289547</wp:posOffset>
            </wp:positionV>
            <wp:extent cx="3552059" cy="2537460"/>
            <wp:effectExtent l="0" t="0" r="0" b="0"/>
            <wp:wrapTopAndBottom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059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734"/>
      </w:pPr>
      <w:r>
        <w:rPr/>
        <w:t>Reunião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comissão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Padronização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Produtos</w:t>
      </w:r>
      <w:r>
        <w:rPr>
          <w:spacing w:val="-9"/>
        </w:rPr>
        <w:t> </w:t>
      </w:r>
      <w:r>
        <w:rPr/>
        <w:t>para</w:t>
      </w:r>
      <w:r>
        <w:rPr>
          <w:spacing w:val="-2"/>
        </w:rPr>
        <w:t> Saúde</w:t>
      </w:r>
    </w:p>
    <w:p>
      <w:pPr>
        <w:spacing w:before="199"/>
        <w:ind w:left="73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Reunião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Gestão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documental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Compliance +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pacing w:val="-2"/>
          <w:sz w:val="22"/>
        </w:rPr>
        <w:t>Qualidade</w:t>
      </w:r>
    </w:p>
    <w:p>
      <w:pPr>
        <w:spacing w:after="0"/>
        <w:jc w:val="left"/>
        <w:rPr>
          <w:rFonts w:ascii="Arial" w:hAnsi="Arial"/>
          <w:b/>
          <w:sz w:val="22"/>
        </w:rPr>
        <w:sectPr>
          <w:headerReference w:type="default" r:id="rId69"/>
          <w:footerReference w:type="default" r:id="rId70"/>
          <w:pgSz w:w="11910" w:h="16840"/>
          <w:pgMar w:header="0" w:footer="580" w:top="1060" w:bottom="780" w:left="566" w:right="566"/>
        </w:sectPr>
      </w:pPr>
    </w:p>
    <w:p>
      <w:pPr>
        <w:pStyle w:val="BodyText"/>
        <w:ind w:left="386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233795" cy="3480435"/>
                <wp:effectExtent l="0" t="0" r="0" b="5714"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6233795" cy="3480435"/>
                          <a:chExt cx="6233795" cy="3480435"/>
                        </a:xfrm>
                      </wpg:grpSpPr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3667" cy="877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79" y="871855"/>
                            <a:ext cx="4897628" cy="26085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90.85pt;height:274.05pt;mso-position-horizontal-relative:char;mso-position-vertical-relative:line" id="docshapegroup128" coordorigin="0,0" coordsize="9817,5481">
                <v:shape style="position:absolute;left:0;top:0;width:9817;height:1382" type="#_x0000_t75" id="docshape129" stroked="false">
                  <v:imagedata r:id="rId29" o:title=""/>
                </v:shape>
                <v:shape style="position:absolute;left:348;top:1373;width:7713;height:4108" type="#_x0000_t75" id="docshape130" stroked="false">
                  <v:imagedata r:id="rId76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23"/>
        <w:rPr>
          <w:rFonts w:ascii="Arial"/>
          <w:b/>
        </w:rPr>
      </w:pPr>
    </w:p>
    <w:p>
      <w:pPr>
        <w:spacing w:before="0"/>
        <w:ind w:left="79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Formação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das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Tríades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– Inicio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em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maio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conclusão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em</w:t>
      </w:r>
      <w:r>
        <w:rPr>
          <w:rFonts w:ascii="Arial" w:hAnsi="Arial"/>
          <w:b/>
          <w:spacing w:val="-2"/>
          <w:sz w:val="22"/>
        </w:rPr>
        <w:t> junho/25</w:t>
      </w:r>
    </w:p>
    <w:p>
      <w:pPr>
        <w:pStyle w:val="BodyText"/>
        <w:spacing w:before="1"/>
        <w:rPr>
          <w:rFonts w:ascii="Arial"/>
          <w:b/>
          <w:sz w:val="19"/>
        </w:rPr>
      </w:pPr>
      <w:r>
        <w:rPr>
          <w:rFonts w:ascii="Arial"/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825500</wp:posOffset>
                </wp:positionH>
                <wp:positionV relativeFrom="paragraph">
                  <wp:posOffset>154980</wp:posOffset>
                </wp:positionV>
                <wp:extent cx="5927090" cy="2211705"/>
                <wp:effectExtent l="0" t="0" r="0" b="0"/>
                <wp:wrapTopAndBottom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5927090" cy="2211705"/>
                          <a:chExt cx="5927090" cy="2211705"/>
                        </a:xfrm>
                      </wpg:grpSpPr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219" cy="2211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600" y="56514"/>
                            <a:ext cx="1507329" cy="2155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5pt;margin-top:12.203222pt;width:466.7pt;height:174.15pt;mso-position-horizontal-relative:page;mso-position-vertical-relative:paragraph;z-index:-15718400;mso-wrap-distance-left:0;mso-wrap-distance-right:0" id="docshapegroup131" coordorigin="1300,244" coordsize="9334,3483">
                <v:shape style="position:absolute;left:1300;top:244;width:6960;height:3483" type="#_x0000_t75" id="docshape132" stroked="false">
                  <v:imagedata r:id="rId77" o:title=""/>
                </v:shape>
                <v:shape style="position:absolute;left:8260;top:333;width:2374;height:3394" type="#_x0000_t75" id="docshape133" stroked="false">
                  <v:imagedata r:id="rId78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39"/>
        <w:rPr>
          <w:rFonts w:ascii="Arial"/>
          <w:b/>
        </w:rPr>
      </w:pPr>
    </w:p>
    <w:p>
      <w:pPr>
        <w:spacing w:before="0"/>
        <w:ind w:left="794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Treinamento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Protocolo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pacing w:val="-4"/>
          <w:sz w:val="22"/>
        </w:rPr>
        <w:t>Queda</w:t>
      </w:r>
    </w:p>
    <w:p>
      <w:pPr>
        <w:pStyle w:val="BodyText"/>
        <w:spacing w:before="9"/>
        <w:rPr>
          <w:rFonts w:ascii="Arial"/>
          <w:b/>
          <w:sz w:val="18"/>
        </w:rPr>
      </w:pPr>
      <w:r>
        <w:rPr>
          <w:rFonts w:ascii="Arial"/>
          <w:b/>
          <w:sz w:val="18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825500</wp:posOffset>
            </wp:positionH>
            <wp:positionV relativeFrom="paragraph">
              <wp:posOffset>152439</wp:posOffset>
            </wp:positionV>
            <wp:extent cx="3871308" cy="2072449"/>
            <wp:effectExtent l="0" t="0" r="0" b="0"/>
            <wp:wrapTopAndBottom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1308" cy="2072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"/>
          <w:b/>
          <w:sz w:val="18"/>
        </w:rPr>
        <w:sectPr>
          <w:headerReference w:type="default" r:id="rId74"/>
          <w:footerReference w:type="default" r:id="rId75"/>
          <w:pgSz w:w="11910" w:h="16840"/>
          <w:pgMar w:header="0" w:footer="580" w:top="1060" w:bottom="780" w:left="566" w:right="566"/>
        </w:sectPr>
      </w:pPr>
    </w:p>
    <w:p>
      <w:pPr>
        <w:pStyle w:val="BodyText"/>
        <w:ind w:left="386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233795" cy="2786380"/>
                <wp:effectExtent l="0" t="0" r="0" b="4444"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6233795" cy="2786380"/>
                          <a:chExt cx="6233795" cy="2786380"/>
                        </a:xfrm>
                      </wpg:grpSpPr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3667" cy="877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79" y="871855"/>
                            <a:ext cx="3838066" cy="1914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90.85pt;height:219.4pt;mso-position-horizontal-relative:char;mso-position-vertical-relative:line" id="docshapegroup135" coordorigin="0,0" coordsize="9817,4388">
                <v:shape style="position:absolute;left:0;top:0;width:9817;height:1382" type="#_x0000_t75" id="docshape136" stroked="false">
                  <v:imagedata r:id="rId29" o:title=""/>
                </v:shape>
                <v:shape style="position:absolute;left:348;top:1373;width:6045;height:3015" type="#_x0000_t75" id="docshape137" stroked="false">
                  <v:imagedata r:id="rId82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26"/>
        <w:rPr>
          <w:rFonts w:ascii="Arial"/>
          <w:b/>
        </w:rPr>
      </w:pPr>
    </w:p>
    <w:p>
      <w:pPr>
        <w:spacing w:before="0"/>
        <w:ind w:left="79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Plano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Ação - Meta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10"/>
          <w:sz w:val="22"/>
        </w:rPr>
        <w:t>2</w:t>
      </w:r>
    </w:p>
    <w:p>
      <w:pPr>
        <w:pStyle w:val="BodyText"/>
        <w:rPr>
          <w:rFonts w:ascii="Arial"/>
          <w:b/>
          <w:sz w:val="19"/>
        </w:rPr>
      </w:pPr>
      <w:r>
        <w:rPr>
          <w:rFonts w:ascii="Arial"/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825500</wp:posOffset>
                </wp:positionH>
                <wp:positionV relativeFrom="paragraph">
                  <wp:posOffset>154345</wp:posOffset>
                </wp:positionV>
                <wp:extent cx="5676900" cy="5187950"/>
                <wp:effectExtent l="0" t="0" r="0" b="0"/>
                <wp:wrapTopAndBottom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5676900" cy="5187950"/>
                          <a:chExt cx="5676900" cy="5187950"/>
                        </a:xfrm>
                      </wpg:grpSpPr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0995" cy="30549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54985"/>
                            <a:ext cx="5676900" cy="21324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5pt;margin-top:12.153223pt;width:447pt;height:408.5pt;mso-position-horizontal-relative:page;mso-position-vertical-relative:paragraph;z-index:-15716864;mso-wrap-distance-left:0;mso-wrap-distance-right:0" id="docshapegroup138" coordorigin="1300,243" coordsize="8940,8170">
                <v:shape style="position:absolute;left:1300;top:243;width:6537;height:4811" type="#_x0000_t75" id="docshape139" stroked="false">
                  <v:imagedata r:id="rId83" o:title=""/>
                </v:shape>
                <v:shape style="position:absolute;left:1300;top:5054;width:8940;height:3359" type="#_x0000_t75" id="docshape140" stroked="false">
                  <v:imagedata r:id="rId84" o:title=""/>
                </v:shape>
                <w10:wrap type="topAndBottom"/>
              </v:group>
            </w:pict>
          </mc:Fallback>
        </mc:AlternateContent>
      </w:r>
    </w:p>
    <w:p>
      <w:pPr>
        <w:spacing w:before="208"/>
        <w:ind w:left="79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Reunião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Comitê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Qualidade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pacing w:val="-2"/>
          <w:sz w:val="22"/>
        </w:rPr>
        <w:t>Segurança</w:t>
      </w:r>
    </w:p>
    <w:p>
      <w:pPr>
        <w:spacing w:after="0"/>
        <w:jc w:val="left"/>
        <w:rPr>
          <w:rFonts w:ascii="Arial" w:hAnsi="Arial"/>
          <w:b/>
          <w:sz w:val="22"/>
        </w:rPr>
        <w:sectPr>
          <w:headerReference w:type="default" r:id="rId80"/>
          <w:footerReference w:type="default" r:id="rId81"/>
          <w:pgSz w:w="11910" w:h="16840"/>
          <w:pgMar w:header="0" w:footer="580" w:top="1060" w:bottom="780" w:left="566" w:right="566"/>
        </w:sectPr>
      </w:pPr>
    </w:p>
    <w:p>
      <w:pPr>
        <w:pStyle w:val="BodyText"/>
        <w:ind w:left="386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233795" cy="3288029"/>
                <wp:effectExtent l="0" t="0" r="0" b="7620"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6233795" cy="3288029"/>
                          <a:chExt cx="6233795" cy="3288029"/>
                        </a:xfrm>
                      </wpg:grpSpPr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3667" cy="877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79" y="871855"/>
                            <a:ext cx="3325876" cy="2416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90.85pt;height:258.9pt;mso-position-horizontal-relative:char;mso-position-vertical-relative:line" id="docshapegroup142" coordorigin="0,0" coordsize="9817,5178">
                <v:shape style="position:absolute;left:0;top:0;width:9817;height:1382" type="#_x0000_t75" id="docshape143" stroked="false">
                  <v:imagedata r:id="rId29" o:title=""/>
                </v:shape>
                <v:shape style="position:absolute;left:348;top:1373;width:5238;height:3805" type="#_x0000_t75" id="docshape144" stroked="false">
                  <v:imagedata r:id="rId87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46"/>
        <w:rPr>
          <w:rFonts w:ascii="Arial"/>
          <w:b/>
        </w:rPr>
      </w:pPr>
    </w:p>
    <w:p>
      <w:pPr>
        <w:pStyle w:val="ListParagraph"/>
        <w:numPr>
          <w:ilvl w:val="0"/>
          <w:numId w:val="6"/>
        </w:numPr>
        <w:tabs>
          <w:tab w:pos="1453" w:val="left" w:leader="none"/>
        </w:tabs>
        <w:spacing w:line="249" w:lineRule="exact" w:before="0" w:after="0"/>
        <w:ind w:left="1453" w:right="0" w:hanging="359"/>
        <w:jc w:val="left"/>
        <w:rPr>
          <w:sz w:val="22"/>
        </w:rPr>
      </w:pPr>
      <w:r>
        <w:rPr>
          <w:sz w:val="22"/>
        </w:rPr>
        <w:t>Reunião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Comissão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Óbitos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junho/2025</w:t>
      </w:r>
    </w:p>
    <w:p>
      <w:pPr>
        <w:pStyle w:val="ListParagraph"/>
        <w:numPr>
          <w:ilvl w:val="0"/>
          <w:numId w:val="6"/>
        </w:numPr>
        <w:tabs>
          <w:tab w:pos="1453" w:val="left" w:leader="none"/>
        </w:tabs>
        <w:spacing w:line="248" w:lineRule="exact" w:before="0" w:after="0"/>
        <w:ind w:left="1453" w:right="0" w:hanging="359"/>
        <w:jc w:val="left"/>
        <w:rPr>
          <w:sz w:val="22"/>
        </w:rPr>
      </w:pPr>
      <w:r>
        <w:rPr>
          <w:sz w:val="22"/>
        </w:rPr>
        <w:t>Reunião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Comissão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Ética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Enfermagem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junho/2025</w:t>
      </w:r>
    </w:p>
    <w:p>
      <w:pPr>
        <w:pStyle w:val="ListParagraph"/>
        <w:numPr>
          <w:ilvl w:val="0"/>
          <w:numId w:val="6"/>
        </w:numPr>
        <w:tabs>
          <w:tab w:pos="1453" w:val="left" w:leader="none"/>
        </w:tabs>
        <w:spacing w:line="248" w:lineRule="exact" w:before="0" w:after="0"/>
        <w:ind w:left="1453" w:right="0" w:hanging="359"/>
        <w:jc w:val="left"/>
        <w:rPr>
          <w:sz w:val="22"/>
        </w:rPr>
      </w:pPr>
      <w:r>
        <w:rPr>
          <w:sz w:val="22"/>
        </w:rPr>
        <w:t>Reunião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</w:t>
      </w:r>
      <w:r>
        <w:rPr>
          <w:sz w:val="22"/>
        </w:rPr>
        <w:t>Comissão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Analise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3"/>
          <w:sz w:val="22"/>
        </w:rPr>
        <w:t> </w:t>
      </w:r>
      <w:r>
        <w:rPr>
          <w:sz w:val="22"/>
        </w:rPr>
        <w:t>revisão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prontuário</w:t>
      </w:r>
      <w:r>
        <w:rPr>
          <w:spacing w:val="-2"/>
          <w:sz w:val="22"/>
        </w:rPr>
        <w:t> junho/25</w:t>
      </w:r>
    </w:p>
    <w:p>
      <w:pPr>
        <w:pStyle w:val="ListParagraph"/>
        <w:numPr>
          <w:ilvl w:val="0"/>
          <w:numId w:val="6"/>
        </w:numPr>
        <w:tabs>
          <w:tab w:pos="1453" w:val="left" w:leader="none"/>
        </w:tabs>
        <w:spacing w:line="245" w:lineRule="exact" w:before="0" w:after="0"/>
        <w:ind w:left="1453" w:right="0" w:hanging="359"/>
        <w:jc w:val="left"/>
        <w:rPr>
          <w:sz w:val="22"/>
        </w:rPr>
      </w:pPr>
      <w:r>
        <w:rPr>
          <w:sz w:val="22"/>
        </w:rPr>
        <w:t>Reunião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</w:t>
      </w:r>
      <w:r>
        <w:rPr>
          <w:sz w:val="22"/>
        </w:rPr>
        <w:t>comissão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Padronização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Produtos</w:t>
      </w:r>
      <w:r>
        <w:rPr>
          <w:spacing w:val="-10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Saúde</w:t>
      </w:r>
      <w:r>
        <w:rPr>
          <w:spacing w:val="8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junho/2025</w:t>
      </w:r>
    </w:p>
    <w:p>
      <w:pPr>
        <w:pStyle w:val="ListParagraph"/>
        <w:numPr>
          <w:ilvl w:val="0"/>
          <w:numId w:val="6"/>
        </w:numPr>
        <w:tabs>
          <w:tab w:pos="1453" w:val="left" w:leader="none"/>
        </w:tabs>
        <w:spacing w:line="245" w:lineRule="exact" w:before="0" w:after="0"/>
        <w:ind w:left="1453" w:right="0" w:hanging="359"/>
        <w:jc w:val="left"/>
        <w:rPr>
          <w:sz w:val="22"/>
        </w:rPr>
      </w:pPr>
      <w:r>
        <w:rPr>
          <w:sz w:val="22"/>
        </w:rPr>
        <w:t>Reunião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3"/>
          <w:sz w:val="22"/>
        </w:rPr>
        <w:t> </w:t>
      </w:r>
      <w:r>
        <w:rPr>
          <w:sz w:val="22"/>
        </w:rPr>
        <w:t>Gestão</w:t>
      </w:r>
      <w:r>
        <w:rPr>
          <w:spacing w:val="-2"/>
          <w:sz w:val="22"/>
        </w:rPr>
        <w:t> </w:t>
      </w:r>
      <w:r>
        <w:rPr>
          <w:sz w:val="22"/>
        </w:rPr>
        <w:t>documental</w:t>
      </w:r>
      <w:r>
        <w:rPr>
          <w:spacing w:val="-5"/>
          <w:sz w:val="22"/>
        </w:rPr>
        <w:t> </w:t>
      </w:r>
      <w:r>
        <w:rPr>
          <w:sz w:val="22"/>
        </w:rPr>
        <w:t>Compliance</w:t>
      </w:r>
      <w:r>
        <w:rPr>
          <w:spacing w:val="-2"/>
          <w:sz w:val="22"/>
        </w:rPr>
        <w:t> </w:t>
      </w:r>
      <w:r>
        <w:rPr>
          <w:sz w:val="22"/>
        </w:rPr>
        <w:t>+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Qualidade</w:t>
      </w:r>
    </w:p>
    <w:p>
      <w:pPr>
        <w:pStyle w:val="ListParagraph"/>
        <w:numPr>
          <w:ilvl w:val="0"/>
          <w:numId w:val="6"/>
        </w:numPr>
        <w:tabs>
          <w:tab w:pos="1453" w:val="left" w:leader="none"/>
        </w:tabs>
        <w:spacing w:line="245" w:lineRule="exact" w:before="0" w:after="0"/>
        <w:ind w:left="1453" w:right="0" w:hanging="359"/>
        <w:jc w:val="left"/>
        <w:rPr>
          <w:sz w:val="22"/>
        </w:rPr>
      </w:pPr>
      <w:r>
        <w:rPr>
          <w:sz w:val="22"/>
        </w:rPr>
        <w:t>Formação</w:t>
      </w:r>
      <w:r>
        <w:rPr>
          <w:spacing w:val="-3"/>
          <w:sz w:val="22"/>
        </w:rPr>
        <w:t> </w:t>
      </w:r>
      <w:r>
        <w:rPr>
          <w:sz w:val="22"/>
        </w:rPr>
        <w:t>das</w:t>
      </w:r>
      <w:r>
        <w:rPr>
          <w:spacing w:val="-3"/>
          <w:sz w:val="22"/>
        </w:rPr>
        <w:t> </w:t>
      </w:r>
      <w:r>
        <w:rPr>
          <w:sz w:val="22"/>
        </w:rPr>
        <w:t>Tríades</w:t>
      </w:r>
      <w:r>
        <w:rPr>
          <w:spacing w:val="-6"/>
          <w:sz w:val="22"/>
        </w:rPr>
        <w:t> </w:t>
      </w:r>
      <w:r>
        <w:rPr>
          <w:sz w:val="22"/>
        </w:rPr>
        <w:t>– Inicio</w:t>
      </w:r>
      <w:r>
        <w:rPr>
          <w:spacing w:val="-1"/>
          <w:sz w:val="22"/>
        </w:rPr>
        <w:t> </w:t>
      </w:r>
      <w:r>
        <w:rPr>
          <w:sz w:val="22"/>
        </w:rPr>
        <w:t>em</w:t>
      </w:r>
      <w:r>
        <w:rPr>
          <w:spacing w:val="-6"/>
          <w:sz w:val="22"/>
        </w:rPr>
        <w:t> </w:t>
      </w:r>
      <w:r>
        <w:rPr>
          <w:sz w:val="22"/>
        </w:rPr>
        <w:t>maio e</w:t>
      </w:r>
      <w:r>
        <w:rPr>
          <w:spacing w:val="-1"/>
          <w:sz w:val="22"/>
        </w:rPr>
        <w:t> </w:t>
      </w:r>
      <w:r>
        <w:rPr>
          <w:sz w:val="22"/>
        </w:rPr>
        <w:t>conclusão</w:t>
      </w:r>
      <w:r>
        <w:rPr>
          <w:spacing w:val="-5"/>
          <w:sz w:val="22"/>
        </w:rPr>
        <w:t> </w:t>
      </w:r>
      <w:r>
        <w:rPr>
          <w:sz w:val="22"/>
        </w:rPr>
        <w:t>em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junho/25</w:t>
      </w:r>
    </w:p>
    <w:p>
      <w:pPr>
        <w:pStyle w:val="ListParagraph"/>
        <w:numPr>
          <w:ilvl w:val="0"/>
          <w:numId w:val="6"/>
        </w:numPr>
        <w:tabs>
          <w:tab w:pos="1453" w:val="left" w:leader="none"/>
        </w:tabs>
        <w:spacing w:line="245" w:lineRule="exact" w:before="0" w:after="0"/>
        <w:ind w:left="1453" w:right="0" w:hanging="359"/>
        <w:jc w:val="left"/>
        <w:rPr>
          <w:sz w:val="22"/>
        </w:rPr>
      </w:pPr>
      <w:r>
        <w:rPr>
          <w:sz w:val="22"/>
        </w:rPr>
        <w:t>Treinamento</w:t>
      </w:r>
      <w:r>
        <w:rPr>
          <w:spacing w:val="-4"/>
          <w:sz w:val="22"/>
        </w:rPr>
        <w:t> </w:t>
      </w:r>
      <w:r>
        <w:rPr>
          <w:sz w:val="22"/>
        </w:rPr>
        <w:t>Protocolo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Queda</w:t>
      </w:r>
    </w:p>
    <w:p>
      <w:pPr>
        <w:pStyle w:val="ListParagraph"/>
        <w:numPr>
          <w:ilvl w:val="0"/>
          <w:numId w:val="6"/>
        </w:numPr>
        <w:tabs>
          <w:tab w:pos="1453" w:val="left" w:leader="none"/>
        </w:tabs>
        <w:spacing w:line="248" w:lineRule="exact" w:before="0" w:after="0"/>
        <w:ind w:left="1453" w:right="0" w:hanging="359"/>
        <w:jc w:val="left"/>
        <w:rPr>
          <w:sz w:val="22"/>
        </w:rPr>
      </w:pPr>
      <w:r>
        <w:rPr>
          <w:sz w:val="22"/>
        </w:rPr>
        <w:t>Plano</w:t>
      </w:r>
      <w:r>
        <w:rPr>
          <w:spacing w:val="-6"/>
          <w:sz w:val="22"/>
        </w:rPr>
        <w:t> </w:t>
      </w:r>
      <w:r>
        <w:rPr>
          <w:sz w:val="22"/>
        </w:rPr>
        <w:t>de Ação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sz w:val="22"/>
        </w:rPr>
        <w:t>Meta </w:t>
      </w:r>
      <w:r>
        <w:rPr>
          <w:spacing w:val="-10"/>
          <w:sz w:val="22"/>
        </w:rPr>
        <w:t>2</w:t>
      </w:r>
    </w:p>
    <w:p>
      <w:pPr>
        <w:pStyle w:val="ListParagraph"/>
        <w:numPr>
          <w:ilvl w:val="0"/>
          <w:numId w:val="6"/>
        </w:numPr>
        <w:tabs>
          <w:tab w:pos="1453" w:val="left" w:leader="none"/>
        </w:tabs>
        <w:spacing w:line="251" w:lineRule="exact" w:before="0" w:after="0"/>
        <w:ind w:left="1453" w:right="0" w:hanging="359"/>
        <w:jc w:val="left"/>
        <w:rPr>
          <w:sz w:val="22"/>
        </w:rPr>
      </w:pPr>
      <w:r>
        <w:rPr>
          <w:sz w:val="22"/>
        </w:rPr>
        <w:t>Reunião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Comitê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Qualidade</w:t>
      </w:r>
      <w:r>
        <w:rPr>
          <w:spacing w:val="-1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Segurança</w:t>
      </w:r>
    </w:p>
    <w:p>
      <w:pPr>
        <w:pStyle w:val="BodyText"/>
      </w:pPr>
    </w:p>
    <w:p>
      <w:pPr>
        <w:pStyle w:val="BodyText"/>
        <w:spacing w:before="222"/>
      </w:pPr>
    </w:p>
    <w:p>
      <w:pPr>
        <w:pStyle w:val="ListParagraph"/>
        <w:numPr>
          <w:ilvl w:val="1"/>
          <w:numId w:val="1"/>
        </w:numPr>
        <w:tabs>
          <w:tab w:pos="1822" w:val="left" w:leader="none"/>
        </w:tabs>
        <w:spacing w:line="240" w:lineRule="auto" w:before="0" w:after="0"/>
        <w:ind w:left="1822" w:right="0" w:hanging="367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–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Treinamento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Bomba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pacing w:val="-2"/>
          <w:sz w:val="22"/>
        </w:rPr>
        <w:t>Infusão</w:t>
      </w:r>
    </w:p>
    <w:p>
      <w:pPr>
        <w:pStyle w:val="BodyText"/>
        <w:spacing w:before="3"/>
        <w:rPr>
          <w:rFonts w:ascii="Arial"/>
          <w:b/>
          <w:sz w:val="19"/>
        </w:rPr>
      </w:pPr>
      <w:r>
        <w:rPr>
          <w:rFonts w:ascii="Arial"/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1282700</wp:posOffset>
                </wp:positionH>
                <wp:positionV relativeFrom="paragraph">
                  <wp:posOffset>156037</wp:posOffset>
                </wp:positionV>
                <wp:extent cx="5474335" cy="2288540"/>
                <wp:effectExtent l="0" t="0" r="0" b="0"/>
                <wp:wrapTopAndBottom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5474335" cy="2288540"/>
                          <a:chExt cx="5474335" cy="2288540"/>
                        </a:xfrm>
                      </wpg:grpSpPr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480"/>
                            <a:ext cx="2178557" cy="22495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8685" y="0"/>
                            <a:ext cx="3295522" cy="22882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pt;margin-top:12.286456pt;width:431.05pt;height:180.2pt;mso-position-horizontal-relative:page;mso-position-vertical-relative:paragraph;z-index:-15715840;mso-wrap-distance-left:0;mso-wrap-distance-right:0" id="docshapegroup145" coordorigin="2020,246" coordsize="8621,3604">
                <v:shape style="position:absolute;left:2020;top:306;width:3431;height:3543" type="#_x0000_t75" id="docshape146" stroked="false">
                  <v:imagedata r:id="rId88" o:title=""/>
                </v:shape>
                <v:shape style="position:absolute;left:5451;top:245;width:5190;height:3604" type="#_x0000_t75" id="docshape147" stroked="false">
                  <v:imagedata r:id="rId89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36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1822" w:val="left" w:leader="none"/>
        </w:tabs>
        <w:spacing w:line="240" w:lineRule="auto" w:before="0" w:after="0"/>
        <w:ind w:left="1822" w:right="0" w:hanging="367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–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Treinamento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check-list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Cirurgia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pacing w:val="-2"/>
          <w:sz w:val="22"/>
        </w:rPr>
        <w:t>Segura</w:t>
      </w:r>
    </w:p>
    <w:p>
      <w:pPr>
        <w:pStyle w:val="ListParagraph"/>
        <w:spacing w:after="0" w:line="240" w:lineRule="auto"/>
        <w:jc w:val="left"/>
        <w:rPr>
          <w:rFonts w:ascii="Arial" w:hAnsi="Arial"/>
          <w:b/>
          <w:sz w:val="22"/>
        </w:rPr>
        <w:sectPr>
          <w:headerReference w:type="default" r:id="rId85"/>
          <w:footerReference w:type="default" r:id="rId86"/>
          <w:pgSz w:w="11910" w:h="16840"/>
          <w:pgMar w:header="0" w:footer="580" w:top="1060" w:bottom="780" w:left="566" w:right="566"/>
        </w:sectPr>
      </w:pPr>
    </w:p>
    <w:p>
      <w:pPr>
        <w:pStyle w:val="BodyText"/>
        <w:ind w:left="386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233795" cy="2814955"/>
                <wp:effectExtent l="0" t="0" r="0" b="4444"/>
                <wp:docPr id="188" name="Group 1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8" name="Group 188"/>
                      <wpg:cNvGrpSpPr/>
                      <wpg:grpSpPr>
                        <a:xfrm>
                          <a:off x="0" y="0"/>
                          <a:ext cx="6233795" cy="2814955"/>
                          <a:chExt cx="6233795" cy="2814955"/>
                        </a:xfrm>
                      </wpg:grpSpPr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3667" cy="877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80" y="871855"/>
                            <a:ext cx="5435981" cy="19428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90.85pt;height:221.65pt;mso-position-horizontal-relative:char;mso-position-vertical-relative:line" id="docshapegroup149" coordorigin="0,0" coordsize="9817,4433">
                <v:shape style="position:absolute;left:0;top:0;width:9817;height:1382" type="#_x0000_t75" id="docshape150" stroked="false">
                  <v:imagedata r:id="rId29" o:title=""/>
                </v:shape>
                <v:shape style="position:absolute;left:1068;top:1373;width:8561;height:3060" type="#_x0000_t75" id="docshape151" stroked="false">
                  <v:imagedata r:id="rId92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78"/>
        <w:rPr>
          <w:rFonts w:ascii="Arial"/>
          <w:b/>
          <w:sz w:val="24"/>
        </w:rPr>
      </w:pPr>
    </w:p>
    <w:p>
      <w:pPr>
        <w:spacing w:before="0"/>
        <w:ind w:left="734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Relatório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emitido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12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Junho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> 2025.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0"/>
        </w:rPr>
      </w:pPr>
    </w:p>
    <w:tbl>
      <w:tblPr>
        <w:tblW w:w="0" w:type="auto"/>
        <w:jc w:val="left"/>
        <w:tblInd w:w="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2"/>
        <w:gridCol w:w="4852"/>
      </w:tblGrid>
      <w:tr>
        <w:trPr>
          <w:trHeight w:val="2414" w:hRule="atLeast"/>
        </w:trPr>
        <w:tc>
          <w:tcPr>
            <w:tcW w:w="4852" w:type="dxa"/>
          </w:tcPr>
          <w:p>
            <w:pPr>
              <w:pStyle w:val="TableParagraph"/>
              <w:spacing w:line="263" w:lineRule="exact"/>
              <w:ind w:left="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Fabiana</w:t>
            </w:r>
            <w:r>
              <w:rPr>
                <w:rFonts w:ascii="Arial"/>
                <w:b/>
                <w:spacing w:val="-7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Rolla</w:t>
            </w:r>
          </w:p>
          <w:p>
            <w:pPr>
              <w:pStyle w:val="TableParagraph"/>
              <w:spacing w:line="271" w:lineRule="exact"/>
              <w:ind w:left="5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Diretora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técnica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e</w:t>
            </w:r>
            <w:r>
              <w:rPr>
                <w:rFonts w:ascii="Arial" w:hAnsi="Arial"/>
                <w:b/>
                <w:spacing w:val="2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administrativa</w:t>
            </w:r>
          </w:p>
          <w:p>
            <w:pPr>
              <w:pStyle w:val="TableParagraph"/>
              <w:spacing w:before="4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74675" cy="380523"/>
                  <wp:effectExtent l="0" t="0" r="0" b="0"/>
                  <wp:docPr id="191" name="Image 19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675" cy="380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0" w:after="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966720" cy="13970"/>
                      <wp:effectExtent l="9525" t="0" r="5080" b="5079"/>
                      <wp:docPr id="192" name="Group 1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2" name="Group 192"/>
                            <wpg:cNvGrpSpPr/>
                            <wpg:grpSpPr>
                              <a:xfrm>
                                <a:off x="0" y="0"/>
                                <a:ext cx="2966720" cy="13970"/>
                                <a:chExt cx="2966720" cy="1397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6781"/>
                                  <a:ext cx="2966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6720" h="0">
                                      <a:moveTo>
                                        <a:pt x="0" y="0"/>
                                      </a:moveTo>
                                      <a:lnTo>
                                        <a:pt x="2966336" y="0"/>
                                      </a:lnTo>
                                    </a:path>
                                  </a:pathLst>
                                </a:custGeom>
                                <a:ln w="135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3.6pt;height:1.1pt;mso-position-horizontal-relative:char;mso-position-vertical-relative:line" id="docshapegroup152" coordorigin="0,0" coordsize="4672,22">
                      <v:line style="position:absolute" from="0,11" to="4671,11" stroked="true" strokeweight="1.06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</w:r>
          </w:p>
        </w:tc>
        <w:tc>
          <w:tcPr>
            <w:tcW w:w="4852" w:type="dxa"/>
          </w:tcPr>
          <w:p>
            <w:pPr>
              <w:pStyle w:val="TableParagraph"/>
              <w:spacing w:line="230" w:lineRule="auto" w:before="1"/>
              <w:ind w:left="130" w:right="25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Danilo da Silva Lili Gerente</w:t>
            </w:r>
            <w:r>
              <w:rPr>
                <w:rFonts w:ascii="Arial"/>
                <w:b/>
                <w:spacing w:val="-17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Financeiro</w:t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35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74676" cy="380523"/>
                  <wp:effectExtent l="0" t="0" r="0" b="0"/>
                  <wp:docPr id="194" name="Image 19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676" cy="380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3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966720" cy="13970"/>
                      <wp:effectExtent l="9525" t="0" r="5080" b="5079"/>
                      <wp:docPr id="195" name="Group 1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5" name="Group 195"/>
                            <wpg:cNvGrpSpPr/>
                            <wpg:grpSpPr>
                              <a:xfrm>
                                <a:off x="0" y="0"/>
                                <a:ext cx="2966720" cy="13970"/>
                                <a:chExt cx="2966720" cy="13970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0" y="6781"/>
                                  <a:ext cx="2966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6720" h="0">
                                      <a:moveTo>
                                        <a:pt x="0" y="0"/>
                                      </a:moveTo>
                                      <a:lnTo>
                                        <a:pt x="2966336" y="0"/>
                                      </a:lnTo>
                                    </a:path>
                                  </a:pathLst>
                                </a:custGeom>
                                <a:ln w="135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3.6pt;height:1.1pt;mso-position-horizontal-relative:char;mso-position-vertical-relative:line" id="docshapegroup153" coordorigin="0,0" coordsize="4672,22">
                      <v:line style="position:absolute" from="0,11" to="4671,11" stroked="true" strokeweight="1.06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</w:r>
          </w:p>
        </w:tc>
      </w:tr>
    </w:tbl>
    <w:sectPr>
      <w:headerReference w:type="default" r:id="rId90"/>
      <w:footerReference w:type="default" r:id="rId91"/>
      <w:pgSz w:w="11910" w:h="16840"/>
      <w:pgMar w:header="0" w:footer="580" w:top="1060" w:bottom="7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16800">
              <wp:simplePos x="0" y="0"/>
              <wp:positionH relativeFrom="page">
                <wp:posOffset>2125091</wp:posOffset>
              </wp:positionH>
              <wp:positionV relativeFrom="page">
                <wp:posOffset>10099456</wp:posOffset>
              </wp:positionV>
              <wp:extent cx="3540125" cy="2540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54012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2" w:lineRule="exact"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 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 GOIÁS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line="182" w:lineRule="exact" w:before="0"/>
                            <w:ind w:left="45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7.330002pt;margin-top:795.232788pt;width:278.75pt;height:20pt;mso-position-horizontal-relative:page;mso-position-vertical-relative:page;z-index:-17799680" type="#_x0000_t202" id="docshape1" filled="false" stroked="false">
              <v:textbox inset="0,0,0,0">
                <w:txbxContent>
                  <w:p>
                    <w:pPr>
                      <w:spacing w:line="182" w:lineRule="exact"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 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 GOIÁS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line="182" w:lineRule="exact" w:before="0"/>
                      <w:ind w:left="45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21920">
              <wp:simplePos x="0" y="0"/>
              <wp:positionH relativeFrom="page">
                <wp:posOffset>1902841</wp:posOffset>
              </wp:positionH>
              <wp:positionV relativeFrom="page">
                <wp:posOffset>10185181</wp:posOffset>
              </wp:positionV>
              <wp:extent cx="3543300" cy="257175"/>
              <wp:effectExtent l="0" t="0" r="0" b="0"/>
              <wp:wrapNone/>
              <wp:docPr id="165" name="Textbox 1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5" name="Textbox 165"/>
                    <wps:cNvSpPr txBox="1"/>
                    <wps:spPr>
                      <a:xfrm>
                        <a:off x="0" y="0"/>
                        <a:ext cx="354330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before="2"/>
                            <w:ind w:left="45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9.830002pt;margin-top:801.982788pt;width:279pt;height:20.25pt;mso-position-horizontal-relative:page;mso-position-vertical-relative:page;z-index:-17794560" type="#_x0000_t202" id="docshape12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before="2"/>
                      <w:ind w:left="45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22432">
              <wp:simplePos x="0" y="0"/>
              <wp:positionH relativeFrom="page">
                <wp:posOffset>1902841</wp:posOffset>
              </wp:positionH>
              <wp:positionV relativeFrom="page">
                <wp:posOffset>10185181</wp:posOffset>
              </wp:positionV>
              <wp:extent cx="3543300" cy="257175"/>
              <wp:effectExtent l="0" t="0" r="0" b="0"/>
              <wp:wrapNone/>
              <wp:docPr id="173" name="Textbox 1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3" name="Textbox 173"/>
                    <wps:cNvSpPr txBox="1"/>
                    <wps:spPr>
                      <a:xfrm>
                        <a:off x="0" y="0"/>
                        <a:ext cx="354330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before="2"/>
                            <w:ind w:left="45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9.830002pt;margin-top:801.982788pt;width:279pt;height:20.25pt;mso-position-horizontal-relative:page;mso-position-vertical-relative:page;z-index:-17794048" type="#_x0000_t202" id="docshape13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before="2"/>
                      <w:ind w:left="45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22944">
              <wp:simplePos x="0" y="0"/>
              <wp:positionH relativeFrom="page">
                <wp:posOffset>1902841</wp:posOffset>
              </wp:positionH>
              <wp:positionV relativeFrom="page">
                <wp:posOffset>10185181</wp:posOffset>
              </wp:positionV>
              <wp:extent cx="3543300" cy="257175"/>
              <wp:effectExtent l="0" t="0" r="0" b="0"/>
              <wp:wrapNone/>
              <wp:docPr id="180" name="Textbox 1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0" name="Textbox 180"/>
                    <wps:cNvSpPr txBox="1"/>
                    <wps:spPr>
                      <a:xfrm>
                        <a:off x="0" y="0"/>
                        <a:ext cx="354330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before="2"/>
                            <w:ind w:left="45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9.830002pt;margin-top:801.982788pt;width:279pt;height:20.25pt;mso-position-horizontal-relative:page;mso-position-vertical-relative:page;z-index:-17793536" type="#_x0000_t202" id="docshape14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before="2"/>
                      <w:ind w:left="45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23456">
              <wp:simplePos x="0" y="0"/>
              <wp:positionH relativeFrom="page">
                <wp:posOffset>1902841</wp:posOffset>
              </wp:positionH>
              <wp:positionV relativeFrom="page">
                <wp:posOffset>10185181</wp:posOffset>
              </wp:positionV>
              <wp:extent cx="3543300" cy="257175"/>
              <wp:effectExtent l="0" t="0" r="0" b="0"/>
              <wp:wrapNone/>
              <wp:docPr id="187" name="Textbox 1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7" name="Textbox 187"/>
                    <wps:cNvSpPr txBox="1"/>
                    <wps:spPr>
                      <a:xfrm>
                        <a:off x="0" y="0"/>
                        <a:ext cx="354330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before="2"/>
                            <w:ind w:left="45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9.830002pt;margin-top:801.982788pt;width:279pt;height:20.25pt;mso-position-horizontal-relative:page;mso-position-vertical-relative:page;z-index:-17793024" type="#_x0000_t202" id="docshape148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before="2"/>
                      <w:ind w:left="45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17824">
              <wp:simplePos x="0" y="0"/>
              <wp:positionH relativeFrom="page">
                <wp:posOffset>1902841</wp:posOffset>
              </wp:positionH>
              <wp:positionV relativeFrom="page">
                <wp:posOffset>10185181</wp:posOffset>
              </wp:positionV>
              <wp:extent cx="3543300" cy="25717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354330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before="2"/>
                            <w:ind w:left="45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9.830002pt;margin-top:801.982788pt;width:279pt;height:20.25pt;mso-position-horizontal-relative:page;mso-position-vertical-relative:page;z-index:-17798656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before="2"/>
                      <w:ind w:left="45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18336">
              <wp:simplePos x="0" y="0"/>
              <wp:positionH relativeFrom="page">
                <wp:posOffset>1902841</wp:posOffset>
              </wp:positionH>
              <wp:positionV relativeFrom="page">
                <wp:posOffset>10185181</wp:posOffset>
              </wp:positionV>
              <wp:extent cx="3543300" cy="257175"/>
              <wp:effectExtent l="0" t="0" r="0" b="0"/>
              <wp:wrapNone/>
              <wp:docPr id="121" name="Textbox 1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" name="Textbox 121"/>
                    <wps:cNvSpPr txBox="1"/>
                    <wps:spPr>
                      <a:xfrm>
                        <a:off x="0" y="0"/>
                        <a:ext cx="354330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before="2"/>
                            <w:ind w:left="45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9.830002pt;margin-top:801.982788pt;width:279pt;height:20.25pt;mso-position-horizontal-relative:page;mso-position-vertical-relative:page;z-index:-17798144" type="#_x0000_t202" id="docshape10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before="2"/>
                      <w:ind w:left="45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18848">
              <wp:simplePos x="0" y="0"/>
              <wp:positionH relativeFrom="page">
                <wp:posOffset>1902841</wp:posOffset>
              </wp:positionH>
              <wp:positionV relativeFrom="page">
                <wp:posOffset>10185181</wp:posOffset>
              </wp:positionV>
              <wp:extent cx="3543300" cy="257175"/>
              <wp:effectExtent l="0" t="0" r="0" b="0"/>
              <wp:wrapNone/>
              <wp:docPr id="127" name="Textbox 1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" name="Textbox 127"/>
                    <wps:cNvSpPr txBox="1"/>
                    <wps:spPr>
                      <a:xfrm>
                        <a:off x="0" y="0"/>
                        <a:ext cx="354330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before="2"/>
                            <w:ind w:left="45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9.830002pt;margin-top:801.982788pt;width:279pt;height:20.25pt;mso-position-horizontal-relative:page;mso-position-vertical-relative:page;z-index:-17797632" type="#_x0000_t202" id="docshape11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before="2"/>
                      <w:ind w:left="45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19360">
              <wp:simplePos x="0" y="0"/>
              <wp:positionH relativeFrom="page">
                <wp:posOffset>1902841</wp:posOffset>
              </wp:positionH>
              <wp:positionV relativeFrom="page">
                <wp:posOffset>10185181</wp:posOffset>
              </wp:positionV>
              <wp:extent cx="3543300" cy="257175"/>
              <wp:effectExtent l="0" t="0" r="0" b="0"/>
              <wp:wrapNone/>
              <wp:docPr id="135" name="Textbox 1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5" name="Textbox 135"/>
                    <wps:cNvSpPr txBox="1"/>
                    <wps:spPr>
                      <a:xfrm>
                        <a:off x="0" y="0"/>
                        <a:ext cx="354330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before="2"/>
                            <w:ind w:left="45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9.830002pt;margin-top:801.982788pt;width:279pt;height:20.25pt;mso-position-horizontal-relative:page;mso-position-vertical-relative:page;z-index:-17797120" type="#_x0000_t202" id="docshape116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before="2"/>
                      <w:ind w:left="45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19872">
              <wp:simplePos x="0" y="0"/>
              <wp:positionH relativeFrom="page">
                <wp:posOffset>1902841</wp:posOffset>
              </wp:positionH>
              <wp:positionV relativeFrom="page">
                <wp:posOffset>10185181</wp:posOffset>
              </wp:positionV>
              <wp:extent cx="3543300" cy="257175"/>
              <wp:effectExtent l="0" t="0" r="0" b="0"/>
              <wp:wrapNone/>
              <wp:docPr id="141" name="Textbox 1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1" name="Textbox 141"/>
                    <wps:cNvSpPr txBox="1"/>
                    <wps:spPr>
                      <a:xfrm>
                        <a:off x="0" y="0"/>
                        <a:ext cx="354330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before="2"/>
                            <w:ind w:left="45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9.830002pt;margin-top:801.982788pt;width:279pt;height:20.25pt;mso-position-horizontal-relative:page;mso-position-vertical-relative:page;z-index:-17796608" type="#_x0000_t202" id="docshape120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before="2"/>
                      <w:ind w:left="45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20384">
              <wp:simplePos x="0" y="0"/>
              <wp:positionH relativeFrom="page">
                <wp:posOffset>1902841</wp:posOffset>
              </wp:positionH>
              <wp:positionV relativeFrom="page">
                <wp:posOffset>10185181</wp:posOffset>
              </wp:positionV>
              <wp:extent cx="3543300" cy="257175"/>
              <wp:effectExtent l="0" t="0" r="0" b="0"/>
              <wp:wrapNone/>
              <wp:docPr id="147" name="Textbox 1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7" name="Textbox 147"/>
                    <wps:cNvSpPr txBox="1"/>
                    <wps:spPr>
                      <a:xfrm>
                        <a:off x="0" y="0"/>
                        <a:ext cx="354330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before="2"/>
                            <w:ind w:left="45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9.830002pt;margin-top:801.982788pt;width:279pt;height:20.25pt;mso-position-horizontal-relative:page;mso-position-vertical-relative:page;z-index:-17796096" type="#_x0000_t202" id="docshape12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before="2"/>
                      <w:ind w:left="45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20896">
              <wp:simplePos x="0" y="0"/>
              <wp:positionH relativeFrom="page">
                <wp:posOffset>1902841</wp:posOffset>
              </wp:positionH>
              <wp:positionV relativeFrom="page">
                <wp:posOffset>10185181</wp:posOffset>
              </wp:positionV>
              <wp:extent cx="3543300" cy="257175"/>
              <wp:effectExtent l="0" t="0" r="0" b="0"/>
              <wp:wrapNone/>
              <wp:docPr id="153" name="Textbox 1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3" name="Textbox 153"/>
                    <wps:cNvSpPr txBox="1"/>
                    <wps:spPr>
                      <a:xfrm>
                        <a:off x="0" y="0"/>
                        <a:ext cx="354330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before="2"/>
                            <w:ind w:left="45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9.830002pt;margin-top:801.982788pt;width:279pt;height:20.25pt;mso-position-horizontal-relative:page;mso-position-vertical-relative:page;z-index:-17795584" type="#_x0000_t202" id="docshape12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before="2"/>
                      <w:ind w:left="45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21408">
              <wp:simplePos x="0" y="0"/>
              <wp:positionH relativeFrom="page">
                <wp:posOffset>1902841</wp:posOffset>
              </wp:positionH>
              <wp:positionV relativeFrom="page">
                <wp:posOffset>10185181</wp:posOffset>
              </wp:positionV>
              <wp:extent cx="3543300" cy="257175"/>
              <wp:effectExtent l="0" t="0" r="0" b="0"/>
              <wp:wrapNone/>
              <wp:docPr id="159" name="Textbox 1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9" name="Textbox 159"/>
                    <wps:cNvSpPr txBox="1"/>
                    <wps:spPr>
                      <a:xfrm>
                        <a:off x="0" y="0"/>
                        <a:ext cx="354330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before="2"/>
                            <w:ind w:left="45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9.830002pt;margin-top:801.982788pt;width:279pt;height:20.25pt;mso-position-horizontal-relative:page;mso-position-vertical-relative:page;z-index:-17795072" type="#_x0000_t202" id="docshape12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before="2"/>
                      <w:ind w:left="45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5516288">
          <wp:simplePos x="0" y="0"/>
          <wp:positionH relativeFrom="page">
            <wp:posOffset>784225</wp:posOffset>
          </wp:positionH>
          <wp:positionV relativeFrom="page">
            <wp:posOffset>458469</wp:posOffset>
          </wp:positionV>
          <wp:extent cx="6233667" cy="87757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3667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5517312">
          <wp:simplePos x="0" y="0"/>
          <wp:positionH relativeFrom="page">
            <wp:posOffset>604519</wp:posOffset>
          </wp:positionH>
          <wp:positionV relativeFrom="page">
            <wp:posOffset>677544</wp:posOffset>
          </wp:positionV>
          <wp:extent cx="6233667" cy="877570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3667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"/>
      <w:lvlJc w:val="left"/>
      <w:pPr>
        <w:ind w:left="1455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91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23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55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87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19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50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82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14" w:hanging="361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1335" w:hanging="60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335" w:hanging="60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35" w:hanging="6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71" w:hanging="6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15" w:hanging="6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59" w:hanging="6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02" w:hanging="6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46" w:hanging="6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90" w:hanging="601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1200" w:hanging="466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200" w:hanging="466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99" w:hanging="665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84" w:hanging="66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26" w:hanging="66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8" w:hanging="66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10" w:hanging="66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52" w:hanging="66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94" w:hanging="665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1225" w:hanging="49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5" w:hanging="491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"/>
      <w:lvlJc w:val="left"/>
      <w:pPr>
        <w:ind w:left="1455" w:hanging="361"/>
      </w:pPr>
      <w:rPr>
        <w:rFonts w:hint="default" w:ascii="Symbol" w:hAnsi="Symbol" w:eastAsia="Symbol" w:cs="Symbol"/>
        <w:spacing w:val="0"/>
        <w:w w:val="10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62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64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66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69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71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3" w:hanging="361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290" w:hanging="361"/>
      </w:pPr>
      <w:rPr>
        <w:rFonts w:hint="default" w:ascii="Symbol" w:hAnsi="Symbol" w:eastAsia="Symbol" w:cs="Symbol"/>
        <w:b w:val="0"/>
        <w:bCs w:val="0"/>
        <w:i w:val="0"/>
        <w:iCs w:val="0"/>
        <w:color w:val="365F91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"/>
      <w:lvlJc w:val="left"/>
      <w:pPr>
        <w:ind w:left="1715" w:hanging="360"/>
      </w:pPr>
      <w:rPr>
        <w:rFonts w:hint="default" w:ascii="Symbol" w:hAnsi="Symbol" w:eastAsia="Symbol" w:cs="Symbol"/>
        <w:spacing w:val="0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2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39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4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5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5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65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10" w:hanging="721"/>
        <w:jc w:val="right"/>
      </w:pPr>
      <w:rPr>
        <w:rFonts w:hint="default"/>
        <w:spacing w:val="0"/>
        <w:w w:val="8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4" w:hanging="370"/>
        <w:jc w:val="right"/>
      </w:pPr>
      <w:rPr>
        <w:rFonts w:hint="default"/>
        <w:spacing w:val="-2"/>
        <w:w w:val="100"/>
        <w:lang w:val="pt-PT" w:eastAsia="en-US" w:bidi="ar-SA"/>
      </w:rPr>
    </w:lvl>
    <w:lvl w:ilvl="2">
      <w:start w:val="0"/>
      <w:numFmt w:val="bullet"/>
      <w:lvlText w:val=""/>
      <w:lvlJc w:val="left"/>
      <w:pPr>
        <w:ind w:left="2130" w:hanging="370"/>
      </w:pPr>
      <w:rPr>
        <w:rFonts w:hint="default" w:ascii="Symbol" w:hAnsi="Symbol" w:eastAsia="Symbol" w:cs="Symbol"/>
        <w:spacing w:val="0"/>
        <w:w w:val="10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40" w:hanging="37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74" w:hanging="37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8" w:hanging="37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42" w:hanging="37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76" w:hanging="37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10" w:hanging="370"/>
      </w:pPr>
      <w:rPr>
        <w:rFonts w:hint="default"/>
        <w:lang w:val="pt-PT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53" w:hanging="359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jpeg"/><Relationship Id="rId22" Type="http://schemas.openxmlformats.org/officeDocument/2006/relationships/image" Target="media/image15.pn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1.jpeg"/><Relationship Id="rId30" Type="http://schemas.openxmlformats.org/officeDocument/2006/relationships/image" Target="media/image22.png"/><Relationship Id="rId31" Type="http://schemas.openxmlformats.org/officeDocument/2006/relationships/image" Target="media/image23.jpe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header" Target="header3.xml"/><Relationship Id="rId35" Type="http://schemas.openxmlformats.org/officeDocument/2006/relationships/footer" Target="footer3.xml"/><Relationship Id="rId36" Type="http://schemas.openxmlformats.org/officeDocument/2006/relationships/image" Target="media/image26.jpeg"/><Relationship Id="rId37" Type="http://schemas.openxmlformats.org/officeDocument/2006/relationships/image" Target="media/image27.jpeg"/><Relationship Id="rId38" Type="http://schemas.openxmlformats.org/officeDocument/2006/relationships/image" Target="media/image28.jpeg"/><Relationship Id="rId39" Type="http://schemas.openxmlformats.org/officeDocument/2006/relationships/header" Target="header4.xml"/><Relationship Id="rId40" Type="http://schemas.openxmlformats.org/officeDocument/2006/relationships/footer" Target="footer4.xml"/><Relationship Id="rId41" Type="http://schemas.openxmlformats.org/officeDocument/2006/relationships/image" Target="media/image29.jpeg"/><Relationship Id="rId42" Type="http://schemas.openxmlformats.org/officeDocument/2006/relationships/image" Target="media/image30.jpeg"/><Relationship Id="rId43" Type="http://schemas.openxmlformats.org/officeDocument/2006/relationships/image" Target="media/image31.jpeg"/><Relationship Id="rId44" Type="http://schemas.openxmlformats.org/officeDocument/2006/relationships/image" Target="media/image32.jpeg"/><Relationship Id="rId45" Type="http://schemas.openxmlformats.org/officeDocument/2006/relationships/image" Target="media/image33.jpeg"/><Relationship Id="rId46" Type="http://schemas.openxmlformats.org/officeDocument/2006/relationships/header" Target="header5.xml"/><Relationship Id="rId47" Type="http://schemas.openxmlformats.org/officeDocument/2006/relationships/footer" Target="footer5.xml"/><Relationship Id="rId48" Type="http://schemas.openxmlformats.org/officeDocument/2006/relationships/image" Target="media/image34.jpeg"/><Relationship Id="rId49" Type="http://schemas.openxmlformats.org/officeDocument/2006/relationships/image" Target="media/image35.png"/><Relationship Id="rId50" Type="http://schemas.openxmlformats.org/officeDocument/2006/relationships/image" Target="media/image36.png"/><Relationship Id="rId51" Type="http://schemas.openxmlformats.org/officeDocument/2006/relationships/header" Target="header6.xml"/><Relationship Id="rId52" Type="http://schemas.openxmlformats.org/officeDocument/2006/relationships/footer" Target="footer6.xml"/><Relationship Id="rId53" Type="http://schemas.openxmlformats.org/officeDocument/2006/relationships/image" Target="media/image37.png"/><Relationship Id="rId54" Type="http://schemas.openxmlformats.org/officeDocument/2006/relationships/image" Target="media/image38.png"/><Relationship Id="rId55" Type="http://schemas.openxmlformats.org/officeDocument/2006/relationships/image" Target="media/image39.png"/><Relationship Id="rId56" Type="http://schemas.openxmlformats.org/officeDocument/2006/relationships/image" Target="media/image40.png"/><Relationship Id="rId57" Type="http://schemas.openxmlformats.org/officeDocument/2006/relationships/header" Target="header7.xml"/><Relationship Id="rId58" Type="http://schemas.openxmlformats.org/officeDocument/2006/relationships/footer" Target="footer7.xml"/><Relationship Id="rId59" Type="http://schemas.openxmlformats.org/officeDocument/2006/relationships/image" Target="media/image41.png"/><Relationship Id="rId60" Type="http://schemas.openxmlformats.org/officeDocument/2006/relationships/image" Target="media/image42.png"/><Relationship Id="rId61" Type="http://schemas.openxmlformats.org/officeDocument/2006/relationships/image" Target="media/image43.png"/><Relationship Id="rId62" Type="http://schemas.openxmlformats.org/officeDocument/2006/relationships/image" Target="media/image44.png"/><Relationship Id="rId63" Type="http://schemas.openxmlformats.org/officeDocument/2006/relationships/header" Target="header8.xml"/><Relationship Id="rId64" Type="http://schemas.openxmlformats.org/officeDocument/2006/relationships/footer" Target="footer8.xml"/><Relationship Id="rId65" Type="http://schemas.openxmlformats.org/officeDocument/2006/relationships/image" Target="media/image45.jpeg"/><Relationship Id="rId66" Type="http://schemas.openxmlformats.org/officeDocument/2006/relationships/image" Target="media/image46.png"/><Relationship Id="rId67" Type="http://schemas.openxmlformats.org/officeDocument/2006/relationships/image" Target="media/image47.png"/><Relationship Id="rId68" Type="http://schemas.openxmlformats.org/officeDocument/2006/relationships/image" Target="media/image48.png"/><Relationship Id="rId69" Type="http://schemas.openxmlformats.org/officeDocument/2006/relationships/header" Target="header9.xml"/><Relationship Id="rId70" Type="http://schemas.openxmlformats.org/officeDocument/2006/relationships/footer" Target="footer9.xml"/><Relationship Id="rId71" Type="http://schemas.openxmlformats.org/officeDocument/2006/relationships/image" Target="media/image49.png"/><Relationship Id="rId72" Type="http://schemas.openxmlformats.org/officeDocument/2006/relationships/image" Target="media/image50.jpeg"/><Relationship Id="rId73" Type="http://schemas.openxmlformats.org/officeDocument/2006/relationships/image" Target="media/image51.jpeg"/><Relationship Id="rId74" Type="http://schemas.openxmlformats.org/officeDocument/2006/relationships/header" Target="header10.xml"/><Relationship Id="rId75" Type="http://schemas.openxmlformats.org/officeDocument/2006/relationships/footer" Target="footer10.xml"/><Relationship Id="rId76" Type="http://schemas.openxmlformats.org/officeDocument/2006/relationships/image" Target="media/image52.jpeg"/><Relationship Id="rId77" Type="http://schemas.openxmlformats.org/officeDocument/2006/relationships/image" Target="media/image53.jpeg"/><Relationship Id="rId78" Type="http://schemas.openxmlformats.org/officeDocument/2006/relationships/image" Target="media/image54.jpeg"/><Relationship Id="rId79" Type="http://schemas.openxmlformats.org/officeDocument/2006/relationships/image" Target="media/image55.jpeg"/><Relationship Id="rId80" Type="http://schemas.openxmlformats.org/officeDocument/2006/relationships/header" Target="header11.xml"/><Relationship Id="rId81" Type="http://schemas.openxmlformats.org/officeDocument/2006/relationships/footer" Target="footer11.xml"/><Relationship Id="rId82" Type="http://schemas.openxmlformats.org/officeDocument/2006/relationships/image" Target="media/image56.jpeg"/><Relationship Id="rId83" Type="http://schemas.openxmlformats.org/officeDocument/2006/relationships/image" Target="media/image57.jpeg"/><Relationship Id="rId84" Type="http://schemas.openxmlformats.org/officeDocument/2006/relationships/image" Target="media/image58.jpeg"/><Relationship Id="rId85" Type="http://schemas.openxmlformats.org/officeDocument/2006/relationships/header" Target="header12.xml"/><Relationship Id="rId86" Type="http://schemas.openxmlformats.org/officeDocument/2006/relationships/footer" Target="footer12.xml"/><Relationship Id="rId87" Type="http://schemas.openxmlformats.org/officeDocument/2006/relationships/image" Target="media/image59.jpeg"/><Relationship Id="rId88" Type="http://schemas.openxmlformats.org/officeDocument/2006/relationships/image" Target="media/image60.jpeg"/><Relationship Id="rId89" Type="http://schemas.openxmlformats.org/officeDocument/2006/relationships/image" Target="media/image61.jpeg"/><Relationship Id="rId90" Type="http://schemas.openxmlformats.org/officeDocument/2006/relationships/header" Target="header13.xml"/><Relationship Id="rId91" Type="http://schemas.openxmlformats.org/officeDocument/2006/relationships/footer" Target="footer13.xml"/><Relationship Id="rId92" Type="http://schemas.openxmlformats.org/officeDocument/2006/relationships/image" Target="media/image62.png"/><Relationship Id="rId93" Type="http://schemas.openxmlformats.org/officeDocument/2006/relationships/image" Target="media/image63.png"/><Relationship Id="rId94" Type="http://schemas.openxmlformats.org/officeDocument/2006/relationships/image" Target="media/image64.png"/><Relationship Id="rId95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Armenia Borges Prado</dc:creator>
  <dcterms:created xsi:type="dcterms:W3CDTF">2025-07-11T21:23:51Z</dcterms:created>
  <dcterms:modified xsi:type="dcterms:W3CDTF">2025-07-11T21:23:51Z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2025-07-11T00:00:00Z</vt:filetime>
  </property>
</Properties>
</file>