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119"/>
      </w:pPr>
    </w:p>
    <w:p>
      <w:pPr>
        <w:pStyle w:val="BodyText"/>
        <w:spacing w:before="1"/>
        <w:ind w:left="7170"/>
      </w:pPr>
      <w:r>
        <w:rPr/>
        <w:t>Goiânia,</w:t>
      </w:r>
      <w:r>
        <w:rPr>
          <w:spacing w:val="-2"/>
        </w:rPr>
        <w:t> </w:t>
      </w:r>
      <w:r>
        <w:rPr/>
        <w:t>10</w:t>
      </w:r>
      <w:r>
        <w:rPr>
          <w:spacing w:val="-3"/>
        </w:rPr>
        <w:t> </w:t>
      </w:r>
      <w:r>
        <w:rPr/>
        <w:t>de</w:t>
      </w:r>
      <w:r>
        <w:rPr>
          <w:spacing w:val="-4"/>
        </w:rPr>
        <w:t> </w:t>
      </w:r>
      <w:r>
        <w:rPr/>
        <w:t>Dezembro</w:t>
      </w:r>
      <w:r>
        <w:rPr>
          <w:spacing w:val="-2"/>
        </w:rPr>
        <w:t> </w:t>
      </w:r>
      <w:r>
        <w:rPr/>
        <w:t>de</w:t>
      </w:r>
      <w:r>
        <w:rPr>
          <w:spacing w:val="-3"/>
        </w:rPr>
        <w:t> </w:t>
      </w:r>
      <w:r>
        <w:rPr>
          <w:spacing w:val="-4"/>
        </w:rPr>
        <w:t>2025</w:t>
      </w:r>
    </w:p>
    <w:p>
      <w:pPr>
        <w:spacing w:before="256"/>
        <w:ind w:left="593" w:right="0" w:firstLine="0"/>
        <w:jc w:val="left"/>
        <w:rPr>
          <w:b/>
          <w:sz w:val="24"/>
        </w:rPr>
      </w:pPr>
      <w:r>
        <w:rPr>
          <w:b/>
          <w:sz w:val="24"/>
        </w:rPr>
        <w:t>Ofício</w:t>
      </w:r>
      <w:r>
        <w:rPr>
          <w:b/>
          <w:spacing w:val="-4"/>
          <w:sz w:val="24"/>
        </w:rPr>
        <w:t> </w:t>
      </w:r>
      <w:r>
        <w:rPr>
          <w:b/>
          <w:sz w:val="24"/>
        </w:rPr>
        <w:t>nº</w:t>
      </w:r>
      <w:r>
        <w:rPr>
          <w:b/>
          <w:spacing w:val="-4"/>
          <w:sz w:val="24"/>
        </w:rPr>
        <w:t> </w:t>
      </w:r>
      <w:r>
        <w:rPr>
          <w:b/>
          <w:spacing w:val="-2"/>
          <w:sz w:val="24"/>
        </w:rPr>
        <w:t>1331/2025</w:t>
      </w:r>
    </w:p>
    <w:p>
      <w:pPr>
        <w:spacing w:before="256"/>
        <w:ind w:left="593" w:right="0" w:firstLine="0"/>
        <w:jc w:val="left"/>
        <w:rPr>
          <w:b/>
          <w:sz w:val="24"/>
        </w:rPr>
      </w:pPr>
      <w:r>
        <w:rPr>
          <w:b/>
          <w:sz w:val="24"/>
        </w:rPr>
        <w:t>À</w:t>
      </w:r>
      <w:r>
        <w:rPr>
          <w:b/>
          <w:spacing w:val="-6"/>
          <w:sz w:val="24"/>
        </w:rPr>
        <w:t> </w:t>
      </w:r>
      <w:r>
        <w:rPr>
          <w:b/>
          <w:sz w:val="24"/>
        </w:rPr>
        <w:t>Secretaria</w:t>
      </w:r>
      <w:r>
        <w:rPr>
          <w:b/>
          <w:spacing w:val="-1"/>
          <w:sz w:val="24"/>
        </w:rPr>
        <w:t> </w:t>
      </w:r>
      <w:r>
        <w:rPr>
          <w:b/>
          <w:sz w:val="24"/>
        </w:rPr>
        <w:t>Estadual</w:t>
      </w:r>
      <w:r>
        <w:rPr>
          <w:b/>
          <w:spacing w:val="-4"/>
          <w:sz w:val="24"/>
        </w:rPr>
        <w:t> </w:t>
      </w:r>
      <w:r>
        <w:rPr>
          <w:b/>
          <w:sz w:val="24"/>
        </w:rPr>
        <w:t>de</w:t>
      </w:r>
      <w:r>
        <w:rPr>
          <w:b/>
          <w:spacing w:val="-4"/>
          <w:sz w:val="24"/>
        </w:rPr>
        <w:t> </w:t>
      </w:r>
      <w:r>
        <w:rPr>
          <w:b/>
          <w:spacing w:val="-2"/>
          <w:sz w:val="24"/>
        </w:rPr>
        <w:t>Saúde</w:t>
      </w:r>
    </w:p>
    <w:p>
      <w:pPr>
        <w:spacing w:before="0"/>
        <w:ind w:left="593" w:right="0" w:firstLine="0"/>
        <w:jc w:val="left"/>
        <w:rPr>
          <w:b/>
          <w:sz w:val="24"/>
        </w:rPr>
      </w:pPr>
      <w:r>
        <w:rPr>
          <w:b/>
          <w:sz w:val="24"/>
        </w:rPr>
        <w:t>Gerência</w:t>
      </w:r>
      <w:r>
        <w:rPr>
          <w:b/>
          <w:spacing w:val="-5"/>
          <w:sz w:val="24"/>
        </w:rPr>
        <w:t> </w:t>
      </w:r>
      <w:r>
        <w:rPr>
          <w:b/>
          <w:sz w:val="24"/>
        </w:rPr>
        <w:t>de</w:t>
      </w:r>
      <w:r>
        <w:rPr>
          <w:b/>
          <w:spacing w:val="-5"/>
          <w:sz w:val="24"/>
        </w:rPr>
        <w:t> </w:t>
      </w:r>
      <w:r>
        <w:rPr>
          <w:b/>
          <w:sz w:val="24"/>
        </w:rPr>
        <w:t>Monitoramento</w:t>
      </w:r>
      <w:r>
        <w:rPr>
          <w:b/>
          <w:spacing w:val="-2"/>
          <w:sz w:val="24"/>
        </w:rPr>
        <w:t> </w:t>
      </w:r>
      <w:r>
        <w:rPr>
          <w:b/>
          <w:sz w:val="24"/>
        </w:rPr>
        <w:t>e</w:t>
      </w:r>
      <w:r>
        <w:rPr>
          <w:b/>
          <w:spacing w:val="-5"/>
          <w:sz w:val="24"/>
        </w:rPr>
        <w:t> </w:t>
      </w:r>
      <w:r>
        <w:rPr>
          <w:b/>
          <w:sz w:val="24"/>
        </w:rPr>
        <w:t>Avaliação</w:t>
      </w:r>
      <w:r>
        <w:rPr>
          <w:b/>
          <w:spacing w:val="-3"/>
          <w:sz w:val="24"/>
        </w:rPr>
        <w:t> </w:t>
      </w:r>
      <w:r>
        <w:rPr>
          <w:b/>
          <w:sz w:val="24"/>
        </w:rPr>
        <w:t>da</w:t>
      </w:r>
      <w:r>
        <w:rPr>
          <w:b/>
          <w:spacing w:val="-3"/>
          <w:sz w:val="24"/>
        </w:rPr>
        <w:t> </w:t>
      </w:r>
      <w:r>
        <w:rPr>
          <w:b/>
          <w:sz w:val="24"/>
        </w:rPr>
        <w:t>Execução</w:t>
      </w:r>
      <w:r>
        <w:rPr>
          <w:b/>
          <w:spacing w:val="-3"/>
          <w:sz w:val="24"/>
        </w:rPr>
        <w:t> </w:t>
      </w:r>
      <w:r>
        <w:rPr>
          <w:b/>
          <w:sz w:val="24"/>
        </w:rPr>
        <w:t>dos</w:t>
      </w:r>
      <w:r>
        <w:rPr>
          <w:b/>
          <w:spacing w:val="-3"/>
          <w:sz w:val="24"/>
        </w:rPr>
        <w:t> </w:t>
      </w:r>
      <w:r>
        <w:rPr>
          <w:b/>
          <w:sz w:val="24"/>
        </w:rPr>
        <w:t>Contratos</w:t>
      </w:r>
      <w:r>
        <w:rPr>
          <w:b/>
          <w:spacing w:val="-4"/>
          <w:sz w:val="24"/>
        </w:rPr>
        <w:t> </w:t>
      </w:r>
      <w:r>
        <w:rPr>
          <w:b/>
          <w:sz w:val="24"/>
        </w:rPr>
        <w:t>de</w:t>
      </w:r>
      <w:r>
        <w:rPr>
          <w:b/>
          <w:spacing w:val="-4"/>
          <w:sz w:val="24"/>
        </w:rPr>
        <w:t> </w:t>
      </w:r>
      <w:r>
        <w:rPr>
          <w:b/>
          <w:spacing w:val="-2"/>
          <w:sz w:val="24"/>
        </w:rPr>
        <w:t>Gestão</w:t>
      </w:r>
    </w:p>
    <w:p>
      <w:pPr>
        <w:pStyle w:val="BodyText"/>
        <w:rPr>
          <w:b/>
        </w:rPr>
      </w:pPr>
    </w:p>
    <w:p>
      <w:pPr>
        <w:pStyle w:val="BodyText"/>
        <w:spacing w:before="216"/>
        <w:rPr>
          <w:b/>
        </w:rPr>
      </w:pPr>
    </w:p>
    <w:p>
      <w:pPr>
        <w:spacing w:before="0"/>
        <w:ind w:left="593" w:right="542" w:firstLine="0"/>
        <w:jc w:val="left"/>
        <w:rPr>
          <w:b/>
          <w:sz w:val="24"/>
        </w:rPr>
      </w:pPr>
      <w:r>
        <w:rPr>
          <w:b/>
          <w:sz w:val="24"/>
        </w:rPr>
        <w:t>Assunto:</w:t>
      </w:r>
      <w:r>
        <w:rPr>
          <w:b/>
          <w:spacing w:val="-5"/>
          <w:sz w:val="24"/>
        </w:rPr>
        <w:t> </w:t>
      </w:r>
      <w:r>
        <w:rPr>
          <w:b/>
          <w:sz w:val="24"/>
        </w:rPr>
        <w:t>Relatório</w:t>
      </w:r>
      <w:r>
        <w:rPr>
          <w:b/>
          <w:spacing w:val="-4"/>
          <w:sz w:val="24"/>
        </w:rPr>
        <w:t> </w:t>
      </w:r>
      <w:r>
        <w:rPr>
          <w:b/>
          <w:sz w:val="24"/>
        </w:rPr>
        <w:t>de</w:t>
      </w:r>
      <w:r>
        <w:rPr>
          <w:b/>
          <w:spacing w:val="-6"/>
          <w:sz w:val="24"/>
        </w:rPr>
        <w:t> </w:t>
      </w:r>
      <w:r>
        <w:rPr>
          <w:b/>
          <w:sz w:val="24"/>
        </w:rPr>
        <w:t>Metas</w:t>
      </w:r>
      <w:r>
        <w:rPr>
          <w:b/>
          <w:spacing w:val="-5"/>
          <w:sz w:val="24"/>
        </w:rPr>
        <w:t> </w:t>
      </w:r>
      <w:r>
        <w:rPr>
          <w:b/>
          <w:sz w:val="24"/>
        </w:rPr>
        <w:t>Quantitativas,</w:t>
      </w:r>
      <w:r>
        <w:rPr>
          <w:b/>
          <w:spacing w:val="-5"/>
          <w:sz w:val="24"/>
        </w:rPr>
        <w:t> </w:t>
      </w:r>
      <w:r>
        <w:rPr>
          <w:b/>
          <w:sz w:val="24"/>
        </w:rPr>
        <w:t>Qualitativas</w:t>
      </w:r>
      <w:r>
        <w:rPr>
          <w:b/>
          <w:spacing w:val="-3"/>
          <w:sz w:val="24"/>
        </w:rPr>
        <w:t> </w:t>
      </w:r>
      <w:r>
        <w:rPr>
          <w:b/>
          <w:sz w:val="24"/>
        </w:rPr>
        <w:t>e</w:t>
      </w:r>
      <w:r>
        <w:rPr>
          <w:b/>
          <w:spacing w:val="-6"/>
          <w:sz w:val="24"/>
        </w:rPr>
        <w:t> </w:t>
      </w:r>
      <w:r>
        <w:rPr>
          <w:b/>
          <w:sz w:val="24"/>
        </w:rPr>
        <w:t>Informações</w:t>
      </w:r>
      <w:r>
        <w:rPr>
          <w:b/>
          <w:spacing w:val="-5"/>
          <w:sz w:val="24"/>
        </w:rPr>
        <w:t> </w:t>
      </w:r>
      <w:r>
        <w:rPr>
          <w:b/>
          <w:sz w:val="24"/>
        </w:rPr>
        <w:t>Financeiras,</w:t>
      </w:r>
      <w:r>
        <w:rPr>
          <w:b/>
          <w:spacing w:val="-4"/>
          <w:sz w:val="24"/>
        </w:rPr>
        <w:t> </w:t>
      </w:r>
      <w:r>
        <w:rPr>
          <w:b/>
          <w:sz w:val="24"/>
        </w:rPr>
        <w:t>referente</w:t>
      </w:r>
      <w:r>
        <w:rPr>
          <w:b/>
          <w:spacing w:val="-4"/>
          <w:sz w:val="24"/>
        </w:rPr>
        <w:t> </w:t>
      </w:r>
      <w:r>
        <w:rPr>
          <w:b/>
          <w:sz w:val="24"/>
        </w:rPr>
        <w:t>ao Termo de Colaboração nº 097/2024.</w:t>
      </w:r>
    </w:p>
    <w:p>
      <w:pPr>
        <w:pStyle w:val="BodyText"/>
        <w:spacing w:before="256"/>
        <w:ind w:left="593"/>
      </w:pPr>
      <w:r>
        <w:rPr/>
        <w:t>Prezado</w:t>
      </w:r>
      <w:r>
        <w:rPr>
          <w:spacing w:val="-2"/>
        </w:rPr>
        <w:t> </w:t>
      </w:r>
      <w:r>
        <w:rPr/>
        <w:t>Sr.</w:t>
      </w:r>
      <w:r>
        <w:rPr>
          <w:spacing w:val="-2"/>
        </w:rPr>
        <w:t> Secretário,</w:t>
      </w:r>
    </w:p>
    <w:p>
      <w:pPr>
        <w:pStyle w:val="BodyText"/>
      </w:pPr>
    </w:p>
    <w:p>
      <w:pPr>
        <w:pStyle w:val="BodyText"/>
        <w:spacing w:before="80"/>
      </w:pPr>
    </w:p>
    <w:p>
      <w:pPr>
        <w:spacing w:before="0"/>
        <w:ind w:left="1313" w:right="0" w:firstLine="0"/>
        <w:jc w:val="left"/>
        <w:rPr>
          <w:b/>
          <w:sz w:val="24"/>
        </w:rPr>
      </w:pPr>
      <w:r>
        <w:rPr>
          <w:b/>
          <w:sz w:val="24"/>
        </w:rPr>
        <w:t>A</w:t>
      </w:r>
      <w:r>
        <w:rPr>
          <w:b/>
          <w:spacing w:val="62"/>
          <w:sz w:val="24"/>
        </w:rPr>
        <w:t> </w:t>
      </w:r>
      <w:r>
        <w:rPr>
          <w:b/>
          <w:sz w:val="24"/>
        </w:rPr>
        <w:t>SOCIEDADE</w:t>
      </w:r>
      <w:r>
        <w:rPr>
          <w:b/>
          <w:spacing w:val="66"/>
          <w:sz w:val="24"/>
        </w:rPr>
        <w:t> </w:t>
      </w:r>
      <w:r>
        <w:rPr>
          <w:b/>
          <w:sz w:val="24"/>
        </w:rPr>
        <w:t>BENEFICENTE</w:t>
      </w:r>
      <w:r>
        <w:rPr>
          <w:b/>
          <w:spacing w:val="64"/>
          <w:sz w:val="24"/>
        </w:rPr>
        <w:t> </w:t>
      </w:r>
      <w:r>
        <w:rPr>
          <w:b/>
          <w:sz w:val="24"/>
        </w:rPr>
        <w:t>ISRAELITA</w:t>
      </w:r>
      <w:r>
        <w:rPr>
          <w:b/>
          <w:spacing w:val="66"/>
          <w:sz w:val="24"/>
        </w:rPr>
        <w:t> </w:t>
      </w:r>
      <w:r>
        <w:rPr>
          <w:b/>
          <w:sz w:val="24"/>
        </w:rPr>
        <w:t>BRASILEIRA</w:t>
      </w:r>
      <w:r>
        <w:rPr>
          <w:b/>
          <w:spacing w:val="65"/>
          <w:sz w:val="24"/>
        </w:rPr>
        <w:t> </w:t>
      </w:r>
      <w:r>
        <w:rPr>
          <w:b/>
          <w:sz w:val="24"/>
        </w:rPr>
        <w:t>HOSPITAL</w:t>
      </w:r>
      <w:r>
        <w:rPr>
          <w:b/>
          <w:spacing w:val="66"/>
          <w:sz w:val="24"/>
        </w:rPr>
        <w:t> </w:t>
      </w:r>
      <w:r>
        <w:rPr>
          <w:b/>
          <w:spacing w:val="-2"/>
          <w:sz w:val="24"/>
        </w:rPr>
        <w:t>ALBERT</w:t>
      </w:r>
    </w:p>
    <w:p>
      <w:pPr>
        <w:pStyle w:val="BodyText"/>
        <w:spacing w:line="360" w:lineRule="auto" w:before="138"/>
        <w:ind w:left="593" w:right="743"/>
        <w:jc w:val="both"/>
      </w:pPr>
      <w:r>
        <w:rPr>
          <w:b/>
        </w:rPr>
        <w:t>EINSTEIN (SBIBHAE), </w:t>
      </w:r>
      <w:r>
        <w:rPr/>
        <w:t>associação de caráter beneficente, social e científico, sem fins lucrativos, inscrita no CNPJ sob nº 60.765.823/0090-05, neste ato representada pela Diretora Médica infra- assinada, vem, respeitosamente, perante Vossa Excelência, </w:t>
      </w:r>
      <w:r>
        <w:rPr>
          <w:b/>
          <w:u w:val="single"/>
        </w:rPr>
        <w:t>encaminhar</w:t>
      </w:r>
      <w:r>
        <w:rPr>
          <w:b/>
        </w:rPr>
        <w:t>, anexo a este ofício em epígrafe, </w:t>
      </w:r>
      <w:r>
        <w:rPr/>
        <w:t>o relatório das metas quantitativas e qualitativas, bem como das informações financeiras e contábeis, referentes ao mês de Novembro/2025, do Termo de Colaboração nº 097/2024.</w:t>
      </w:r>
    </w:p>
    <w:p>
      <w:pPr>
        <w:pStyle w:val="BodyText"/>
        <w:spacing w:line="360" w:lineRule="auto" w:before="120"/>
        <w:ind w:left="593" w:right="542" w:firstLine="720"/>
      </w:pPr>
      <w:r>
        <w:rPr/>
        <w:t>Colocamo-nos</w:t>
      </w:r>
      <w:r>
        <w:rPr>
          <w:spacing w:val="40"/>
        </w:rPr>
        <w:t> </w:t>
      </w:r>
      <w:r>
        <w:rPr/>
        <w:t>à</w:t>
      </w:r>
      <w:r>
        <w:rPr>
          <w:spacing w:val="40"/>
        </w:rPr>
        <w:t> </w:t>
      </w:r>
      <w:r>
        <w:rPr/>
        <w:t>disposição</w:t>
      </w:r>
      <w:r>
        <w:rPr>
          <w:spacing w:val="40"/>
        </w:rPr>
        <w:t> </w:t>
      </w:r>
      <w:r>
        <w:rPr/>
        <w:t>para</w:t>
      </w:r>
      <w:r>
        <w:rPr>
          <w:spacing w:val="40"/>
        </w:rPr>
        <w:t> </w:t>
      </w:r>
      <w:r>
        <w:rPr/>
        <w:t>quaisquer</w:t>
      </w:r>
      <w:r>
        <w:rPr>
          <w:spacing w:val="40"/>
        </w:rPr>
        <w:t> </w:t>
      </w:r>
      <w:r>
        <w:rPr/>
        <w:t>esclarecimentos</w:t>
      </w:r>
      <w:r>
        <w:rPr>
          <w:spacing w:val="40"/>
        </w:rPr>
        <w:t> </w:t>
      </w:r>
      <w:r>
        <w:rPr/>
        <w:t>adicionais</w:t>
      </w:r>
      <w:r>
        <w:rPr>
          <w:spacing w:val="40"/>
        </w:rPr>
        <w:t> </w:t>
      </w:r>
      <w:r>
        <w:rPr/>
        <w:t>e</w:t>
      </w:r>
      <w:r>
        <w:rPr>
          <w:spacing w:val="40"/>
        </w:rPr>
        <w:t> </w:t>
      </w:r>
      <w:r>
        <w:rPr/>
        <w:t>reiteramos</w:t>
      </w:r>
      <w:r>
        <w:rPr>
          <w:spacing w:val="40"/>
        </w:rPr>
        <w:t> </w:t>
      </w:r>
      <w:r>
        <w:rPr/>
        <w:t>nossos protestos de elevada estima e consideração.</w:t>
      </w:r>
    </w:p>
    <w:p>
      <w:pPr>
        <w:pStyle w:val="BodyText"/>
        <w:spacing w:before="120"/>
        <w:ind w:left="1313"/>
      </w:pPr>
      <w:r>
        <w:rPr>
          <w:spacing w:val="-2"/>
        </w:rPr>
        <w:t>Atenciosamente,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9"/>
        <w:rPr>
          <w:sz w:val="20"/>
        </w:rPr>
      </w:pPr>
      <w:r>
        <w:rPr>
          <w:sz w:val="20"/>
        </w:rPr>
        <mc:AlternateContent>
          <mc:Choice Requires="wps">
            <w:drawing>
              <wp:anchor distT="0" distB="0" distL="0" distR="0" allowOverlap="1" layoutInCell="1" locked="0" behindDoc="1" simplePos="0" relativeHeight="487587840">
                <wp:simplePos x="0" y="0"/>
                <wp:positionH relativeFrom="page">
                  <wp:posOffset>825500</wp:posOffset>
                </wp:positionH>
                <wp:positionV relativeFrom="paragraph">
                  <wp:posOffset>262696</wp:posOffset>
                </wp:positionV>
                <wp:extent cx="6264275" cy="190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264275" cy="19050"/>
                        </a:xfrm>
                        <a:custGeom>
                          <a:avLst/>
                          <a:gdLst/>
                          <a:ahLst/>
                          <a:cxnLst/>
                          <a:rect l="l" t="t" r="r" b="b"/>
                          <a:pathLst>
                            <a:path w="6264275" h="19050">
                              <a:moveTo>
                                <a:pt x="6264275" y="0"/>
                              </a:moveTo>
                              <a:lnTo>
                                <a:pt x="0" y="0"/>
                              </a:lnTo>
                              <a:lnTo>
                                <a:pt x="0" y="19050"/>
                              </a:lnTo>
                              <a:lnTo>
                                <a:pt x="6264275" y="19050"/>
                              </a:lnTo>
                              <a:lnTo>
                                <a:pt x="62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5pt;margin-top:20.684755pt;width:493.250023pt;height:1.5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spacing w:line="276" w:lineRule="auto" w:before="121"/>
        <w:ind w:left="5149" w:right="4468" w:hanging="4"/>
        <w:jc w:val="center"/>
      </w:pPr>
      <w:r>
        <w:rPr/>
        <w:t>Fabiana Rolla Diretora</w:t>
      </w:r>
      <w:r>
        <w:rPr>
          <w:spacing w:val="-15"/>
        </w:rPr>
        <w:t> </w:t>
      </w:r>
      <w:r>
        <w:rPr/>
        <w:t>Médica</w:t>
      </w:r>
    </w:p>
    <w:p>
      <w:pPr>
        <w:pStyle w:val="BodyText"/>
        <w:spacing w:before="101"/>
        <w:ind w:left="268"/>
        <w:jc w:val="center"/>
      </w:pPr>
      <w:r>
        <w:rPr/>
        <w:t>Hospital</w:t>
      </w:r>
      <w:r>
        <w:rPr>
          <w:spacing w:val="-3"/>
        </w:rPr>
        <w:t> </w:t>
      </w:r>
      <w:r>
        <w:rPr/>
        <w:t>Estadual</w:t>
      </w:r>
      <w:r>
        <w:rPr>
          <w:spacing w:val="-1"/>
        </w:rPr>
        <w:t> </w:t>
      </w:r>
      <w:r>
        <w:rPr/>
        <w:t>de</w:t>
      </w:r>
      <w:r>
        <w:rPr>
          <w:spacing w:val="-4"/>
        </w:rPr>
        <w:t> </w:t>
      </w:r>
      <w:r>
        <w:rPr/>
        <w:t>Urgências</w:t>
      </w:r>
      <w:r>
        <w:rPr>
          <w:spacing w:val="-2"/>
        </w:rPr>
        <w:t> </w:t>
      </w:r>
      <w:r>
        <w:rPr/>
        <w:t>de</w:t>
      </w:r>
      <w:r>
        <w:rPr>
          <w:spacing w:val="-5"/>
        </w:rPr>
        <w:t> </w:t>
      </w:r>
      <w:r>
        <w:rPr/>
        <w:t>Goiás</w:t>
      </w:r>
      <w:r>
        <w:rPr>
          <w:spacing w:val="-3"/>
        </w:rPr>
        <w:t> </w:t>
      </w:r>
      <w:r>
        <w:rPr/>
        <w:t>Dr.</w:t>
      </w:r>
      <w:r>
        <w:rPr>
          <w:spacing w:val="-4"/>
        </w:rPr>
        <w:t> </w:t>
      </w:r>
      <w:r>
        <w:rPr/>
        <w:t>Valdemiro</w:t>
      </w:r>
      <w:r>
        <w:rPr>
          <w:spacing w:val="-2"/>
        </w:rPr>
        <w:t> </w:t>
      </w:r>
      <w:r>
        <w:rPr/>
        <w:t>Cruz</w:t>
      </w:r>
      <w:r>
        <w:rPr>
          <w:spacing w:val="-5"/>
        </w:rPr>
        <w:t> </w:t>
      </w:r>
      <w:r>
        <w:rPr/>
        <w:t>-</w:t>
      </w:r>
      <w:r>
        <w:rPr>
          <w:spacing w:val="-3"/>
        </w:rPr>
        <w:t> </w:t>
      </w:r>
      <w:r>
        <w:rPr>
          <w:spacing w:val="-4"/>
        </w:rPr>
        <w:t>HUGO</w:t>
      </w:r>
    </w:p>
    <w:p>
      <w:pPr>
        <w:pStyle w:val="BodyText"/>
        <w:spacing w:after="0"/>
        <w:jc w:val="center"/>
        <w:sectPr>
          <w:headerReference w:type="default" r:id="rId5"/>
          <w:footerReference w:type="default" r:id="rId6"/>
          <w:type w:val="continuous"/>
          <w:pgSz w:w="11910" w:h="16840"/>
          <w:pgMar w:header="724" w:footer="713" w:top="2100" w:bottom="900" w:left="708" w:right="0"/>
          <w:pgNumType w:start="1"/>
        </w:sectPr>
      </w:pPr>
    </w:p>
    <w:p>
      <w:pPr>
        <w:pStyle w:val="BodyText"/>
        <w:spacing w:before="4"/>
        <w:rPr>
          <w:sz w:val="17"/>
        </w:rPr>
      </w:pPr>
    </w:p>
    <w:p>
      <w:pPr>
        <w:pStyle w:val="BodyText"/>
        <w:spacing w:after="0"/>
        <w:rPr>
          <w:sz w:val="17"/>
        </w:rPr>
        <w:sectPr>
          <w:pgSz w:w="11910" w:h="16840"/>
          <w:pgMar w:header="724" w:footer="713" w:top="2100" w:bottom="900" w:left="708" w:right="0"/>
        </w:sectPr>
      </w:pPr>
    </w:p>
    <w:p>
      <w:pPr>
        <w:pStyle w:val="BodyText"/>
        <w:spacing w:before="4"/>
        <w:rPr>
          <w:sz w:val="17"/>
        </w:rPr>
      </w:pPr>
    </w:p>
    <w:p>
      <w:pPr>
        <w:pStyle w:val="BodyText"/>
        <w:spacing w:after="0"/>
        <w:rPr>
          <w:sz w:val="17"/>
        </w:rPr>
        <w:sectPr>
          <w:pgSz w:w="11910" w:h="16840"/>
          <w:pgMar w:header="724" w:footer="713" w:top="2100" w:bottom="900" w:left="708" w:right="0"/>
        </w:sectPr>
      </w:pPr>
    </w:p>
    <w:p>
      <w:pPr>
        <w:pStyle w:val="BodyText"/>
        <w:rPr>
          <w:sz w:val="80"/>
        </w:rPr>
      </w:pPr>
      <w:r>
        <w:rPr>
          <w:sz w:val="80"/>
        </w:rPr>
        <mc:AlternateContent>
          <mc:Choice Requires="wps">
            <w:drawing>
              <wp:anchor distT="0" distB="0" distL="0" distR="0" allowOverlap="1" layoutInCell="1" locked="0" behindDoc="1" simplePos="0" relativeHeight="486081536">
                <wp:simplePos x="0" y="0"/>
                <wp:positionH relativeFrom="page">
                  <wp:posOffset>0</wp:posOffset>
                </wp:positionH>
                <wp:positionV relativeFrom="page">
                  <wp:posOffset>5724</wp:posOffset>
                </wp:positionV>
                <wp:extent cx="7470140" cy="1064196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470140" cy="10641965"/>
                          <a:chExt cx="7470140" cy="10641965"/>
                        </a:xfrm>
                      </wpg:grpSpPr>
                      <pic:pic>
                        <pic:nvPicPr>
                          <pic:cNvPr id="5" name="Image 5"/>
                          <pic:cNvPicPr/>
                        </pic:nvPicPr>
                        <pic:blipFill>
                          <a:blip r:embed="rId9" cstate="print"/>
                          <a:stretch>
                            <a:fillRect/>
                          </a:stretch>
                        </pic:blipFill>
                        <pic:spPr>
                          <a:xfrm>
                            <a:off x="664197" y="221615"/>
                            <a:ext cx="6233160" cy="781685"/>
                          </a:xfrm>
                          <a:prstGeom prst="rect">
                            <a:avLst/>
                          </a:prstGeom>
                        </pic:spPr>
                      </pic:pic>
                      <pic:pic>
                        <pic:nvPicPr>
                          <pic:cNvPr id="6" name="Image 6"/>
                          <pic:cNvPicPr/>
                        </pic:nvPicPr>
                        <pic:blipFill>
                          <a:blip r:embed="rId10" cstate="print"/>
                          <a:stretch>
                            <a:fillRect/>
                          </a:stretch>
                        </pic:blipFill>
                        <pic:spPr>
                          <a:xfrm>
                            <a:off x="0" y="0"/>
                            <a:ext cx="7470140" cy="10641965"/>
                          </a:xfrm>
                          <a:prstGeom prst="rect">
                            <a:avLst/>
                          </a:prstGeom>
                        </pic:spPr>
                      </pic:pic>
                      <wps:wsp>
                        <wps:cNvPr id="7" name="Graphic 7"/>
                        <wps:cNvSpPr/>
                        <wps:spPr>
                          <a:xfrm>
                            <a:off x="824864" y="8532494"/>
                            <a:ext cx="6624955" cy="1079500"/>
                          </a:xfrm>
                          <a:custGeom>
                            <a:avLst/>
                            <a:gdLst/>
                            <a:ahLst/>
                            <a:cxnLst/>
                            <a:rect l="l" t="t" r="r" b="b"/>
                            <a:pathLst>
                              <a:path w="6624955" h="1079500">
                                <a:moveTo>
                                  <a:pt x="6624955" y="0"/>
                                </a:moveTo>
                                <a:lnTo>
                                  <a:pt x="0" y="0"/>
                                </a:lnTo>
                                <a:lnTo>
                                  <a:pt x="0" y="1079499"/>
                                </a:lnTo>
                                <a:lnTo>
                                  <a:pt x="3312795" y="1079499"/>
                                </a:lnTo>
                                <a:lnTo>
                                  <a:pt x="6624955" y="1079499"/>
                                </a:lnTo>
                                <a:lnTo>
                                  <a:pt x="6624955"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3124200" y="9218930"/>
                            <a:ext cx="4264025" cy="1007110"/>
                          </a:xfrm>
                          <a:custGeom>
                            <a:avLst/>
                            <a:gdLst/>
                            <a:ahLst/>
                            <a:cxnLst/>
                            <a:rect l="l" t="t" r="r" b="b"/>
                            <a:pathLst>
                              <a:path w="4264025" h="1007110">
                                <a:moveTo>
                                  <a:pt x="4264025" y="0"/>
                                </a:moveTo>
                                <a:lnTo>
                                  <a:pt x="0" y="0"/>
                                </a:lnTo>
                                <a:lnTo>
                                  <a:pt x="0" y="1007109"/>
                                </a:lnTo>
                                <a:lnTo>
                                  <a:pt x="2132329" y="1007109"/>
                                </a:lnTo>
                                <a:lnTo>
                                  <a:pt x="4264025" y="1007109"/>
                                </a:lnTo>
                                <a:lnTo>
                                  <a:pt x="4264025" y="0"/>
                                </a:lnTo>
                                <a:close/>
                              </a:path>
                            </a:pathLst>
                          </a:custGeom>
                          <a:solidFill>
                            <a:srgbClr val="000000">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5077pt;width:588.2pt;height:837.95pt;mso-position-horizontal-relative:page;mso-position-vertical-relative:page;z-index:-17234944" id="docshapegroup3" coordorigin="0,9" coordsize="11764,16759">
                <v:shape style="position:absolute;left:1045;top:358;width:9816;height:1231" type="#_x0000_t75" id="docshape4" stroked="false">
                  <v:imagedata r:id="rId9" o:title=""/>
                </v:shape>
                <v:shape style="position:absolute;left:0;top:9;width:11764;height:16759" type="#_x0000_t75" id="docshape5" stroked="false">
                  <v:imagedata r:id="rId10" o:title=""/>
                </v:shape>
                <v:shape style="position:absolute;left:1299;top:13446;width:10433;height:1700" id="docshape6" coordorigin="1299,13446" coordsize="10433,1700" path="m11732,13446l1299,13446,1299,15146,6516,15146,11732,15146,11732,13446xe" filled="true" fillcolor="#ffffff" stroked="false">
                  <v:path arrowok="t"/>
                  <v:fill type="solid"/>
                </v:shape>
                <v:shape style="position:absolute;left:4920;top:14527;width:6715;height:1586" id="docshape7" coordorigin="4920,14527" coordsize="6715,1586" path="m11635,14527l4920,14527,4920,16113,8278,16113,11635,16113,11635,14527xe" filled="true" fillcolor="#000000" stroked="false">
                  <v:path arrowok="t"/>
                  <v:fill opacity="52428f" type="solid"/>
                </v:shape>
                <w10:wrap type="none"/>
              </v:group>
            </w:pict>
          </mc:Fallback>
        </mc:AlternateContent>
      </w: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rPr>
          <w:sz w:val="80"/>
        </w:rPr>
      </w:pPr>
    </w:p>
    <w:p>
      <w:pPr>
        <w:pStyle w:val="BodyText"/>
        <w:spacing w:before="683"/>
        <w:rPr>
          <w:sz w:val="80"/>
        </w:rPr>
      </w:pPr>
    </w:p>
    <w:p>
      <w:pPr>
        <w:pStyle w:val="Title"/>
      </w:pPr>
      <w:r>
        <w:rPr>
          <w:color w:val="3F3F3F"/>
          <w:spacing w:val="-72"/>
        </w:rPr>
        <w:t>R</w:t>
      </w:r>
      <w:r>
        <w:rPr>
          <w:color w:val="3F3F3F"/>
          <w:spacing w:val="-56"/>
        </w:rPr>
        <w:t>el</w:t>
      </w:r>
      <w:r>
        <w:rPr>
          <w:color w:val="3F3F3F"/>
          <w:spacing w:val="-55"/>
        </w:rPr>
        <w:t>at</w:t>
      </w:r>
      <w:r>
        <w:rPr>
          <w:color w:val="3F3F3F"/>
          <w:spacing w:val="-57"/>
        </w:rPr>
        <w:t>ó</w:t>
      </w:r>
      <w:r>
        <w:rPr>
          <w:color w:val="3F3F3F"/>
          <w:spacing w:val="-55"/>
        </w:rPr>
        <w:t>r</w:t>
      </w:r>
      <w:r>
        <w:rPr>
          <w:color w:val="3F3F3F"/>
          <w:spacing w:val="-54"/>
        </w:rPr>
        <w:t>i</w:t>
      </w:r>
      <w:r>
        <w:rPr>
          <w:color w:val="3F3F3F"/>
          <w:spacing w:val="47"/>
        </w:rPr>
        <w:t>o</w:t>
      </w:r>
      <w:r>
        <w:rPr>
          <w:color w:val="3F3F3F"/>
          <w:spacing w:val="-56"/>
        </w:rPr>
        <w:t>d</w:t>
      </w:r>
      <w:r>
        <w:rPr>
          <w:color w:val="3F3F3F"/>
          <w:spacing w:val="50"/>
        </w:rPr>
        <w:t>e</w:t>
      </w:r>
      <w:r>
        <w:rPr>
          <w:color w:val="3F3F3F"/>
          <w:spacing w:val="-56"/>
        </w:rPr>
        <w:t>P</w:t>
      </w:r>
      <w:r>
        <w:rPr>
          <w:color w:val="3F3F3F"/>
          <w:spacing w:val="-55"/>
        </w:rPr>
        <w:t>r</w:t>
      </w:r>
      <w:r>
        <w:rPr>
          <w:color w:val="3F3F3F"/>
          <w:spacing w:val="-56"/>
        </w:rPr>
        <w:t>e</w:t>
      </w:r>
      <w:r>
        <w:rPr>
          <w:color w:val="3F3F3F"/>
          <w:spacing w:val="-57"/>
        </w:rPr>
        <w:t>s</w:t>
      </w:r>
      <w:r>
        <w:rPr>
          <w:color w:val="3F3F3F"/>
          <w:spacing w:val="-55"/>
        </w:rPr>
        <w:t>ta</w:t>
      </w:r>
      <w:r>
        <w:rPr>
          <w:color w:val="3F3F3F"/>
          <w:spacing w:val="-56"/>
        </w:rPr>
        <w:t>ç</w:t>
      </w:r>
      <w:r>
        <w:rPr>
          <w:color w:val="3F3F3F"/>
          <w:spacing w:val="-55"/>
        </w:rPr>
        <w:t>ã</w:t>
      </w:r>
      <w:r>
        <w:rPr>
          <w:color w:val="3F3F3F"/>
          <w:spacing w:val="50"/>
        </w:rPr>
        <w:t>o</w:t>
      </w:r>
      <w:r>
        <w:rPr>
          <w:color w:val="3F3F3F"/>
          <w:spacing w:val="-56"/>
        </w:rPr>
        <w:t>d</w:t>
      </w:r>
      <w:r>
        <w:rPr>
          <w:color w:val="3F3F3F"/>
          <w:spacing w:val="18"/>
        </w:rPr>
        <w:t>e</w:t>
      </w:r>
      <w:r>
        <w:rPr>
          <w:color w:val="3F3F3F"/>
          <w:spacing w:val="-55"/>
        </w:rPr>
        <w:t>C</w:t>
      </w:r>
      <w:r>
        <w:rPr>
          <w:color w:val="3F3F3F"/>
          <w:spacing w:val="-57"/>
        </w:rPr>
        <w:t>o</w:t>
      </w:r>
      <w:r>
        <w:rPr>
          <w:color w:val="3F3F3F"/>
          <w:spacing w:val="-55"/>
        </w:rPr>
        <w:t>nta</w:t>
      </w:r>
      <w:r>
        <w:rPr>
          <w:color w:val="3F3F3F"/>
          <w:spacing w:val="5"/>
        </w:rPr>
        <w:t>s</w:t>
      </w:r>
    </w:p>
    <w:p>
      <w:pPr>
        <w:spacing w:line="336" w:lineRule="auto" w:before="209"/>
        <w:ind w:left="5622" w:right="542" w:firstLine="2818"/>
        <w:jc w:val="left"/>
        <w:rPr>
          <w:rFonts w:ascii="Corbel" w:hAnsi="Corbel"/>
          <w:sz w:val="32"/>
        </w:rPr>
      </w:pPr>
      <w:r>
        <w:rPr>
          <w:rFonts w:ascii="Corbel" w:hAnsi="Corbel"/>
          <w:color w:val="FFFFFF"/>
          <w:spacing w:val="-2"/>
          <w:sz w:val="32"/>
        </w:rPr>
        <w:t>Termo:</w:t>
      </w:r>
      <w:r>
        <w:rPr>
          <w:rFonts w:ascii="Corbel" w:hAnsi="Corbel"/>
          <w:color w:val="FFFFFF"/>
          <w:spacing w:val="-15"/>
          <w:sz w:val="32"/>
        </w:rPr>
        <w:t> </w:t>
      </w:r>
      <w:r>
        <w:rPr>
          <w:rFonts w:ascii="Corbel" w:hAnsi="Corbel"/>
          <w:color w:val="FFFFFF"/>
          <w:spacing w:val="-2"/>
          <w:sz w:val="32"/>
        </w:rPr>
        <w:t>097/2024 </w:t>
      </w:r>
      <w:r>
        <w:rPr>
          <w:rFonts w:ascii="Corbel" w:hAnsi="Corbel"/>
          <w:color w:val="FFFFFF"/>
          <w:sz w:val="32"/>
        </w:rPr>
        <w:t>Período:</w:t>
      </w:r>
      <w:r>
        <w:rPr>
          <w:rFonts w:ascii="Corbel" w:hAnsi="Corbel"/>
          <w:color w:val="FFFFFF"/>
          <w:spacing w:val="-3"/>
          <w:sz w:val="32"/>
        </w:rPr>
        <w:t> </w:t>
      </w:r>
      <w:r>
        <w:rPr>
          <w:rFonts w:ascii="Corbel" w:hAnsi="Corbel"/>
          <w:color w:val="FFFFFF"/>
          <w:sz w:val="32"/>
        </w:rPr>
        <w:t>01</w:t>
      </w:r>
      <w:r>
        <w:rPr>
          <w:rFonts w:ascii="Corbel" w:hAnsi="Corbel"/>
          <w:color w:val="FFFFFF"/>
          <w:spacing w:val="-4"/>
          <w:sz w:val="32"/>
        </w:rPr>
        <w:t> </w:t>
      </w:r>
      <w:r>
        <w:rPr>
          <w:rFonts w:ascii="Corbel" w:hAnsi="Corbel"/>
          <w:color w:val="FFFFFF"/>
          <w:sz w:val="32"/>
        </w:rPr>
        <w:t>a</w:t>
      </w:r>
      <w:r>
        <w:rPr>
          <w:rFonts w:ascii="Corbel" w:hAnsi="Corbel"/>
          <w:color w:val="FFFFFF"/>
          <w:spacing w:val="-5"/>
          <w:sz w:val="32"/>
        </w:rPr>
        <w:t> </w:t>
      </w:r>
      <w:r>
        <w:rPr>
          <w:rFonts w:ascii="Corbel" w:hAnsi="Corbel"/>
          <w:color w:val="FFFFFF"/>
          <w:sz w:val="32"/>
        </w:rPr>
        <w:t>30</w:t>
      </w:r>
      <w:r>
        <w:rPr>
          <w:rFonts w:ascii="Corbel" w:hAnsi="Corbel"/>
          <w:color w:val="FFFFFF"/>
          <w:spacing w:val="-5"/>
          <w:sz w:val="32"/>
        </w:rPr>
        <w:t> </w:t>
      </w:r>
      <w:r>
        <w:rPr>
          <w:rFonts w:ascii="Corbel" w:hAnsi="Corbel"/>
          <w:color w:val="FFFFFF"/>
          <w:sz w:val="32"/>
        </w:rPr>
        <w:t>de</w:t>
      </w:r>
      <w:r>
        <w:rPr>
          <w:rFonts w:ascii="Corbel" w:hAnsi="Corbel"/>
          <w:color w:val="FFFFFF"/>
          <w:spacing w:val="-4"/>
          <w:sz w:val="32"/>
        </w:rPr>
        <w:t> </w:t>
      </w:r>
      <w:r>
        <w:rPr>
          <w:rFonts w:ascii="Corbel" w:hAnsi="Corbel"/>
          <w:color w:val="FFFFFF"/>
          <w:sz w:val="32"/>
        </w:rPr>
        <w:t>Novembro</w:t>
      </w:r>
      <w:r>
        <w:rPr>
          <w:rFonts w:ascii="Corbel" w:hAnsi="Corbel"/>
          <w:color w:val="FFFFFF"/>
          <w:spacing w:val="-5"/>
          <w:sz w:val="32"/>
        </w:rPr>
        <w:t> </w:t>
      </w:r>
      <w:r>
        <w:rPr>
          <w:rFonts w:ascii="Corbel" w:hAnsi="Corbel"/>
          <w:color w:val="FFFFFF"/>
          <w:sz w:val="32"/>
        </w:rPr>
        <w:t>de</w:t>
      </w:r>
      <w:r>
        <w:rPr>
          <w:rFonts w:ascii="Corbel" w:hAnsi="Corbel"/>
          <w:color w:val="FFFFFF"/>
          <w:spacing w:val="-3"/>
          <w:sz w:val="32"/>
        </w:rPr>
        <w:t> </w:t>
      </w:r>
      <w:r>
        <w:rPr>
          <w:rFonts w:ascii="Corbel" w:hAnsi="Corbel"/>
          <w:color w:val="FFFFFF"/>
          <w:spacing w:val="-5"/>
          <w:sz w:val="32"/>
        </w:rPr>
        <w:t>2025</w:t>
      </w:r>
    </w:p>
    <w:p>
      <w:pPr>
        <w:spacing w:before="108"/>
        <w:ind w:left="2310" w:right="3372" w:firstLine="0"/>
        <w:jc w:val="left"/>
        <w:rPr>
          <w:rFonts w:ascii="Arial" w:hAnsi="Arial"/>
          <w:b/>
          <w:sz w:val="16"/>
        </w:rPr>
      </w:pPr>
      <w:r>
        <w:rPr>
          <w:rFonts w:ascii="Arial" w:hAnsi="Arial"/>
          <w:b/>
          <w:sz w:val="16"/>
        </w:rPr>
        <w:t>HOSPITAL</w:t>
      </w:r>
      <w:r>
        <w:rPr>
          <w:rFonts w:ascii="Arial" w:hAnsi="Arial"/>
          <w:b/>
          <w:spacing w:val="-4"/>
          <w:sz w:val="16"/>
        </w:rPr>
        <w:t> </w:t>
      </w:r>
      <w:r>
        <w:rPr>
          <w:rFonts w:ascii="Arial" w:hAnsi="Arial"/>
          <w:b/>
          <w:sz w:val="16"/>
        </w:rPr>
        <w:t>ESTADUAL</w:t>
      </w:r>
      <w:r>
        <w:rPr>
          <w:rFonts w:ascii="Arial" w:hAnsi="Arial"/>
          <w:b/>
          <w:spacing w:val="-4"/>
          <w:sz w:val="16"/>
        </w:rPr>
        <w:t> </w:t>
      </w:r>
      <w:r>
        <w:rPr>
          <w:rFonts w:ascii="Arial" w:hAnsi="Arial"/>
          <w:b/>
          <w:sz w:val="16"/>
        </w:rPr>
        <w:t>DE</w:t>
      </w:r>
      <w:r>
        <w:rPr>
          <w:rFonts w:ascii="Arial" w:hAnsi="Arial"/>
          <w:b/>
          <w:spacing w:val="-8"/>
          <w:sz w:val="16"/>
        </w:rPr>
        <w:t> </w:t>
      </w:r>
      <w:r>
        <w:rPr>
          <w:rFonts w:ascii="Arial" w:hAnsi="Arial"/>
          <w:b/>
          <w:sz w:val="16"/>
        </w:rPr>
        <w:t>URGÊNCIAS</w:t>
      </w:r>
      <w:r>
        <w:rPr>
          <w:rFonts w:ascii="Arial" w:hAnsi="Arial"/>
          <w:b/>
          <w:spacing w:val="-3"/>
          <w:sz w:val="16"/>
        </w:rPr>
        <w:t> </w:t>
      </w:r>
      <w:r>
        <w:rPr>
          <w:rFonts w:ascii="Arial" w:hAnsi="Arial"/>
          <w:b/>
          <w:sz w:val="16"/>
        </w:rPr>
        <w:t>DE</w:t>
      </w:r>
      <w:r>
        <w:rPr>
          <w:rFonts w:ascii="Arial" w:hAnsi="Arial"/>
          <w:b/>
          <w:spacing w:val="-8"/>
          <w:sz w:val="16"/>
        </w:rPr>
        <w:t> </w:t>
      </w:r>
      <w:r>
        <w:rPr>
          <w:rFonts w:ascii="Arial" w:hAnsi="Arial"/>
          <w:b/>
          <w:sz w:val="16"/>
        </w:rPr>
        <w:t>GOIÁS</w:t>
      </w:r>
      <w:r>
        <w:rPr>
          <w:rFonts w:ascii="Arial" w:hAnsi="Arial"/>
          <w:b/>
          <w:spacing w:val="-4"/>
          <w:sz w:val="16"/>
        </w:rPr>
        <w:t> </w:t>
      </w:r>
      <w:r>
        <w:rPr>
          <w:rFonts w:ascii="Arial" w:hAnsi="Arial"/>
          <w:b/>
          <w:sz w:val="16"/>
        </w:rPr>
        <w:t>DR.</w:t>
      </w:r>
      <w:r>
        <w:rPr>
          <w:rFonts w:ascii="Arial" w:hAnsi="Arial"/>
          <w:b/>
          <w:spacing w:val="-5"/>
          <w:sz w:val="16"/>
        </w:rPr>
        <w:t> </w:t>
      </w:r>
      <w:r>
        <w:rPr>
          <w:rFonts w:ascii="Arial" w:hAnsi="Arial"/>
          <w:b/>
          <w:sz w:val="16"/>
        </w:rPr>
        <w:t>VALDEMIRO </w:t>
      </w:r>
      <w:r>
        <w:rPr>
          <w:rFonts w:ascii="Arial" w:hAnsi="Arial"/>
          <w:b/>
          <w:spacing w:val="-4"/>
          <w:sz w:val="16"/>
        </w:rPr>
        <w:t>CRUZ</w:t>
      </w:r>
    </w:p>
    <w:p>
      <w:pPr>
        <w:spacing w:after="0"/>
        <w:jc w:val="left"/>
        <w:rPr>
          <w:rFonts w:ascii="Arial" w:hAnsi="Arial"/>
          <w:b/>
          <w:sz w:val="16"/>
        </w:rPr>
        <w:sectPr>
          <w:headerReference w:type="default" r:id="rId7"/>
          <w:footerReference w:type="default" r:id="rId8"/>
          <w:pgSz w:w="11910" w:h="16840"/>
          <w:pgMar w:header="0" w:footer="0" w:top="1920" w:bottom="280" w:left="708" w:right="0"/>
        </w:sectPr>
      </w:pPr>
    </w:p>
    <w:p>
      <w:pPr>
        <w:pStyle w:val="BodyText"/>
        <w:rPr>
          <w:rFonts w:ascii="Arial"/>
          <w:b/>
          <w:sz w:val="40"/>
        </w:rPr>
      </w:pPr>
    </w:p>
    <w:p>
      <w:pPr>
        <w:pStyle w:val="BodyText"/>
        <w:spacing w:before="171"/>
        <w:rPr>
          <w:rFonts w:ascii="Arial"/>
          <w:b/>
          <w:sz w:val="40"/>
        </w:rPr>
      </w:pPr>
    </w:p>
    <w:p>
      <w:pPr>
        <w:spacing w:before="0"/>
        <w:ind w:left="593" w:right="0" w:firstLine="0"/>
        <w:jc w:val="left"/>
        <w:rPr>
          <w:rFonts w:ascii="Cambria" w:hAnsi="Cambria"/>
          <w:sz w:val="40"/>
        </w:rPr>
      </w:pPr>
      <w:r>
        <w:rPr>
          <w:rFonts w:ascii="Cambria" w:hAnsi="Cambria"/>
          <w:color w:val="355E90"/>
          <w:spacing w:val="-2"/>
          <w:sz w:val="40"/>
        </w:rPr>
        <w:t>Sum</w:t>
      </w:r>
      <w:r>
        <w:rPr>
          <w:rFonts w:ascii="Cambria" w:hAnsi="Cambria"/>
          <w:color w:val="355E90"/>
          <w:spacing w:val="-43"/>
          <w:sz w:val="40"/>
        </w:rPr>
        <w:t>á</w:t>
      </w:r>
      <w:r>
        <w:rPr>
          <w:rFonts w:ascii="Cambria" w:hAnsi="Cambria"/>
          <w:color w:val="355E90"/>
          <w:spacing w:val="-159"/>
          <w:sz w:val="40"/>
        </w:rPr>
        <w:t>"</w:t>
      </w:r>
      <w:r>
        <w:rPr>
          <w:rFonts w:ascii="Cambria" w:hAnsi="Cambria"/>
          <w:color w:val="355E90"/>
          <w:spacing w:val="-45"/>
          <w:sz w:val="40"/>
        </w:rPr>
        <w:t> </w:t>
      </w:r>
      <w:r>
        <w:rPr>
          <w:rFonts w:ascii="Cambria" w:hAnsi="Cambria"/>
          <w:color w:val="355E90"/>
          <w:spacing w:val="-5"/>
          <w:sz w:val="40"/>
        </w:rPr>
        <w:t>rio</w:t>
      </w:r>
    </w:p>
    <w:sdt>
      <w:sdtPr>
        <w:docPartObj>
          <w:docPartGallery w:val="Table of Contents"/>
          <w:docPartUnique/>
        </w:docPartObj>
      </w:sdtPr>
      <w:sdtEndPr/>
      <w:sdtContent>
        <w:p>
          <w:pPr>
            <w:pStyle w:val="TOC1"/>
            <w:numPr>
              <w:ilvl w:val="0"/>
              <w:numId w:val="1"/>
            </w:numPr>
            <w:tabs>
              <w:tab w:pos="1419" w:val="left" w:leader="none"/>
              <w:tab w:pos="10453" w:val="right" w:leader="dot"/>
            </w:tabs>
            <w:spacing w:line="240" w:lineRule="auto" w:before="580" w:after="0"/>
            <w:ind w:left="1419" w:right="0" w:hanging="707"/>
            <w:jc w:val="left"/>
            <w:rPr>
              <w:rFonts w:ascii="Arial" w:hAnsi="Arial"/>
            </w:rPr>
          </w:pPr>
          <w:r>
            <w:fldChar w:fldCharType="begin"/>
          </w:r>
          <w:r>
            <w:instrText>TOC \o "1-1" \h \z \u </w:instrText>
          </w:r>
          <w:r>
            <w:fldChar w:fldCharType="separate"/>
          </w:r>
          <w:hyperlink w:history="true" w:anchor="_bookmark0">
            <w:r>
              <w:rPr>
                <w:rFonts w:ascii="Arial" w:hAnsi="Arial"/>
                <w:spacing w:val="-2"/>
              </w:rPr>
              <w:t>Apresentação</w:t>
            </w:r>
            <w:r>
              <w:rPr>
                <w:b w:val="0"/>
              </w:rPr>
              <w:tab/>
            </w:r>
            <w:r>
              <w:rPr>
                <w:rFonts w:ascii="Arial" w:hAnsi="Arial"/>
                <w:spacing w:val="-10"/>
              </w:rPr>
              <w:t>5</w:t>
            </w:r>
          </w:hyperlink>
        </w:p>
        <w:p>
          <w:pPr>
            <w:pStyle w:val="TOC1"/>
            <w:numPr>
              <w:ilvl w:val="0"/>
              <w:numId w:val="1"/>
            </w:numPr>
            <w:tabs>
              <w:tab w:pos="1419" w:val="left" w:leader="none"/>
              <w:tab w:pos="10453" w:val="right" w:leader="dot"/>
            </w:tabs>
            <w:spacing w:line="240" w:lineRule="auto" w:before="138" w:after="0"/>
            <w:ind w:left="1419" w:right="0" w:hanging="707"/>
            <w:jc w:val="left"/>
            <w:rPr>
              <w:rFonts w:ascii="Arial" w:hAnsi="Arial"/>
            </w:rPr>
          </w:pPr>
          <w:hyperlink w:history="true" w:anchor="_bookmark1">
            <w:r>
              <w:rPr/>
              <w:t>Indicadores</w:t>
            </w:r>
            <w:r>
              <w:rPr>
                <w:spacing w:val="-4"/>
              </w:rPr>
              <w:t> </w:t>
            </w:r>
            <w:r>
              <w:rPr/>
              <w:t>de</w:t>
            </w:r>
            <w:r>
              <w:rPr>
                <w:spacing w:val="-5"/>
              </w:rPr>
              <w:t> </w:t>
            </w:r>
            <w:r>
              <w:rPr/>
              <w:t>Produção</w:t>
            </w:r>
            <w:r>
              <w:rPr>
                <w:spacing w:val="-3"/>
              </w:rPr>
              <w:t> </w:t>
            </w:r>
            <w:r>
              <w:rPr>
                <w:spacing w:val="-2"/>
              </w:rPr>
              <w:t>Assistencial</w:t>
            </w:r>
            <w:r>
              <w:rPr>
                <w:b w:val="0"/>
              </w:rPr>
              <w:tab/>
            </w:r>
            <w:r>
              <w:rPr>
                <w:rFonts w:ascii="Arial" w:hAnsi="Arial"/>
                <w:spacing w:val="-10"/>
              </w:rPr>
              <w:t>5</w:t>
            </w:r>
          </w:hyperlink>
        </w:p>
        <w:p>
          <w:pPr>
            <w:pStyle w:val="TOC1"/>
            <w:numPr>
              <w:ilvl w:val="0"/>
              <w:numId w:val="1"/>
            </w:numPr>
            <w:tabs>
              <w:tab w:pos="1419" w:val="left" w:leader="none"/>
              <w:tab w:pos="10453" w:val="right" w:leader="dot"/>
            </w:tabs>
            <w:spacing w:line="240" w:lineRule="auto" w:before="137" w:after="0"/>
            <w:ind w:left="1419" w:right="0" w:hanging="707"/>
            <w:jc w:val="left"/>
            <w:rPr>
              <w:rFonts w:ascii="Arial"/>
            </w:rPr>
          </w:pPr>
          <w:hyperlink w:history="true" w:anchor="_bookmark2">
            <w:r>
              <w:rPr/>
              <w:t>Atendimentos</w:t>
            </w:r>
            <w:r>
              <w:rPr>
                <w:spacing w:val="-5"/>
              </w:rPr>
              <w:t> </w:t>
            </w:r>
            <w:r>
              <w:rPr/>
              <w:t>e</w:t>
            </w:r>
            <w:r>
              <w:rPr>
                <w:spacing w:val="-6"/>
              </w:rPr>
              <w:t> </w:t>
            </w:r>
            <w:r>
              <w:rPr/>
              <w:t>consultas</w:t>
            </w:r>
            <w:r>
              <w:rPr>
                <w:spacing w:val="-4"/>
              </w:rPr>
              <w:t> </w:t>
            </w:r>
            <w:r>
              <w:rPr>
                <w:spacing w:val="-2"/>
              </w:rPr>
              <w:t>ambulatoriais</w:t>
            </w:r>
            <w:r>
              <w:rPr>
                <w:b w:val="0"/>
              </w:rPr>
              <w:tab/>
            </w:r>
            <w:r>
              <w:rPr>
                <w:rFonts w:ascii="Arial"/>
                <w:spacing w:val="-5"/>
              </w:rPr>
              <w:t>10</w:t>
            </w:r>
          </w:hyperlink>
        </w:p>
        <w:p>
          <w:pPr>
            <w:pStyle w:val="TOC1"/>
            <w:numPr>
              <w:ilvl w:val="0"/>
              <w:numId w:val="1"/>
            </w:numPr>
            <w:tabs>
              <w:tab w:pos="1419" w:val="left" w:leader="none"/>
              <w:tab w:pos="10453" w:val="right" w:leader="dot"/>
            </w:tabs>
            <w:spacing w:line="240" w:lineRule="auto" w:before="137" w:after="0"/>
            <w:ind w:left="1419" w:right="0" w:hanging="707"/>
            <w:jc w:val="left"/>
            <w:rPr>
              <w:rFonts w:ascii="Arial"/>
            </w:rPr>
          </w:pPr>
          <w:hyperlink w:history="true" w:anchor="_bookmark3">
            <w:r>
              <w:rPr/>
              <w:t>Indicadores</w:t>
            </w:r>
            <w:r>
              <w:rPr>
                <w:spacing w:val="-5"/>
              </w:rPr>
              <w:t> </w:t>
            </w:r>
            <w:r>
              <w:rPr/>
              <w:t>de</w:t>
            </w:r>
            <w:r>
              <w:rPr>
                <w:spacing w:val="-4"/>
              </w:rPr>
              <w:t> </w:t>
            </w:r>
            <w:r>
              <w:rPr>
                <w:spacing w:val="-2"/>
              </w:rPr>
              <w:t>desempenho</w:t>
            </w:r>
            <w:r>
              <w:rPr>
                <w:b w:val="0"/>
              </w:rPr>
              <w:tab/>
            </w:r>
            <w:r>
              <w:rPr>
                <w:rFonts w:ascii="Arial"/>
                <w:spacing w:val="-5"/>
              </w:rPr>
              <w:t>17</w:t>
            </w:r>
          </w:hyperlink>
        </w:p>
        <w:p>
          <w:pPr>
            <w:pStyle w:val="TOC1"/>
            <w:numPr>
              <w:ilvl w:val="0"/>
              <w:numId w:val="1"/>
            </w:numPr>
            <w:tabs>
              <w:tab w:pos="1419" w:val="left" w:leader="none"/>
              <w:tab w:pos="10453" w:val="right" w:leader="dot"/>
            </w:tabs>
            <w:spacing w:line="240" w:lineRule="auto" w:before="137" w:after="0"/>
            <w:ind w:left="1419" w:right="0" w:hanging="707"/>
            <w:jc w:val="left"/>
            <w:rPr>
              <w:rFonts w:ascii="Arial"/>
            </w:rPr>
          </w:pPr>
          <w:hyperlink w:history="true" w:anchor="_bookmark4">
            <w:r>
              <w:rPr/>
              <w:t>Indicadores</w:t>
            </w:r>
            <w:r>
              <w:rPr>
                <w:spacing w:val="-8"/>
              </w:rPr>
              <w:t> </w:t>
            </w:r>
            <w:r>
              <w:rPr>
                <w:spacing w:val="-2"/>
              </w:rPr>
              <w:t>Financeiro</w:t>
            </w:r>
            <w:r>
              <w:rPr>
                <w:b w:val="0"/>
              </w:rPr>
              <w:tab/>
            </w:r>
            <w:r>
              <w:rPr>
                <w:rFonts w:ascii="Arial"/>
                <w:spacing w:val="-7"/>
              </w:rPr>
              <w:t>20</w:t>
            </w:r>
          </w:hyperlink>
        </w:p>
        <w:p>
          <w:pPr>
            <w:pStyle w:val="TOC1"/>
            <w:numPr>
              <w:ilvl w:val="0"/>
              <w:numId w:val="1"/>
            </w:numPr>
            <w:tabs>
              <w:tab w:pos="1419" w:val="left" w:leader="none"/>
              <w:tab w:pos="10453" w:val="right" w:leader="dot"/>
            </w:tabs>
            <w:spacing w:line="240" w:lineRule="auto" w:before="137" w:after="0"/>
            <w:ind w:left="1419" w:right="0" w:hanging="707"/>
            <w:jc w:val="left"/>
            <w:rPr>
              <w:rFonts w:ascii="Arial" w:hAnsi="Arial"/>
            </w:rPr>
          </w:pPr>
          <w:hyperlink w:history="true" w:anchor="_bookmark5">
            <w:r>
              <w:rPr>
                <w:spacing w:val="-2"/>
              </w:rPr>
              <w:t>Operações</w:t>
            </w:r>
            <w:r>
              <w:rPr>
                <w:b w:val="0"/>
              </w:rPr>
              <w:tab/>
            </w:r>
            <w:r>
              <w:rPr>
                <w:rFonts w:ascii="Arial" w:hAnsi="Arial"/>
                <w:spacing w:val="-5"/>
              </w:rPr>
              <w:t>26</w:t>
            </w:r>
          </w:hyperlink>
        </w:p>
        <w:p>
          <w:pPr>
            <w:pStyle w:val="TOC1"/>
            <w:numPr>
              <w:ilvl w:val="0"/>
              <w:numId w:val="1"/>
            </w:numPr>
            <w:tabs>
              <w:tab w:pos="1419" w:val="left" w:leader="none"/>
              <w:tab w:pos="10453" w:val="right" w:leader="dot"/>
            </w:tabs>
            <w:spacing w:line="240" w:lineRule="auto" w:before="137" w:after="0"/>
            <w:ind w:left="1419" w:right="0" w:hanging="707"/>
            <w:jc w:val="left"/>
            <w:rPr>
              <w:rFonts w:ascii="Arial" w:hAnsi="Arial"/>
            </w:rPr>
          </w:pPr>
          <w:hyperlink w:history="true" w:anchor="_bookmark6">
            <w:r>
              <w:rPr/>
              <w:t>Núcleo</w:t>
            </w:r>
            <w:r>
              <w:rPr>
                <w:spacing w:val="-5"/>
              </w:rPr>
              <w:t> </w:t>
            </w:r>
            <w:r>
              <w:rPr/>
              <w:t>de</w:t>
            </w:r>
            <w:r>
              <w:rPr>
                <w:spacing w:val="-5"/>
              </w:rPr>
              <w:t> </w:t>
            </w:r>
            <w:r>
              <w:rPr/>
              <w:t>Práticas,</w:t>
            </w:r>
            <w:r>
              <w:rPr>
                <w:spacing w:val="-2"/>
              </w:rPr>
              <w:t> </w:t>
            </w:r>
            <w:r>
              <w:rPr/>
              <w:t>Qualidade</w:t>
            </w:r>
            <w:r>
              <w:rPr>
                <w:spacing w:val="-5"/>
              </w:rPr>
              <w:t> </w:t>
            </w:r>
            <w:r>
              <w:rPr/>
              <w:t>e</w:t>
            </w:r>
            <w:r>
              <w:rPr>
                <w:spacing w:val="-2"/>
              </w:rPr>
              <w:t> </w:t>
            </w:r>
            <w:r>
              <w:rPr/>
              <w:t>Segurança</w:t>
            </w:r>
            <w:r>
              <w:rPr>
                <w:spacing w:val="-3"/>
              </w:rPr>
              <w:t> </w:t>
            </w:r>
            <w:r>
              <w:rPr/>
              <w:t>do</w:t>
            </w:r>
            <w:r>
              <w:rPr>
                <w:spacing w:val="-3"/>
              </w:rPr>
              <w:t> </w:t>
            </w:r>
            <w:r>
              <w:rPr>
                <w:spacing w:val="-2"/>
              </w:rPr>
              <w:t>Paciente</w:t>
            </w:r>
            <w:r>
              <w:rPr>
                <w:b w:val="0"/>
              </w:rPr>
              <w:tab/>
            </w:r>
            <w:r>
              <w:rPr>
                <w:rFonts w:ascii="Arial" w:hAnsi="Arial"/>
                <w:spacing w:val="-5"/>
              </w:rPr>
              <w:t>34</w:t>
            </w:r>
          </w:hyperlink>
        </w:p>
        <w:p>
          <w:pPr/>
          <w:r>
            <w:fldChar w:fldCharType="end"/>
          </w:r>
        </w:p>
      </w:sdtContent>
    </w:sdt>
    <w:p>
      <w:pPr>
        <w:spacing w:after="0"/>
        <w:sectPr>
          <w:headerReference w:type="default" r:id="rId11"/>
          <w:footerReference w:type="default" r:id="rId12"/>
          <w:pgSz w:w="11910" w:h="16840"/>
          <w:pgMar w:header="358" w:footer="560" w:top="1580" w:bottom="740" w:left="708" w:right="0"/>
        </w:sectPr>
      </w:pPr>
    </w:p>
    <w:p>
      <w:pPr>
        <w:pStyle w:val="BodyText"/>
        <w:rPr>
          <w:rFonts w:ascii="Arial"/>
          <w:b/>
        </w:rPr>
      </w:pPr>
    </w:p>
    <w:p>
      <w:pPr>
        <w:pStyle w:val="BodyText"/>
        <w:rPr>
          <w:rFonts w:ascii="Arial"/>
          <w:b/>
        </w:rPr>
      </w:pPr>
    </w:p>
    <w:p>
      <w:pPr>
        <w:pStyle w:val="BodyText"/>
        <w:rPr>
          <w:rFonts w:ascii="Arial"/>
          <w:b/>
        </w:rPr>
      </w:pPr>
    </w:p>
    <w:p>
      <w:pPr>
        <w:pStyle w:val="BodyText"/>
        <w:spacing w:before="23"/>
        <w:rPr>
          <w:rFonts w:ascii="Arial"/>
          <w:b/>
        </w:rPr>
      </w:pPr>
    </w:p>
    <w:p>
      <w:pPr>
        <w:pStyle w:val="Heading1"/>
        <w:numPr>
          <w:ilvl w:val="0"/>
          <w:numId w:val="2"/>
        </w:numPr>
        <w:tabs>
          <w:tab w:pos="1431" w:val="left" w:leader="none"/>
        </w:tabs>
        <w:spacing w:line="240" w:lineRule="auto" w:before="1" w:after="0"/>
        <w:ind w:left="1431" w:right="0" w:hanging="719"/>
        <w:jc w:val="left"/>
      </w:pPr>
      <w:bookmarkStart w:name="1. Apresentação" w:id="1"/>
      <w:bookmarkEnd w:id="1"/>
      <w:r>
        <w:rPr>
          <w:rFonts w:ascii="Arial" w:hAnsi="Arial"/>
        </w:rPr>
      </w:r>
      <w:bookmarkStart w:name="_bookmark0" w:id="2"/>
      <w:bookmarkEnd w:id="2"/>
      <w:r>
        <w:rPr>
          <w:rFonts w:ascii="Arial" w:hAnsi="Arial"/>
        </w:rPr>
      </w:r>
      <w:r>
        <w:rPr>
          <w:spacing w:val="-2"/>
        </w:rPr>
        <w:t>Apresentação</w:t>
      </w:r>
    </w:p>
    <w:p>
      <w:pPr>
        <w:pStyle w:val="BodyText"/>
        <w:spacing w:before="2"/>
        <w:rPr>
          <w:b/>
        </w:rPr>
      </w:pPr>
    </w:p>
    <w:p>
      <w:pPr>
        <w:pStyle w:val="BodyText"/>
        <w:spacing w:line="360" w:lineRule="auto"/>
        <w:ind w:left="593" w:right="735" w:firstLine="720"/>
        <w:jc w:val="both"/>
      </w:pPr>
      <w:r>
        <w:rPr/>
        <w:t>O Hospital Estadual de Urgências de Goiás Dr. Valdemiro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presta serviços essenciais, incluindo o</w:t>
      </w:r>
      <w:r>
        <w:rPr>
          <w:spacing w:val="-3"/>
        </w:rPr>
        <w:t> </w:t>
      </w:r>
      <w:r>
        <w:rPr/>
        <w:t>tratamento de</w:t>
      </w:r>
      <w:r>
        <w:rPr>
          <w:spacing w:val="-4"/>
        </w:rPr>
        <w:t> </w:t>
      </w:r>
      <w:r>
        <w:rPr/>
        <w:t>pacientes</w:t>
      </w:r>
      <w:r>
        <w:rPr>
          <w:spacing w:val="-1"/>
        </w:rPr>
        <w:t> </w:t>
      </w:r>
      <w:r>
        <w:rPr/>
        <w:t>politraumatizados</w:t>
      </w:r>
      <w:r>
        <w:rPr>
          <w:spacing w:val="-1"/>
        </w:rPr>
        <w:t> </w:t>
      </w:r>
      <w:r>
        <w:rPr/>
        <w:t>e</w:t>
      </w:r>
      <w:r>
        <w:rPr>
          <w:spacing w:val="-2"/>
        </w:rPr>
        <w:t> </w:t>
      </w:r>
      <w:r>
        <w:rPr/>
        <w:t>casos</w:t>
      </w:r>
      <w:r>
        <w:rPr>
          <w:spacing w:val="-3"/>
        </w:rPr>
        <w:t> </w:t>
      </w:r>
      <w:r>
        <w:rPr/>
        <w:t>de</w:t>
      </w:r>
      <w:r>
        <w:rPr>
          <w:spacing w:val="-2"/>
        </w:rPr>
        <w:t> </w:t>
      </w:r>
      <w:r>
        <w:rPr/>
        <w:t>elevada gravidade</w:t>
      </w:r>
      <w:r>
        <w:rPr>
          <w:spacing w:val="-1"/>
        </w:rPr>
        <w:t> </w:t>
      </w:r>
      <w:r>
        <w:rPr/>
        <w:t>nas</w:t>
      </w:r>
      <w:r>
        <w:rPr>
          <w:spacing w:val="-3"/>
        </w:rPr>
        <w:t> </w:t>
      </w:r>
      <w:r>
        <w:rPr/>
        <w:t>especialidades neurocirúrgica, cirúrgica e clínica.</w:t>
      </w:r>
    </w:p>
    <w:p>
      <w:pPr>
        <w:pStyle w:val="BodyText"/>
        <w:spacing w:line="360" w:lineRule="auto"/>
        <w:ind w:left="593" w:right="747" w:firstLine="720"/>
        <w:jc w:val="both"/>
      </w:pPr>
      <w:r>
        <w:rPr/>
        <w:t>O presente relatório tem por finalidade apresentar os resultados assistenciais, operacionais e financeiros referentes ao</w:t>
      </w:r>
      <w:r>
        <w:rPr>
          <w:spacing w:val="-3"/>
        </w:rPr>
        <w:t> </w:t>
      </w:r>
      <w:r>
        <w:rPr/>
        <w:t>período</w:t>
      </w:r>
      <w:r>
        <w:rPr>
          <w:spacing w:val="-1"/>
        </w:rPr>
        <w:t> </w:t>
      </w:r>
      <w:r>
        <w:rPr/>
        <w:t>compreendido</w:t>
      </w:r>
      <w:r>
        <w:rPr>
          <w:spacing w:val="-1"/>
        </w:rPr>
        <w:t> </w:t>
      </w:r>
      <w:r>
        <w:rPr/>
        <w:t>entre</w:t>
      </w:r>
      <w:r>
        <w:rPr>
          <w:spacing w:val="-2"/>
        </w:rPr>
        <w:t> </w:t>
      </w:r>
      <w:r>
        <w:rPr/>
        <w:t>1º</w:t>
      </w:r>
      <w:r>
        <w:rPr>
          <w:spacing w:val="-3"/>
        </w:rPr>
        <w:t> </w:t>
      </w:r>
      <w:r>
        <w:rPr/>
        <w:t>e</w:t>
      </w:r>
      <w:r>
        <w:rPr>
          <w:spacing w:val="-3"/>
        </w:rPr>
        <w:t> </w:t>
      </w:r>
      <w:r>
        <w:rPr/>
        <w:t>30</w:t>
      </w:r>
      <w:r>
        <w:rPr>
          <w:spacing w:val="-3"/>
        </w:rPr>
        <w:t> </w:t>
      </w:r>
      <w:r>
        <w:rPr/>
        <w:t>de</w:t>
      </w:r>
      <w:r>
        <w:rPr>
          <w:spacing w:val="-2"/>
        </w:rPr>
        <w:t> </w:t>
      </w:r>
      <w:r>
        <w:rPr/>
        <w:t>novembro</w:t>
      </w:r>
      <w:r>
        <w:rPr>
          <w:spacing w:val="-3"/>
        </w:rPr>
        <w:t> </w:t>
      </w:r>
      <w:r>
        <w:rPr/>
        <w:t>de</w:t>
      </w:r>
      <w:r>
        <w:rPr>
          <w:spacing w:val="-3"/>
        </w:rPr>
        <w:t> </w:t>
      </w:r>
      <w:r>
        <w:rPr/>
        <w:t>2025,</w:t>
      </w:r>
      <w:r>
        <w:rPr>
          <w:spacing w:val="-3"/>
        </w:rPr>
        <w:t> </w:t>
      </w:r>
      <w:r>
        <w:rPr/>
        <w:t>incluindo análises críticas voltadas ao monitoramento, avaliação e aprimoramento contínuo da qualidade dos serviços prestados por esta instituição.</w:t>
      </w:r>
    </w:p>
    <w:p>
      <w:pPr>
        <w:pStyle w:val="BodyText"/>
        <w:spacing w:before="1"/>
      </w:pPr>
    </w:p>
    <w:p>
      <w:pPr>
        <w:pStyle w:val="Heading1"/>
        <w:numPr>
          <w:ilvl w:val="0"/>
          <w:numId w:val="2"/>
        </w:numPr>
        <w:tabs>
          <w:tab w:pos="1431" w:val="left" w:leader="none"/>
        </w:tabs>
        <w:spacing w:line="240" w:lineRule="auto" w:before="0" w:after="0"/>
        <w:ind w:left="1431" w:right="0" w:hanging="719"/>
        <w:jc w:val="left"/>
      </w:pPr>
      <w:bookmarkStart w:name="2. Indicadores de Produção Assistencial" w:id="3"/>
      <w:bookmarkEnd w:id="3"/>
      <w:r>
        <w:rPr>
          <w:rFonts w:ascii="Arial" w:hAnsi="Arial"/>
        </w:rPr>
      </w:r>
      <w:bookmarkStart w:name="_bookmark1" w:id="4"/>
      <w:bookmarkEnd w:id="4"/>
      <w:r>
        <w:rPr>
          <w:rFonts w:ascii="Arial" w:hAnsi="Arial"/>
        </w:rPr>
      </w:r>
      <w:r>
        <w:rPr/>
        <w:t>Indicadores</w:t>
      </w:r>
      <w:r>
        <w:rPr>
          <w:spacing w:val="-4"/>
        </w:rPr>
        <w:t> </w:t>
      </w:r>
      <w:r>
        <w:rPr/>
        <w:t>de</w:t>
      </w:r>
      <w:r>
        <w:rPr>
          <w:spacing w:val="-5"/>
        </w:rPr>
        <w:t> </w:t>
      </w:r>
      <w:r>
        <w:rPr/>
        <w:t>Produção</w:t>
      </w:r>
      <w:r>
        <w:rPr>
          <w:spacing w:val="-3"/>
        </w:rPr>
        <w:t> </w:t>
      </w:r>
      <w:r>
        <w:rPr>
          <w:spacing w:val="-2"/>
        </w:rPr>
        <w:t>Assistencial</w:t>
      </w:r>
    </w:p>
    <w:p>
      <w:pPr>
        <w:pStyle w:val="BodyText"/>
        <w:rPr>
          <w:b/>
        </w:rPr>
      </w:pPr>
    </w:p>
    <w:p>
      <w:pPr>
        <w:pStyle w:val="BodyText"/>
        <w:spacing w:line="360" w:lineRule="auto"/>
        <w:ind w:left="593" w:right="752" w:firstLine="720"/>
        <w:jc w:val="both"/>
      </w:pPr>
      <w:r>
        <w:rPr/>
        <w:t>O mês de novembro encerra o penúltimo ciclo do ano com o HUGO mantendo patamares consistentes de produção assistencial, mesmo diante das variações sazonais típicas do período que antecede o recesso de final de ano.</w:t>
      </w:r>
    </w:p>
    <w:p>
      <w:pPr>
        <w:pStyle w:val="BodyText"/>
        <w:spacing w:line="360" w:lineRule="auto"/>
        <w:ind w:left="593" w:right="745" w:firstLine="720"/>
        <w:jc w:val="both"/>
      </w:pPr>
      <w:r>
        <w:rPr/>
        <w:t>Foram registradas 1.250 saídas hospitalares no mês, volume que, embora inferior a outubro, mantém-se alinhado à média do segundo semestre e reflete a estabilidade operacional conquistada ao longo de 2025. A Clínica Cirúrgica respondeu por 848 altas, consolidando-se como principal volume assistencial da instituição. A Clínica Médica registrou 289 saídas, enquanto a Clínica Neurológica alcançou 113</w:t>
      </w:r>
      <w:r>
        <w:rPr>
          <w:spacing w:val="-2"/>
        </w:rPr>
        <w:t> </w:t>
      </w:r>
      <w:r>
        <w:rPr/>
        <w:t>altas — superando em</w:t>
      </w:r>
      <w:r>
        <w:rPr>
          <w:spacing w:val="-1"/>
        </w:rPr>
        <w:t> </w:t>
      </w:r>
      <w:r>
        <w:rPr/>
        <w:t>146%</w:t>
      </w:r>
      <w:r>
        <w:rPr>
          <w:spacing w:val="-2"/>
        </w:rPr>
        <w:t> </w:t>
      </w:r>
      <w:r>
        <w:rPr/>
        <w:t>a</w:t>
      </w:r>
      <w:r>
        <w:rPr>
          <w:spacing w:val="-1"/>
        </w:rPr>
        <w:t> </w:t>
      </w:r>
      <w:r>
        <w:rPr/>
        <w:t>meta mensal</w:t>
      </w:r>
      <w:r>
        <w:rPr>
          <w:spacing w:val="-1"/>
        </w:rPr>
        <w:t> </w:t>
      </w:r>
      <w:r>
        <w:rPr/>
        <w:t>estabelecida (46),</w:t>
      </w:r>
      <w:r>
        <w:rPr>
          <w:spacing w:val="-2"/>
        </w:rPr>
        <w:t> </w:t>
      </w:r>
      <w:r>
        <w:rPr/>
        <w:t>reafirmando a</w:t>
      </w:r>
      <w:r>
        <w:rPr>
          <w:spacing w:val="-1"/>
        </w:rPr>
        <w:t> </w:t>
      </w:r>
      <w:r>
        <w:rPr/>
        <w:t>vocação do HUGO como referência estadual em neurocirurgia e atendimento ao AVC.</w:t>
      </w:r>
    </w:p>
    <w:p>
      <w:pPr>
        <w:pStyle w:val="BodyText"/>
        <w:spacing w:line="360" w:lineRule="auto"/>
        <w:ind w:left="593" w:right="755" w:firstLine="720"/>
        <w:jc w:val="both"/>
      </w:pPr>
      <w:r>
        <w:rPr/>
        <w:t>Ao longo de 2025, o hospital acumulou mais de 13.000 saídas hospitalares, demonstrando capacidade sustentada de atendimento à demanda da rede estadual de urgência e emergência.</w:t>
      </w:r>
    </w:p>
    <w:p>
      <w:pPr>
        <w:pStyle w:val="BodyText"/>
        <w:spacing w:line="360" w:lineRule="auto"/>
        <w:ind w:left="593" w:right="750" w:firstLine="720"/>
        <w:jc w:val="both"/>
      </w:pPr>
      <w:r>
        <w:rPr/>
        <w:t>O SADT interno totalizou 70.762 exames, volume expressivo que reflete a intensa atividade assistencial da unidade. As análises clínicas responderam por 58.320 procedimentos, seguidas pela tomografia computadorizada (6.422), raio-X (4.569) e eletrocardiograma (824). No acumulado do</w:t>
      </w:r>
      <w:r>
        <w:rPr>
          <w:spacing w:val="40"/>
        </w:rPr>
        <w:t> </w:t>
      </w:r>
      <w:r>
        <w:rPr/>
        <w:t>ano, o HUGO ultrapassa 750 mil exames internos realizados, evidenciando a robustez da estrutura diagnóstica de apoio à assistência.</w:t>
      </w:r>
    </w:p>
    <w:p>
      <w:pPr>
        <w:pStyle w:val="BodyText"/>
        <w:spacing w:line="360" w:lineRule="auto"/>
        <w:ind w:left="593" w:right="751" w:firstLine="720"/>
        <w:jc w:val="both"/>
      </w:pPr>
      <w:r>
        <w:rPr/>
        <w:t>No SADT externo, a instituição superou a meta mensal de procedimentos realizados, alcançando 482 exames frente aos 465 pactuados. Merecem destaque a tomografia computadorizada, com</w:t>
      </w:r>
      <w:r>
        <w:rPr>
          <w:spacing w:val="-2"/>
        </w:rPr>
        <w:t> </w:t>
      </w:r>
      <w:r>
        <w:rPr/>
        <w:t>264</w:t>
      </w:r>
      <w:r>
        <w:rPr>
          <w:spacing w:val="-3"/>
        </w:rPr>
        <w:t> </w:t>
      </w:r>
      <w:r>
        <w:rPr/>
        <w:t>procedimentos</w:t>
      </w:r>
      <w:r>
        <w:rPr>
          <w:spacing w:val="-1"/>
        </w:rPr>
        <w:t> </w:t>
      </w:r>
      <w:r>
        <w:rPr/>
        <w:t>realizados —</w:t>
      </w:r>
      <w:r>
        <w:rPr>
          <w:spacing w:val="-2"/>
        </w:rPr>
        <w:t> </w:t>
      </w:r>
      <w:r>
        <w:rPr/>
        <w:t>duas</w:t>
      </w:r>
      <w:r>
        <w:rPr>
          <w:spacing w:val="-3"/>
        </w:rPr>
        <w:t> </w:t>
      </w:r>
      <w:r>
        <w:rPr/>
        <w:t>vezes</w:t>
      </w:r>
      <w:r>
        <w:rPr>
          <w:spacing w:val="-1"/>
        </w:rPr>
        <w:t> </w:t>
      </w:r>
      <w:r>
        <w:rPr/>
        <w:t>a</w:t>
      </w:r>
      <w:r>
        <w:rPr>
          <w:spacing w:val="-2"/>
        </w:rPr>
        <w:t> </w:t>
      </w:r>
      <w:r>
        <w:rPr/>
        <w:t>meta</w:t>
      </w:r>
      <w:r>
        <w:rPr>
          <w:spacing w:val="-2"/>
        </w:rPr>
        <w:t> </w:t>
      </w:r>
      <w:r>
        <w:rPr/>
        <w:t>—,</w:t>
      </w:r>
      <w:r>
        <w:rPr>
          <w:spacing w:val="-2"/>
        </w:rPr>
        <w:t> </w:t>
      </w:r>
      <w:r>
        <w:rPr/>
        <w:t>e</w:t>
      </w:r>
      <w:r>
        <w:rPr>
          <w:spacing w:val="-2"/>
        </w:rPr>
        <w:t> </w:t>
      </w:r>
      <w:r>
        <w:rPr/>
        <w:t>a</w:t>
      </w:r>
      <w:r>
        <w:rPr>
          <w:spacing w:val="-4"/>
        </w:rPr>
        <w:t> </w:t>
      </w:r>
      <w:r>
        <w:rPr/>
        <w:t>ultrassonografia,</w:t>
      </w:r>
      <w:r>
        <w:rPr>
          <w:spacing w:val="-1"/>
        </w:rPr>
        <w:t> </w:t>
      </w:r>
      <w:r>
        <w:rPr/>
        <w:t>que</w:t>
      </w:r>
      <w:r>
        <w:rPr>
          <w:spacing w:val="-2"/>
        </w:rPr>
        <w:t> </w:t>
      </w:r>
      <w:r>
        <w:rPr/>
        <w:t>também</w:t>
      </w:r>
      <w:r>
        <w:rPr>
          <w:spacing w:val="-1"/>
        </w:rPr>
        <w:t> </w:t>
      </w:r>
      <w:r>
        <w:rPr/>
        <w:t>superou</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spacing w:line="360" w:lineRule="auto"/>
        <w:ind w:left="593" w:right="747"/>
        <w:jc w:val="both"/>
      </w:pPr>
      <w:r>
        <w:rPr/>
        <w:t>o objetivo estabelecido. Esses resultados demonstram o compromisso do HUGO em ampliar o acesso da população aos serviços diagnósticos especializados, contribuindo para a redução de filas na rede </w:t>
      </w:r>
      <w:r>
        <w:rPr>
          <w:spacing w:val="-2"/>
        </w:rPr>
        <w:t>estadual.</w:t>
      </w:r>
    </w:p>
    <w:p>
      <w:pPr>
        <w:pStyle w:val="BodyText"/>
        <w:spacing w:line="360" w:lineRule="auto"/>
        <w:ind w:left="593" w:right="749" w:firstLine="720"/>
        <w:jc w:val="both"/>
      </w:pPr>
      <w:r>
        <w:rPr/>
        <w:t>As estratégias de otimização do fluxo assistencial implementadas ao longo do segundo semestre seguem produzindo resultados. O processo de busca ativa de pendências de alta, conduzido por profissional administrativa dedicada, mantém-se operante nas duas frentes estabelecidas:</w:t>
      </w:r>
      <w:r>
        <w:rPr>
          <w:spacing w:val="40"/>
        </w:rPr>
        <w:t> </w:t>
      </w:r>
      <w:r>
        <w:rPr/>
        <w:t>resolução de altas imediatas e monitoramento antecipado de pacientes com previsão de saída em 24 a 48 horas.</w:t>
      </w:r>
    </w:p>
    <w:p>
      <w:pPr>
        <w:pStyle w:val="BodyText"/>
        <w:spacing w:line="360" w:lineRule="auto"/>
        <w:ind w:left="593" w:right="751" w:firstLine="720"/>
        <w:jc w:val="both"/>
      </w:pPr>
      <w:r>
        <w:rPr/>
        <w:t>As visitas multidisciplinares permanecem como pilares da estratégia institucional de aumento do giro de leitos e redução da fila cirúrgica. A articulação entre NIR, equipes médicas e multiprofissionais consolidou-se como modelo de gestão integrada, com reflexos positivos na eficiência operacional.</w:t>
      </w:r>
    </w:p>
    <w:p>
      <w:pPr>
        <w:pStyle w:val="BodyText"/>
        <w:ind w:left="593"/>
        <w:jc w:val="both"/>
      </w:pPr>
      <w:r>
        <w:rPr/>
        <w:t>A</w:t>
      </w:r>
      <w:r>
        <w:rPr>
          <w:spacing w:val="-7"/>
        </w:rPr>
        <w:t> </w:t>
      </w:r>
      <w:r>
        <w:rPr/>
        <w:t>Tabela</w:t>
      </w:r>
      <w:r>
        <w:rPr>
          <w:spacing w:val="-2"/>
        </w:rPr>
        <w:t> </w:t>
      </w:r>
      <w:r>
        <w:rPr/>
        <w:t>1</w:t>
      </w:r>
      <w:r>
        <w:rPr>
          <w:spacing w:val="-4"/>
        </w:rPr>
        <w:t> </w:t>
      </w:r>
      <w:r>
        <w:rPr/>
        <w:t>apresenta</w:t>
      </w:r>
      <w:r>
        <w:rPr>
          <w:spacing w:val="-4"/>
        </w:rPr>
        <w:t> </w:t>
      </w:r>
      <w:r>
        <w:rPr/>
        <w:t>os</w:t>
      </w:r>
      <w:r>
        <w:rPr>
          <w:spacing w:val="-5"/>
        </w:rPr>
        <w:t> </w:t>
      </w:r>
      <w:r>
        <w:rPr/>
        <w:t>resultados</w:t>
      </w:r>
      <w:r>
        <w:rPr>
          <w:spacing w:val="-2"/>
        </w:rPr>
        <w:t> </w:t>
      </w:r>
      <w:r>
        <w:rPr/>
        <w:t>quantitativos</w:t>
      </w:r>
      <w:r>
        <w:rPr>
          <w:spacing w:val="-3"/>
        </w:rPr>
        <w:t> </w:t>
      </w:r>
      <w:r>
        <w:rPr/>
        <w:t>de</w:t>
      </w:r>
      <w:r>
        <w:rPr>
          <w:spacing w:val="-6"/>
        </w:rPr>
        <w:t> </w:t>
      </w:r>
      <w:r>
        <w:rPr/>
        <w:t>internações</w:t>
      </w:r>
      <w:r>
        <w:rPr>
          <w:spacing w:val="-2"/>
        </w:rPr>
        <w:t> </w:t>
      </w:r>
      <w:r>
        <w:rPr/>
        <w:t>e</w:t>
      </w:r>
      <w:r>
        <w:rPr>
          <w:spacing w:val="-4"/>
        </w:rPr>
        <w:t> </w:t>
      </w:r>
      <w:r>
        <w:rPr/>
        <w:t>procedimentos</w:t>
      </w:r>
      <w:r>
        <w:rPr>
          <w:spacing w:val="-3"/>
        </w:rPr>
        <w:t> </w:t>
      </w:r>
      <w:r>
        <w:rPr/>
        <w:t>do</w:t>
      </w:r>
      <w:r>
        <w:rPr>
          <w:spacing w:val="-4"/>
        </w:rPr>
        <w:t> </w:t>
      </w:r>
      <w:r>
        <w:rPr>
          <w:spacing w:val="-2"/>
        </w:rPr>
        <w:t>período.</w:t>
      </w:r>
    </w:p>
    <w:p>
      <w:pPr>
        <w:pStyle w:val="BodyText"/>
      </w:pPr>
    </w:p>
    <w:p>
      <w:pPr>
        <w:pStyle w:val="BodyText"/>
      </w:pPr>
    </w:p>
    <w:p>
      <w:pPr>
        <w:spacing w:before="0"/>
        <w:ind w:left="712" w:right="0" w:firstLine="0"/>
        <w:jc w:val="both"/>
        <w:rPr>
          <w:b/>
          <w:sz w:val="24"/>
        </w:rPr>
      </w:pPr>
      <w:r>
        <w:rPr>
          <w:b/>
          <w:sz w:val="24"/>
        </w:rPr>
        <w:t>Tabela</w:t>
      </w:r>
      <w:r>
        <w:rPr>
          <w:b/>
          <w:spacing w:val="-3"/>
          <w:sz w:val="24"/>
        </w:rPr>
        <w:t> </w:t>
      </w:r>
      <w:r>
        <w:rPr>
          <w:b/>
          <w:sz w:val="24"/>
        </w:rPr>
        <w:t>1</w:t>
      </w:r>
      <w:r>
        <w:rPr>
          <w:b/>
          <w:spacing w:val="-3"/>
          <w:sz w:val="24"/>
        </w:rPr>
        <w:t> </w:t>
      </w:r>
      <w:r>
        <w:rPr>
          <w:b/>
          <w:sz w:val="24"/>
        </w:rPr>
        <w:t>–</w:t>
      </w:r>
      <w:r>
        <w:rPr>
          <w:b/>
          <w:spacing w:val="-2"/>
          <w:sz w:val="24"/>
        </w:rPr>
        <w:t> </w:t>
      </w:r>
      <w:r>
        <w:rPr>
          <w:b/>
          <w:sz w:val="24"/>
        </w:rPr>
        <w:t>Produção</w:t>
      </w:r>
      <w:r>
        <w:rPr>
          <w:b/>
          <w:spacing w:val="-3"/>
          <w:sz w:val="24"/>
        </w:rPr>
        <w:t> </w:t>
      </w:r>
      <w:r>
        <w:rPr>
          <w:b/>
          <w:sz w:val="24"/>
        </w:rPr>
        <w:t>acumulada</w:t>
      </w:r>
      <w:r>
        <w:rPr>
          <w:b/>
          <w:spacing w:val="-2"/>
          <w:sz w:val="24"/>
        </w:rPr>
        <w:t> Novembro/2025</w:t>
      </w:r>
    </w:p>
    <w:p>
      <w:pPr>
        <w:pStyle w:val="BodyText"/>
        <w:rPr>
          <w:b/>
          <w:sz w:val="12"/>
        </w:rPr>
      </w:pPr>
    </w:p>
    <w:tbl>
      <w:tblPr>
        <w:tblW w:w="0" w:type="auto"/>
        <w:jc w:val="left"/>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6"/>
        <w:gridCol w:w="920"/>
        <w:gridCol w:w="2958"/>
      </w:tblGrid>
      <w:tr>
        <w:trPr>
          <w:trHeight w:val="306" w:hRule="atLeast"/>
        </w:trPr>
        <w:tc>
          <w:tcPr>
            <w:tcW w:w="4926" w:type="dxa"/>
          </w:tcPr>
          <w:p>
            <w:pPr>
              <w:pStyle w:val="TableParagraph"/>
              <w:spacing w:line="270" w:lineRule="exact" w:before="16"/>
              <w:ind w:left="72"/>
              <w:jc w:val="left"/>
              <w:rPr>
                <w:b/>
                <w:sz w:val="24"/>
              </w:rPr>
            </w:pPr>
            <w:r>
              <w:rPr>
                <w:b/>
                <w:sz w:val="24"/>
              </w:rPr>
              <w:t>Internação</w:t>
            </w:r>
            <w:r>
              <w:rPr>
                <w:b/>
                <w:spacing w:val="-8"/>
                <w:sz w:val="24"/>
              </w:rPr>
              <w:t> </w:t>
            </w:r>
            <w:r>
              <w:rPr>
                <w:b/>
                <w:sz w:val="24"/>
              </w:rPr>
              <w:t>(Saídas</w:t>
            </w:r>
            <w:r>
              <w:rPr>
                <w:b/>
                <w:spacing w:val="-5"/>
                <w:sz w:val="24"/>
              </w:rPr>
              <w:t> </w:t>
            </w:r>
            <w:r>
              <w:rPr>
                <w:b/>
                <w:spacing w:val="-2"/>
                <w:sz w:val="24"/>
              </w:rPr>
              <w:t>Hospitalares)</w:t>
            </w:r>
          </w:p>
        </w:tc>
        <w:tc>
          <w:tcPr>
            <w:tcW w:w="920" w:type="dxa"/>
          </w:tcPr>
          <w:p>
            <w:pPr>
              <w:pStyle w:val="TableParagraph"/>
              <w:spacing w:line="270" w:lineRule="exact" w:before="16"/>
              <w:ind w:left="14"/>
              <w:rPr>
                <w:b/>
                <w:sz w:val="24"/>
              </w:rPr>
            </w:pPr>
            <w:r>
              <w:rPr>
                <w:b/>
                <w:spacing w:val="-4"/>
                <w:sz w:val="24"/>
              </w:rPr>
              <w:t>Meta</w:t>
            </w:r>
          </w:p>
        </w:tc>
        <w:tc>
          <w:tcPr>
            <w:tcW w:w="2958" w:type="dxa"/>
          </w:tcPr>
          <w:p>
            <w:pPr>
              <w:pStyle w:val="TableParagraph"/>
              <w:spacing w:line="270" w:lineRule="exact" w:before="16"/>
              <w:ind w:left="12" w:right="2"/>
              <w:rPr>
                <w:b/>
                <w:sz w:val="24"/>
              </w:rPr>
            </w:pPr>
            <w:r>
              <w:rPr>
                <w:b/>
                <w:sz w:val="24"/>
              </w:rPr>
              <w:t>Produção</w:t>
            </w:r>
            <w:r>
              <w:rPr>
                <w:b/>
                <w:spacing w:val="-4"/>
                <w:sz w:val="24"/>
              </w:rPr>
              <w:t> </w:t>
            </w:r>
            <w:r>
              <w:rPr>
                <w:b/>
                <w:spacing w:val="-2"/>
                <w:sz w:val="24"/>
              </w:rPr>
              <w:t>Novembro/2025</w:t>
            </w:r>
          </w:p>
        </w:tc>
      </w:tr>
      <w:tr>
        <w:trPr>
          <w:trHeight w:val="326" w:hRule="atLeast"/>
        </w:trPr>
        <w:tc>
          <w:tcPr>
            <w:tcW w:w="4926" w:type="dxa"/>
          </w:tcPr>
          <w:p>
            <w:pPr>
              <w:pStyle w:val="TableParagraph"/>
              <w:spacing w:before="26"/>
              <w:ind w:left="72"/>
              <w:jc w:val="left"/>
              <w:rPr>
                <w:sz w:val="24"/>
              </w:rPr>
            </w:pPr>
            <w:r>
              <w:rPr>
                <w:sz w:val="24"/>
              </w:rPr>
              <w:t>Clínica</w:t>
            </w:r>
            <w:r>
              <w:rPr>
                <w:spacing w:val="-5"/>
                <w:sz w:val="24"/>
              </w:rPr>
              <w:t> </w:t>
            </w:r>
            <w:r>
              <w:rPr>
                <w:spacing w:val="-2"/>
                <w:sz w:val="24"/>
              </w:rPr>
              <w:t>cirúrgica</w:t>
            </w:r>
          </w:p>
        </w:tc>
        <w:tc>
          <w:tcPr>
            <w:tcW w:w="920" w:type="dxa"/>
          </w:tcPr>
          <w:p>
            <w:pPr>
              <w:pStyle w:val="TableParagraph"/>
              <w:spacing w:before="26"/>
              <w:ind w:left="14"/>
              <w:rPr>
                <w:sz w:val="24"/>
              </w:rPr>
            </w:pPr>
            <w:r>
              <w:rPr>
                <w:spacing w:val="-2"/>
                <w:sz w:val="24"/>
              </w:rPr>
              <w:t>1.118</w:t>
            </w:r>
          </w:p>
        </w:tc>
        <w:tc>
          <w:tcPr>
            <w:tcW w:w="2958" w:type="dxa"/>
          </w:tcPr>
          <w:p>
            <w:pPr>
              <w:pStyle w:val="TableParagraph"/>
              <w:spacing w:before="16"/>
              <w:ind w:left="12"/>
              <w:rPr>
                <w:sz w:val="24"/>
              </w:rPr>
            </w:pPr>
            <w:r>
              <w:rPr>
                <w:spacing w:val="-5"/>
                <w:sz w:val="24"/>
              </w:rPr>
              <w:t>848</w:t>
            </w:r>
          </w:p>
        </w:tc>
      </w:tr>
      <w:tr>
        <w:trPr>
          <w:trHeight w:val="326" w:hRule="atLeast"/>
        </w:trPr>
        <w:tc>
          <w:tcPr>
            <w:tcW w:w="4926" w:type="dxa"/>
          </w:tcPr>
          <w:p>
            <w:pPr>
              <w:pStyle w:val="TableParagraph"/>
              <w:spacing w:before="26"/>
              <w:ind w:left="72"/>
              <w:jc w:val="left"/>
              <w:rPr>
                <w:sz w:val="24"/>
              </w:rPr>
            </w:pPr>
            <w:r>
              <w:rPr>
                <w:sz w:val="24"/>
              </w:rPr>
              <w:t>Clínica</w:t>
            </w:r>
            <w:r>
              <w:rPr>
                <w:spacing w:val="-5"/>
                <w:sz w:val="24"/>
              </w:rPr>
              <w:t> </w:t>
            </w:r>
            <w:r>
              <w:rPr>
                <w:spacing w:val="-2"/>
                <w:sz w:val="24"/>
              </w:rPr>
              <w:t>médica</w:t>
            </w:r>
          </w:p>
        </w:tc>
        <w:tc>
          <w:tcPr>
            <w:tcW w:w="920" w:type="dxa"/>
          </w:tcPr>
          <w:p>
            <w:pPr>
              <w:pStyle w:val="TableParagraph"/>
              <w:spacing w:before="26"/>
              <w:ind w:left="14"/>
              <w:rPr>
                <w:sz w:val="24"/>
              </w:rPr>
            </w:pPr>
            <w:r>
              <w:rPr>
                <w:spacing w:val="-5"/>
                <w:sz w:val="24"/>
              </w:rPr>
              <w:t>328</w:t>
            </w:r>
          </w:p>
        </w:tc>
        <w:tc>
          <w:tcPr>
            <w:tcW w:w="2958" w:type="dxa"/>
          </w:tcPr>
          <w:p>
            <w:pPr>
              <w:pStyle w:val="TableParagraph"/>
              <w:spacing w:before="16"/>
              <w:ind w:left="12"/>
              <w:rPr>
                <w:sz w:val="24"/>
              </w:rPr>
            </w:pPr>
            <w:r>
              <w:rPr>
                <w:spacing w:val="-5"/>
                <w:sz w:val="24"/>
              </w:rPr>
              <w:t>289</w:t>
            </w:r>
          </w:p>
        </w:tc>
      </w:tr>
      <w:tr>
        <w:trPr>
          <w:trHeight w:val="325" w:hRule="atLeast"/>
        </w:trPr>
        <w:tc>
          <w:tcPr>
            <w:tcW w:w="4926" w:type="dxa"/>
          </w:tcPr>
          <w:p>
            <w:pPr>
              <w:pStyle w:val="TableParagraph"/>
              <w:spacing w:before="26"/>
              <w:ind w:left="72"/>
              <w:jc w:val="left"/>
              <w:rPr>
                <w:sz w:val="24"/>
              </w:rPr>
            </w:pPr>
            <w:r>
              <w:rPr>
                <w:sz w:val="24"/>
              </w:rPr>
              <w:t>Clínica</w:t>
            </w:r>
            <w:r>
              <w:rPr>
                <w:spacing w:val="-5"/>
                <w:sz w:val="24"/>
              </w:rPr>
              <w:t> </w:t>
            </w:r>
            <w:r>
              <w:rPr>
                <w:spacing w:val="-2"/>
                <w:sz w:val="24"/>
              </w:rPr>
              <w:t>neurológica</w:t>
            </w:r>
          </w:p>
        </w:tc>
        <w:tc>
          <w:tcPr>
            <w:tcW w:w="920" w:type="dxa"/>
          </w:tcPr>
          <w:p>
            <w:pPr>
              <w:pStyle w:val="TableParagraph"/>
              <w:spacing w:before="26"/>
              <w:ind w:left="14"/>
              <w:rPr>
                <w:sz w:val="24"/>
              </w:rPr>
            </w:pPr>
            <w:r>
              <w:rPr>
                <w:spacing w:val="-5"/>
                <w:sz w:val="24"/>
              </w:rPr>
              <w:t>46</w:t>
            </w:r>
          </w:p>
        </w:tc>
        <w:tc>
          <w:tcPr>
            <w:tcW w:w="2958" w:type="dxa"/>
          </w:tcPr>
          <w:p>
            <w:pPr>
              <w:pStyle w:val="TableParagraph"/>
              <w:spacing w:before="16"/>
              <w:ind w:left="12"/>
              <w:rPr>
                <w:sz w:val="24"/>
              </w:rPr>
            </w:pPr>
            <w:r>
              <w:rPr>
                <w:spacing w:val="-5"/>
                <w:sz w:val="24"/>
              </w:rPr>
              <w:t>113</w:t>
            </w:r>
          </w:p>
        </w:tc>
      </w:tr>
      <w:tr>
        <w:trPr>
          <w:trHeight w:val="326" w:hRule="atLeast"/>
        </w:trPr>
        <w:tc>
          <w:tcPr>
            <w:tcW w:w="4926" w:type="dxa"/>
          </w:tcPr>
          <w:p>
            <w:pPr>
              <w:pStyle w:val="TableParagraph"/>
              <w:spacing w:before="26"/>
              <w:ind w:left="72"/>
              <w:jc w:val="left"/>
              <w:rPr>
                <w:sz w:val="24"/>
              </w:rPr>
            </w:pPr>
            <w:r>
              <w:rPr>
                <w:sz w:val="24"/>
              </w:rPr>
              <w:t>Total</w:t>
            </w:r>
            <w:r>
              <w:rPr>
                <w:spacing w:val="-3"/>
                <w:sz w:val="24"/>
              </w:rPr>
              <w:t> </w:t>
            </w:r>
            <w:r>
              <w:rPr>
                <w:sz w:val="24"/>
              </w:rPr>
              <w:t>de</w:t>
            </w:r>
            <w:r>
              <w:rPr>
                <w:spacing w:val="-3"/>
                <w:sz w:val="24"/>
              </w:rPr>
              <w:t> </w:t>
            </w:r>
            <w:r>
              <w:rPr>
                <w:sz w:val="24"/>
              </w:rPr>
              <w:t>saídas</w:t>
            </w:r>
            <w:r>
              <w:rPr>
                <w:spacing w:val="-3"/>
                <w:sz w:val="24"/>
              </w:rPr>
              <w:t> </w:t>
            </w:r>
            <w:r>
              <w:rPr>
                <w:spacing w:val="-2"/>
                <w:sz w:val="24"/>
              </w:rPr>
              <w:t>hospitalares</w:t>
            </w:r>
          </w:p>
        </w:tc>
        <w:tc>
          <w:tcPr>
            <w:tcW w:w="920" w:type="dxa"/>
          </w:tcPr>
          <w:p>
            <w:pPr>
              <w:pStyle w:val="TableParagraph"/>
              <w:spacing w:before="26"/>
              <w:ind w:left="14"/>
              <w:rPr>
                <w:b/>
                <w:sz w:val="24"/>
              </w:rPr>
            </w:pPr>
            <w:r>
              <w:rPr>
                <w:b/>
                <w:spacing w:val="-2"/>
                <w:sz w:val="24"/>
              </w:rPr>
              <w:t>1.492</w:t>
            </w:r>
          </w:p>
        </w:tc>
        <w:tc>
          <w:tcPr>
            <w:tcW w:w="2958" w:type="dxa"/>
          </w:tcPr>
          <w:p>
            <w:pPr>
              <w:pStyle w:val="TableParagraph"/>
              <w:spacing w:before="16"/>
              <w:ind w:left="12"/>
              <w:rPr>
                <w:b/>
                <w:sz w:val="24"/>
              </w:rPr>
            </w:pPr>
            <w:r>
              <w:rPr>
                <w:b/>
                <w:spacing w:val="-4"/>
                <w:sz w:val="24"/>
              </w:rPr>
              <w:t>1250</w:t>
            </w:r>
          </w:p>
        </w:tc>
      </w:tr>
    </w:tbl>
    <w:p>
      <w:pPr>
        <w:pStyle w:val="BodyText"/>
        <w:spacing w:before="4"/>
        <w:rPr>
          <w:b/>
          <w:sz w:val="7"/>
        </w:rPr>
      </w:pPr>
    </w:p>
    <w:tbl>
      <w:tblPr>
        <w:tblW w:w="0" w:type="auto"/>
        <w:jc w:val="left"/>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6"/>
        <w:gridCol w:w="920"/>
        <w:gridCol w:w="2958"/>
      </w:tblGrid>
      <w:tr>
        <w:trPr>
          <w:trHeight w:val="306" w:hRule="atLeast"/>
        </w:trPr>
        <w:tc>
          <w:tcPr>
            <w:tcW w:w="4926" w:type="dxa"/>
          </w:tcPr>
          <w:p>
            <w:pPr>
              <w:pStyle w:val="TableParagraph"/>
              <w:spacing w:line="270" w:lineRule="exact" w:before="16"/>
              <w:ind w:left="72"/>
              <w:jc w:val="left"/>
              <w:rPr>
                <w:b/>
                <w:sz w:val="24"/>
              </w:rPr>
            </w:pPr>
            <w:r>
              <w:rPr>
                <w:b/>
                <w:sz w:val="24"/>
              </w:rPr>
              <w:t>Discriminação</w:t>
            </w:r>
            <w:r>
              <w:rPr>
                <w:b/>
                <w:spacing w:val="-3"/>
                <w:sz w:val="24"/>
              </w:rPr>
              <w:t> </w:t>
            </w:r>
            <w:r>
              <w:rPr>
                <w:b/>
                <w:sz w:val="24"/>
              </w:rPr>
              <w:t>de</w:t>
            </w:r>
            <w:r>
              <w:rPr>
                <w:b/>
                <w:spacing w:val="-5"/>
                <w:sz w:val="24"/>
              </w:rPr>
              <w:t> </w:t>
            </w:r>
            <w:r>
              <w:rPr>
                <w:b/>
                <w:spacing w:val="-2"/>
                <w:sz w:val="24"/>
              </w:rPr>
              <w:t>cirurgias</w:t>
            </w:r>
          </w:p>
        </w:tc>
        <w:tc>
          <w:tcPr>
            <w:tcW w:w="920" w:type="dxa"/>
          </w:tcPr>
          <w:p>
            <w:pPr>
              <w:pStyle w:val="TableParagraph"/>
              <w:spacing w:line="270" w:lineRule="exact" w:before="16"/>
              <w:ind w:left="14"/>
              <w:rPr>
                <w:b/>
                <w:sz w:val="24"/>
              </w:rPr>
            </w:pPr>
            <w:r>
              <w:rPr>
                <w:b/>
                <w:spacing w:val="-4"/>
                <w:sz w:val="24"/>
              </w:rPr>
              <w:t>Meta</w:t>
            </w:r>
          </w:p>
        </w:tc>
        <w:tc>
          <w:tcPr>
            <w:tcW w:w="2958" w:type="dxa"/>
          </w:tcPr>
          <w:p>
            <w:pPr>
              <w:pStyle w:val="TableParagraph"/>
              <w:spacing w:line="270" w:lineRule="exact" w:before="16"/>
              <w:ind w:left="12" w:right="2"/>
              <w:rPr>
                <w:b/>
                <w:sz w:val="24"/>
              </w:rPr>
            </w:pPr>
            <w:r>
              <w:rPr>
                <w:b/>
                <w:sz w:val="24"/>
              </w:rPr>
              <w:t>Produção</w:t>
            </w:r>
            <w:r>
              <w:rPr>
                <w:b/>
                <w:spacing w:val="-4"/>
                <w:sz w:val="24"/>
              </w:rPr>
              <w:t> </w:t>
            </w:r>
            <w:r>
              <w:rPr>
                <w:b/>
                <w:spacing w:val="-2"/>
                <w:sz w:val="24"/>
              </w:rPr>
              <w:t>Novembro/2025</w:t>
            </w:r>
          </w:p>
        </w:tc>
      </w:tr>
      <w:tr>
        <w:trPr>
          <w:trHeight w:val="326" w:hRule="atLeast"/>
        </w:trPr>
        <w:tc>
          <w:tcPr>
            <w:tcW w:w="4926" w:type="dxa"/>
          </w:tcPr>
          <w:p>
            <w:pPr>
              <w:pStyle w:val="TableParagraph"/>
              <w:spacing w:before="26"/>
              <w:ind w:left="72"/>
              <w:jc w:val="left"/>
              <w:rPr>
                <w:sz w:val="24"/>
              </w:rPr>
            </w:pPr>
            <w:r>
              <w:rPr>
                <w:sz w:val="24"/>
              </w:rPr>
              <w:t>Eletivas</w:t>
            </w:r>
            <w:r>
              <w:rPr>
                <w:spacing w:val="-1"/>
                <w:sz w:val="24"/>
              </w:rPr>
              <w:t> </w:t>
            </w:r>
            <w:r>
              <w:rPr>
                <w:sz w:val="24"/>
              </w:rPr>
              <w:t>e</w:t>
            </w:r>
            <w:r>
              <w:rPr>
                <w:spacing w:val="-2"/>
                <w:sz w:val="24"/>
              </w:rPr>
              <w:t> </w:t>
            </w:r>
            <w:r>
              <w:rPr>
                <w:sz w:val="24"/>
              </w:rPr>
              <w:t>2º</w:t>
            </w:r>
            <w:r>
              <w:rPr>
                <w:spacing w:val="-3"/>
                <w:sz w:val="24"/>
              </w:rPr>
              <w:t> </w:t>
            </w:r>
            <w:r>
              <w:rPr>
                <w:spacing w:val="-2"/>
                <w:sz w:val="24"/>
              </w:rPr>
              <w:t>tempo</w:t>
            </w:r>
          </w:p>
        </w:tc>
        <w:tc>
          <w:tcPr>
            <w:tcW w:w="920" w:type="dxa"/>
          </w:tcPr>
          <w:p>
            <w:pPr>
              <w:pStyle w:val="TableParagraph"/>
              <w:spacing w:before="16"/>
              <w:ind w:left="14" w:right="1"/>
              <w:rPr>
                <w:sz w:val="24"/>
              </w:rPr>
            </w:pPr>
            <w:r>
              <w:rPr>
                <w:sz w:val="24"/>
              </w:rPr>
              <w:t>--</w:t>
            </w:r>
            <w:r>
              <w:rPr>
                <w:spacing w:val="-10"/>
                <w:sz w:val="24"/>
              </w:rPr>
              <w:t>-</w:t>
            </w:r>
          </w:p>
        </w:tc>
        <w:tc>
          <w:tcPr>
            <w:tcW w:w="2958" w:type="dxa"/>
          </w:tcPr>
          <w:p>
            <w:pPr>
              <w:pStyle w:val="TableParagraph"/>
              <w:spacing w:before="16"/>
              <w:ind w:left="12"/>
              <w:rPr>
                <w:sz w:val="24"/>
              </w:rPr>
            </w:pPr>
            <w:r>
              <w:rPr>
                <w:spacing w:val="-5"/>
                <w:sz w:val="24"/>
              </w:rPr>
              <w:t>571</w:t>
            </w:r>
          </w:p>
        </w:tc>
      </w:tr>
      <w:tr>
        <w:trPr>
          <w:trHeight w:val="326" w:hRule="atLeast"/>
        </w:trPr>
        <w:tc>
          <w:tcPr>
            <w:tcW w:w="4926" w:type="dxa"/>
          </w:tcPr>
          <w:p>
            <w:pPr>
              <w:pStyle w:val="TableParagraph"/>
              <w:spacing w:before="26"/>
              <w:ind w:left="72"/>
              <w:jc w:val="left"/>
              <w:rPr>
                <w:sz w:val="24"/>
              </w:rPr>
            </w:pPr>
            <w:r>
              <w:rPr>
                <w:spacing w:val="-2"/>
                <w:sz w:val="24"/>
              </w:rPr>
              <w:t>Urgências</w:t>
            </w:r>
          </w:p>
        </w:tc>
        <w:tc>
          <w:tcPr>
            <w:tcW w:w="920" w:type="dxa"/>
          </w:tcPr>
          <w:p>
            <w:pPr>
              <w:pStyle w:val="TableParagraph"/>
              <w:spacing w:before="16"/>
              <w:ind w:left="14" w:right="1"/>
              <w:rPr>
                <w:sz w:val="24"/>
              </w:rPr>
            </w:pPr>
            <w:r>
              <w:rPr>
                <w:sz w:val="24"/>
              </w:rPr>
              <w:t>--</w:t>
            </w:r>
            <w:r>
              <w:rPr>
                <w:spacing w:val="-10"/>
                <w:sz w:val="24"/>
              </w:rPr>
              <w:t>-</w:t>
            </w:r>
          </w:p>
        </w:tc>
        <w:tc>
          <w:tcPr>
            <w:tcW w:w="2958" w:type="dxa"/>
          </w:tcPr>
          <w:p>
            <w:pPr>
              <w:pStyle w:val="TableParagraph"/>
              <w:spacing w:before="16"/>
              <w:ind w:left="12"/>
              <w:rPr>
                <w:sz w:val="24"/>
              </w:rPr>
            </w:pPr>
            <w:r>
              <w:rPr>
                <w:spacing w:val="-5"/>
                <w:sz w:val="24"/>
              </w:rPr>
              <w:t>472</w:t>
            </w:r>
          </w:p>
        </w:tc>
      </w:tr>
      <w:tr>
        <w:trPr>
          <w:trHeight w:val="325" w:hRule="atLeast"/>
        </w:trPr>
        <w:tc>
          <w:tcPr>
            <w:tcW w:w="4926" w:type="dxa"/>
          </w:tcPr>
          <w:p>
            <w:pPr>
              <w:pStyle w:val="TableParagraph"/>
              <w:spacing w:before="26"/>
              <w:ind w:left="72"/>
              <w:jc w:val="left"/>
              <w:rPr>
                <w:sz w:val="24"/>
              </w:rPr>
            </w:pPr>
            <w:r>
              <w:rPr>
                <w:sz w:val="24"/>
              </w:rPr>
              <w:t>Total</w:t>
            </w:r>
            <w:r>
              <w:rPr>
                <w:spacing w:val="-4"/>
                <w:sz w:val="24"/>
              </w:rPr>
              <w:t> </w:t>
            </w:r>
            <w:r>
              <w:rPr>
                <w:sz w:val="24"/>
              </w:rPr>
              <w:t>de</w:t>
            </w:r>
            <w:r>
              <w:rPr>
                <w:spacing w:val="-5"/>
                <w:sz w:val="24"/>
              </w:rPr>
              <w:t> </w:t>
            </w:r>
            <w:r>
              <w:rPr>
                <w:sz w:val="24"/>
              </w:rPr>
              <w:t>cirurgias</w:t>
            </w:r>
            <w:r>
              <w:rPr>
                <w:spacing w:val="-2"/>
                <w:sz w:val="24"/>
              </w:rPr>
              <w:t> realizadas</w:t>
            </w:r>
          </w:p>
        </w:tc>
        <w:tc>
          <w:tcPr>
            <w:tcW w:w="920" w:type="dxa"/>
          </w:tcPr>
          <w:p>
            <w:pPr>
              <w:pStyle w:val="TableParagraph"/>
              <w:spacing w:before="16"/>
              <w:ind w:left="14" w:right="1"/>
              <w:rPr>
                <w:sz w:val="24"/>
              </w:rPr>
            </w:pPr>
            <w:r>
              <w:rPr>
                <w:sz w:val="24"/>
              </w:rPr>
              <w:t>--</w:t>
            </w:r>
            <w:r>
              <w:rPr>
                <w:spacing w:val="-10"/>
                <w:sz w:val="24"/>
              </w:rPr>
              <w:t>-</w:t>
            </w:r>
          </w:p>
        </w:tc>
        <w:tc>
          <w:tcPr>
            <w:tcW w:w="2958" w:type="dxa"/>
          </w:tcPr>
          <w:p>
            <w:pPr>
              <w:pStyle w:val="TableParagraph"/>
              <w:spacing w:before="16"/>
              <w:ind w:left="12"/>
              <w:rPr>
                <w:b/>
                <w:sz w:val="24"/>
              </w:rPr>
            </w:pPr>
            <w:r>
              <w:rPr>
                <w:b/>
                <w:spacing w:val="-2"/>
                <w:sz w:val="24"/>
              </w:rPr>
              <w:t>1.043</w:t>
            </w:r>
          </w:p>
        </w:tc>
      </w:tr>
    </w:tbl>
    <w:p>
      <w:pPr>
        <w:spacing w:before="7"/>
        <w:ind w:left="5648" w:right="0" w:firstLine="0"/>
        <w:jc w:val="left"/>
        <w:rPr>
          <w:i/>
          <w:sz w:val="24"/>
        </w:rPr>
      </w:pPr>
      <w:r>
        <w:rPr>
          <w:i/>
          <w:spacing w:val="-2"/>
          <w:sz w:val="24"/>
        </w:rPr>
        <w:t>Fonte:</w:t>
      </w:r>
      <w:r>
        <w:rPr>
          <w:i/>
          <w:spacing w:val="-3"/>
          <w:sz w:val="24"/>
        </w:rPr>
        <w:t> </w:t>
      </w:r>
      <w:r>
        <w:rPr>
          <w:i/>
          <w:spacing w:val="-2"/>
          <w:sz w:val="24"/>
        </w:rPr>
        <w:t>Sistema MV</w:t>
      </w:r>
      <w:r>
        <w:rPr>
          <w:i/>
          <w:spacing w:val="-13"/>
          <w:sz w:val="24"/>
        </w:rPr>
        <w:t> </w:t>
      </w:r>
      <w:r>
        <w:rPr>
          <w:i/>
          <w:spacing w:val="-2"/>
          <w:sz w:val="24"/>
        </w:rPr>
        <w:t>atualizado</w:t>
      </w:r>
      <w:r>
        <w:rPr>
          <w:i/>
          <w:spacing w:val="-12"/>
          <w:sz w:val="24"/>
        </w:rPr>
        <w:t> </w:t>
      </w:r>
      <w:r>
        <w:rPr>
          <w:i/>
          <w:spacing w:val="-2"/>
          <w:sz w:val="24"/>
        </w:rPr>
        <w:t>em</w:t>
      </w:r>
      <w:r>
        <w:rPr>
          <w:i/>
          <w:spacing w:val="-13"/>
          <w:sz w:val="24"/>
        </w:rPr>
        <w:t> </w:t>
      </w:r>
      <w:r>
        <w:rPr>
          <w:i/>
          <w:spacing w:val="-2"/>
          <w:sz w:val="24"/>
        </w:rPr>
        <w:t>03/12.</w:t>
      </w:r>
    </w:p>
    <w:p>
      <w:pPr>
        <w:pStyle w:val="BodyText"/>
        <w:rPr>
          <w:i/>
        </w:rPr>
      </w:pPr>
    </w:p>
    <w:p>
      <w:pPr>
        <w:pStyle w:val="BodyText"/>
        <w:spacing w:before="10"/>
        <w:rPr>
          <w:i/>
        </w:rPr>
      </w:pPr>
    </w:p>
    <w:p>
      <w:pPr>
        <w:pStyle w:val="ListParagraph"/>
        <w:numPr>
          <w:ilvl w:val="1"/>
          <w:numId w:val="2"/>
        </w:numPr>
        <w:tabs>
          <w:tab w:pos="1311" w:val="left" w:leader="none"/>
        </w:tabs>
        <w:spacing w:line="240" w:lineRule="auto" w:before="1" w:after="0"/>
        <w:ind w:left="1311" w:right="0" w:hanging="718"/>
        <w:jc w:val="both"/>
        <w:rPr>
          <w:b/>
          <w:sz w:val="24"/>
        </w:rPr>
      </w:pPr>
      <w:bookmarkStart w:name="2.1. Análise Crítica" w:id="5"/>
      <w:bookmarkEnd w:id="5"/>
      <w:r>
        <w:rPr>
          <w:rFonts w:ascii="Arial" w:hAnsi="Arial"/>
          <w:b/>
          <w:spacing w:val="-14"/>
          <w:sz w:val="24"/>
        </w:rPr>
      </w:r>
      <w:r>
        <w:rPr>
          <w:b/>
          <w:sz w:val="24"/>
        </w:rPr>
        <w:t>Análise</w:t>
      </w:r>
      <w:r>
        <w:rPr>
          <w:b/>
          <w:spacing w:val="-4"/>
          <w:sz w:val="24"/>
        </w:rPr>
        <w:t> </w:t>
      </w:r>
      <w:r>
        <w:rPr>
          <w:b/>
          <w:spacing w:val="-2"/>
          <w:sz w:val="24"/>
        </w:rPr>
        <w:t>Crítica</w:t>
      </w:r>
    </w:p>
    <w:p>
      <w:pPr>
        <w:pStyle w:val="BodyText"/>
        <w:spacing w:before="22"/>
        <w:rPr>
          <w:b/>
        </w:rPr>
      </w:pPr>
    </w:p>
    <w:p>
      <w:pPr>
        <w:pStyle w:val="BodyText"/>
        <w:spacing w:line="360" w:lineRule="auto"/>
        <w:ind w:left="593" w:right="745" w:firstLine="478"/>
        <w:jc w:val="both"/>
      </w:pPr>
      <w:r>
        <w:rPr/>
        <w:t>O desempenho do HUGO em novembro de 2025 manteve-se consistente, refletindo a consolidação</w:t>
      </w:r>
      <w:r>
        <w:rPr>
          <w:spacing w:val="-3"/>
        </w:rPr>
        <w:t> </w:t>
      </w:r>
      <w:r>
        <w:rPr/>
        <w:t>das</w:t>
      </w:r>
      <w:r>
        <w:rPr>
          <w:spacing w:val="-4"/>
        </w:rPr>
        <w:t> </w:t>
      </w:r>
      <w:r>
        <w:rPr/>
        <w:t>práticas</w:t>
      </w:r>
      <w:r>
        <w:rPr>
          <w:spacing w:val="-2"/>
        </w:rPr>
        <w:t> </w:t>
      </w:r>
      <w:r>
        <w:rPr/>
        <w:t>de</w:t>
      </w:r>
      <w:r>
        <w:rPr>
          <w:spacing w:val="-5"/>
        </w:rPr>
        <w:t> </w:t>
      </w:r>
      <w:r>
        <w:rPr/>
        <w:t>gestão</w:t>
      </w:r>
      <w:r>
        <w:rPr>
          <w:spacing w:val="-3"/>
        </w:rPr>
        <w:t> </w:t>
      </w:r>
      <w:r>
        <w:rPr/>
        <w:t>implementadas</w:t>
      </w:r>
      <w:r>
        <w:rPr>
          <w:spacing w:val="-2"/>
        </w:rPr>
        <w:t> </w:t>
      </w:r>
      <w:r>
        <w:rPr/>
        <w:t>ao</w:t>
      </w:r>
      <w:r>
        <w:rPr>
          <w:spacing w:val="-4"/>
        </w:rPr>
        <w:t> </w:t>
      </w:r>
      <w:r>
        <w:rPr/>
        <w:t>longo</w:t>
      </w:r>
      <w:r>
        <w:rPr>
          <w:spacing w:val="-3"/>
        </w:rPr>
        <w:t> </w:t>
      </w:r>
      <w:r>
        <w:rPr/>
        <w:t>do</w:t>
      </w:r>
      <w:r>
        <w:rPr>
          <w:spacing w:val="-4"/>
        </w:rPr>
        <w:t> </w:t>
      </w:r>
      <w:r>
        <w:rPr/>
        <w:t>segundo</w:t>
      </w:r>
      <w:r>
        <w:rPr>
          <w:spacing w:val="-4"/>
        </w:rPr>
        <w:t> </w:t>
      </w:r>
      <w:r>
        <w:rPr/>
        <w:t>semestre.</w:t>
      </w:r>
      <w:r>
        <w:rPr>
          <w:spacing w:val="-4"/>
        </w:rPr>
        <w:t> </w:t>
      </w:r>
      <w:r>
        <w:rPr/>
        <w:t>O</w:t>
      </w:r>
      <w:r>
        <w:rPr>
          <w:spacing w:val="-4"/>
        </w:rPr>
        <w:t> </w:t>
      </w:r>
      <w:r>
        <w:rPr/>
        <w:t>período</w:t>
      </w:r>
      <w:r>
        <w:rPr>
          <w:spacing w:val="-3"/>
        </w:rPr>
        <w:t> </w:t>
      </w:r>
      <w:r>
        <w:rPr/>
        <w:t>registrou</w:t>
      </w:r>
    </w:p>
    <w:p>
      <w:pPr>
        <w:pStyle w:val="BodyText"/>
        <w:spacing w:line="360" w:lineRule="auto"/>
        <w:ind w:left="593" w:right="750"/>
        <w:jc w:val="both"/>
      </w:pPr>
      <w:r>
        <w:rPr/>
        <w:t>1.297 internações e 1.250 saídas hospitalares, com taxa de ocupação de 105,33% — patamar que demonstra a alta demanda sustentada pela rede estadual e o aproveitamento eficiente da capacidade </w:t>
      </w:r>
      <w:r>
        <w:rPr>
          <w:spacing w:val="-2"/>
        </w:rPr>
        <w:t>instalada.</w:t>
      </w:r>
    </w:p>
    <w:p>
      <w:pPr>
        <w:pStyle w:val="BodyText"/>
        <w:spacing w:line="360" w:lineRule="auto"/>
        <w:ind w:left="593" w:right="754" w:firstLine="478"/>
        <w:jc w:val="both"/>
      </w:pPr>
      <w:r>
        <w:rPr/>
        <w:t>A Clínica Médica manteve bom desempenho, com volume estável de internações e saídas. O trabalho integrado</w:t>
      </w:r>
      <w:r>
        <w:rPr>
          <w:spacing w:val="15"/>
        </w:rPr>
        <w:t> </w:t>
      </w:r>
      <w:r>
        <w:rPr/>
        <w:t>entre corpo clínico,</w:t>
      </w:r>
      <w:r>
        <w:rPr>
          <w:spacing w:val="15"/>
        </w:rPr>
        <w:t> </w:t>
      </w:r>
      <w:r>
        <w:rPr/>
        <w:t>equipe</w:t>
      </w:r>
      <w:r>
        <w:rPr>
          <w:spacing w:val="15"/>
        </w:rPr>
        <w:t> </w:t>
      </w:r>
      <w:r>
        <w:rPr/>
        <w:t>de descolonização</w:t>
      </w:r>
      <w:r>
        <w:rPr>
          <w:spacing w:val="15"/>
        </w:rPr>
        <w:t> </w:t>
      </w:r>
      <w:r>
        <w:rPr/>
        <w:t>e gestão de altas segue ativo,</w:t>
      </w:r>
      <w:r>
        <w:rPr>
          <w:spacing w:val="15"/>
        </w:rPr>
        <w:t> </w:t>
      </w:r>
      <w:r>
        <w:rPr/>
        <w:t>assim</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spacing w:line="360" w:lineRule="auto"/>
        <w:ind w:left="593" w:right="855"/>
      </w:pPr>
      <w:r>
        <w:rPr/>
        <w:t>como o fluxo de desospitalização com monitoramento das altas imediatas e altas prováveis em 24h e 48h, contribuindo para maior previsibilidade e menor tempo de retenção de leitos.</w:t>
      </w:r>
    </w:p>
    <w:p>
      <w:pPr>
        <w:pStyle w:val="BodyText"/>
        <w:spacing w:before="138"/>
      </w:pPr>
    </w:p>
    <w:p>
      <w:pPr>
        <w:pStyle w:val="BodyText"/>
        <w:spacing w:line="360" w:lineRule="auto"/>
        <w:ind w:left="593" w:right="746" w:firstLine="478"/>
        <w:jc w:val="both"/>
      </w:pPr>
      <w:r>
        <w:rPr/>
        <w:t>O tempo médio de permanência (TMP) situou-se em 8,04 dias, ligeira elevação em relação a outubro, possivelmente associada ao perfil de complexidade dos casos admitidos no período. Ainda assim, o indicador permanece abaixo da média do primeiro semestre e reflete a continuidade das visitas multidisciplinares, que fortalecem o acompanhamento conjunto entre especialidades e</w:t>
      </w:r>
      <w:r>
        <w:rPr>
          <w:spacing w:val="40"/>
        </w:rPr>
        <w:t> </w:t>
      </w:r>
      <w:r>
        <w:rPr/>
        <w:t>otimizam o planejamento terapêutico.</w:t>
      </w:r>
    </w:p>
    <w:p>
      <w:pPr>
        <w:pStyle w:val="BodyText"/>
        <w:spacing w:line="360" w:lineRule="auto"/>
        <w:ind w:left="593" w:right="747" w:firstLine="478"/>
        <w:jc w:val="both"/>
      </w:pPr>
      <w:r>
        <w:rPr/>
        <w:t>Na Neurologia, manteve-se o alto giro de leitos, sustentado pela agilidade na realização de exames</w:t>
      </w:r>
      <w:r>
        <w:rPr>
          <w:spacing w:val="-2"/>
        </w:rPr>
        <w:t> </w:t>
      </w:r>
      <w:r>
        <w:rPr/>
        <w:t>e</w:t>
      </w:r>
      <w:r>
        <w:rPr>
          <w:spacing w:val="-5"/>
        </w:rPr>
        <w:t> </w:t>
      </w:r>
      <w:r>
        <w:rPr/>
        <w:t>procedimentos</w:t>
      </w:r>
      <w:r>
        <w:rPr>
          <w:spacing w:val="-2"/>
        </w:rPr>
        <w:t> </w:t>
      </w:r>
      <w:r>
        <w:rPr/>
        <w:t>e</w:t>
      </w:r>
      <w:r>
        <w:rPr>
          <w:spacing w:val="-5"/>
        </w:rPr>
        <w:t> </w:t>
      </w:r>
      <w:r>
        <w:rPr/>
        <w:t>pelo</w:t>
      </w:r>
      <w:r>
        <w:rPr>
          <w:spacing w:val="-3"/>
        </w:rPr>
        <w:t> </w:t>
      </w:r>
      <w:r>
        <w:rPr/>
        <w:t>apoio</w:t>
      </w:r>
      <w:r>
        <w:rPr>
          <w:spacing w:val="-3"/>
        </w:rPr>
        <w:t> </w:t>
      </w:r>
      <w:r>
        <w:rPr/>
        <w:t>contínuo</w:t>
      </w:r>
      <w:r>
        <w:rPr>
          <w:spacing w:val="-3"/>
        </w:rPr>
        <w:t> </w:t>
      </w:r>
      <w:r>
        <w:rPr/>
        <w:t>da</w:t>
      </w:r>
      <w:r>
        <w:rPr>
          <w:spacing w:val="-5"/>
        </w:rPr>
        <w:t> </w:t>
      </w:r>
      <w:r>
        <w:rPr/>
        <w:t>equipe</w:t>
      </w:r>
      <w:r>
        <w:rPr>
          <w:spacing w:val="-3"/>
        </w:rPr>
        <w:t> </w:t>
      </w:r>
      <w:r>
        <w:rPr/>
        <w:t>MDA,</w:t>
      </w:r>
      <w:r>
        <w:rPr>
          <w:spacing w:val="-4"/>
        </w:rPr>
        <w:t> </w:t>
      </w:r>
      <w:r>
        <w:rPr/>
        <w:t>que</w:t>
      </w:r>
      <w:r>
        <w:rPr>
          <w:spacing w:val="-5"/>
        </w:rPr>
        <w:t> </w:t>
      </w:r>
      <w:r>
        <w:rPr/>
        <w:t>assegura</w:t>
      </w:r>
      <w:r>
        <w:rPr>
          <w:spacing w:val="-3"/>
        </w:rPr>
        <w:t> </w:t>
      </w:r>
      <w:r>
        <w:rPr/>
        <w:t>resolutividade</w:t>
      </w:r>
      <w:r>
        <w:rPr>
          <w:spacing w:val="-1"/>
        </w:rPr>
        <w:t> </w:t>
      </w:r>
      <w:r>
        <w:rPr/>
        <w:t>em</w:t>
      </w:r>
      <w:r>
        <w:rPr>
          <w:spacing w:val="-5"/>
        </w:rPr>
        <w:t> </w:t>
      </w:r>
      <w:r>
        <w:rPr/>
        <w:t>até</w:t>
      </w:r>
      <w:r>
        <w:rPr>
          <w:spacing w:val="-3"/>
        </w:rPr>
        <w:t> </w:t>
      </w:r>
      <w:r>
        <w:rPr/>
        <w:t>48 horas. Os fluxos otimizados de endoscopia, gastrostomia e ecocardiograma permanecem operantes, reduzindo gargalos assistenciais e ampliando a capacidade de resposta da especialidade.</w:t>
      </w:r>
    </w:p>
    <w:p>
      <w:pPr>
        <w:pStyle w:val="BodyText"/>
        <w:spacing w:line="360" w:lineRule="auto"/>
        <w:ind w:left="593" w:right="747" w:firstLine="478"/>
        <w:jc w:val="both"/>
      </w:pPr>
      <w:r>
        <w:rPr/>
        <w:t>No</w:t>
      </w:r>
      <w:r>
        <w:rPr>
          <w:spacing w:val="-2"/>
        </w:rPr>
        <w:t> </w:t>
      </w:r>
      <w:r>
        <w:rPr/>
        <w:t>campo cirúrgico, novembro contabilizou 1.043</w:t>
      </w:r>
      <w:r>
        <w:rPr>
          <w:spacing w:val="-2"/>
        </w:rPr>
        <w:t> </w:t>
      </w:r>
      <w:r>
        <w:rPr/>
        <w:t>procedimentos (571</w:t>
      </w:r>
      <w:r>
        <w:rPr>
          <w:spacing w:val="-2"/>
        </w:rPr>
        <w:t> </w:t>
      </w:r>
      <w:r>
        <w:rPr/>
        <w:t>eletivos e</w:t>
      </w:r>
      <w:r>
        <w:rPr>
          <w:spacing w:val="-3"/>
        </w:rPr>
        <w:t> </w:t>
      </w:r>
      <w:r>
        <w:rPr/>
        <w:t>472</w:t>
      </w:r>
      <w:r>
        <w:rPr>
          <w:spacing w:val="-2"/>
        </w:rPr>
        <w:t> </w:t>
      </w:r>
      <w:r>
        <w:rPr/>
        <w:t>urgências), marcando o quinto mês consecutivo com produção superior a mil cirurgias. Destaca-se o crescimento das cirurgias de urgência ortopédica, que passou de 249 para 298 procedimentos, evidenciando a resposta eficiente à demanda traumatológica do estado. No período, identificadas oportunidades de melhorias relacionadas à CME, que estão sendo tratadas.</w:t>
      </w:r>
    </w:p>
    <w:p>
      <w:pPr>
        <w:pStyle w:val="BodyText"/>
        <w:spacing w:line="360" w:lineRule="auto"/>
        <w:ind w:left="593" w:right="855" w:firstLine="478"/>
      </w:pPr>
      <w:r>
        <w:rPr/>
        <w:t>De</w:t>
      </w:r>
      <w:r>
        <w:rPr>
          <w:spacing w:val="-6"/>
        </w:rPr>
        <w:t> </w:t>
      </w:r>
      <w:r>
        <w:rPr/>
        <w:t>modo</w:t>
      </w:r>
      <w:r>
        <w:rPr>
          <w:spacing w:val="-5"/>
        </w:rPr>
        <w:t> </w:t>
      </w:r>
      <w:r>
        <w:rPr/>
        <w:t>geral,</w:t>
      </w:r>
      <w:r>
        <w:rPr>
          <w:spacing w:val="-4"/>
        </w:rPr>
        <w:t> </w:t>
      </w:r>
      <w:r>
        <w:rPr/>
        <w:t>os</w:t>
      </w:r>
      <w:r>
        <w:rPr>
          <w:spacing w:val="-5"/>
        </w:rPr>
        <w:t> </w:t>
      </w:r>
      <w:r>
        <w:rPr/>
        <w:t>resultados</w:t>
      </w:r>
      <w:r>
        <w:rPr>
          <w:spacing w:val="-3"/>
        </w:rPr>
        <w:t> </w:t>
      </w:r>
      <w:r>
        <w:rPr/>
        <w:t>de</w:t>
      </w:r>
      <w:r>
        <w:rPr>
          <w:spacing w:val="-6"/>
        </w:rPr>
        <w:t> </w:t>
      </w:r>
      <w:r>
        <w:rPr/>
        <w:t>novembro</w:t>
      </w:r>
      <w:r>
        <w:rPr>
          <w:spacing w:val="-4"/>
        </w:rPr>
        <w:t> </w:t>
      </w:r>
      <w:r>
        <w:rPr/>
        <w:t>confirmam</w:t>
      </w:r>
      <w:r>
        <w:rPr>
          <w:spacing w:val="-4"/>
        </w:rPr>
        <w:t> </w:t>
      </w:r>
      <w:r>
        <w:rPr/>
        <w:t>a</w:t>
      </w:r>
      <w:r>
        <w:rPr>
          <w:spacing w:val="-4"/>
        </w:rPr>
        <w:t> </w:t>
      </w:r>
      <w:r>
        <w:rPr/>
        <w:t>estabilidade</w:t>
      </w:r>
      <w:r>
        <w:rPr>
          <w:spacing w:val="-2"/>
        </w:rPr>
        <w:t> </w:t>
      </w:r>
      <w:r>
        <w:rPr/>
        <w:t>operacional</w:t>
      </w:r>
      <w:r>
        <w:rPr>
          <w:spacing w:val="-4"/>
        </w:rPr>
        <w:t> </w:t>
      </w:r>
      <w:r>
        <w:rPr/>
        <w:t>conquistada</w:t>
      </w:r>
      <w:r>
        <w:rPr>
          <w:spacing w:val="-4"/>
        </w:rPr>
        <w:t> </w:t>
      </w:r>
      <w:r>
        <w:rPr/>
        <w:t>ao longo de 2025. Com mais de 13.100 saídas hospitalares e 11.300 cirurgias no acumulado do ano, o HUGO chega ao encerramento do exercício com processos maduros e capacidade assistencial </w:t>
      </w:r>
      <w:r>
        <w:rPr>
          <w:spacing w:val="-2"/>
        </w:rPr>
        <w:t>preservada.</w:t>
      </w:r>
    </w:p>
    <w:p>
      <w:pPr>
        <w:pStyle w:val="BodyText"/>
        <w:spacing w:line="360" w:lineRule="auto"/>
        <w:ind w:left="593" w:right="747" w:firstLine="478"/>
        <w:jc w:val="both"/>
      </w:pPr>
      <w:r>
        <w:rPr/>
        <w:t>O principal desafio para dezembro será manter os ganhos operacionais diante das</w:t>
      </w:r>
      <w:r>
        <w:rPr>
          <w:spacing w:val="40"/>
        </w:rPr>
        <w:t> </w:t>
      </w:r>
      <w:r>
        <w:rPr/>
        <w:t>particularidades do período de final de ano, dando continuidade às análises dos casos de longa permanência e c onsolidando o modelo de gestão orientado por indicadores e eficiência assistencial.</w:t>
      </w:r>
    </w:p>
    <w:p>
      <w:pPr>
        <w:pStyle w:val="BodyText"/>
        <w:spacing w:before="139"/>
      </w:pPr>
    </w:p>
    <w:p>
      <w:pPr>
        <w:pStyle w:val="ListParagraph"/>
        <w:numPr>
          <w:ilvl w:val="1"/>
          <w:numId w:val="2"/>
        </w:numPr>
        <w:tabs>
          <w:tab w:pos="1313" w:val="left" w:leader="none"/>
        </w:tabs>
        <w:spacing w:line="240" w:lineRule="auto" w:before="1" w:after="0"/>
        <w:ind w:left="1313" w:right="0" w:hanging="720"/>
        <w:jc w:val="left"/>
        <w:rPr>
          <w:b/>
          <w:sz w:val="24"/>
        </w:rPr>
      </w:pPr>
      <w:bookmarkStart w:name="2.2. Estratégias de Mitigação e Gestão d" w:id="6"/>
      <w:bookmarkEnd w:id="6"/>
      <w:r>
        <w:rPr>
          <w:rFonts w:ascii="Arial" w:hAnsi="Arial"/>
          <w:b/>
          <w:sz w:val="24"/>
        </w:rPr>
      </w:r>
      <w:r>
        <w:rPr>
          <w:b/>
          <w:sz w:val="24"/>
        </w:rPr>
        <w:t>Estratégias</w:t>
      </w:r>
      <w:r>
        <w:rPr>
          <w:b/>
          <w:spacing w:val="-4"/>
          <w:sz w:val="24"/>
        </w:rPr>
        <w:t> </w:t>
      </w:r>
      <w:r>
        <w:rPr>
          <w:b/>
          <w:sz w:val="24"/>
        </w:rPr>
        <w:t>de</w:t>
      </w:r>
      <w:r>
        <w:rPr>
          <w:b/>
          <w:spacing w:val="-4"/>
          <w:sz w:val="24"/>
        </w:rPr>
        <w:t> </w:t>
      </w:r>
      <w:r>
        <w:rPr>
          <w:b/>
          <w:sz w:val="24"/>
        </w:rPr>
        <w:t>Mitigação</w:t>
      </w:r>
      <w:r>
        <w:rPr>
          <w:b/>
          <w:spacing w:val="-3"/>
          <w:sz w:val="24"/>
        </w:rPr>
        <w:t> </w:t>
      </w:r>
      <w:r>
        <w:rPr>
          <w:b/>
          <w:sz w:val="24"/>
        </w:rPr>
        <w:t>e</w:t>
      </w:r>
      <w:r>
        <w:rPr>
          <w:b/>
          <w:spacing w:val="-4"/>
          <w:sz w:val="24"/>
        </w:rPr>
        <w:t> </w:t>
      </w:r>
      <w:r>
        <w:rPr>
          <w:b/>
          <w:sz w:val="24"/>
        </w:rPr>
        <w:t>Gestão</w:t>
      </w:r>
      <w:r>
        <w:rPr>
          <w:b/>
          <w:spacing w:val="-3"/>
          <w:sz w:val="24"/>
        </w:rPr>
        <w:t> </w:t>
      </w:r>
      <w:r>
        <w:rPr>
          <w:b/>
          <w:sz w:val="24"/>
        </w:rPr>
        <w:t>de</w:t>
      </w:r>
      <w:r>
        <w:rPr>
          <w:b/>
          <w:spacing w:val="-4"/>
          <w:sz w:val="24"/>
        </w:rPr>
        <w:t> </w:t>
      </w:r>
      <w:r>
        <w:rPr>
          <w:b/>
          <w:sz w:val="24"/>
        </w:rPr>
        <w:t>Risco</w:t>
      </w:r>
      <w:r>
        <w:rPr>
          <w:b/>
          <w:spacing w:val="-2"/>
          <w:sz w:val="24"/>
        </w:rPr>
        <w:t> Sanitário</w:t>
      </w:r>
    </w:p>
    <w:p>
      <w:pPr>
        <w:pStyle w:val="BodyText"/>
        <w:spacing w:before="137"/>
        <w:rPr>
          <w:b/>
        </w:rPr>
      </w:pPr>
    </w:p>
    <w:p>
      <w:pPr>
        <w:pStyle w:val="BodyText"/>
        <w:spacing w:line="360" w:lineRule="auto" w:before="1"/>
        <w:ind w:left="593" w:right="745" w:firstLine="720"/>
        <w:jc w:val="both"/>
      </w:pPr>
      <w:r>
        <w:rPr/>
        <w:t>O Serviço de Controle de Infecção Hospitalar (SCIH), atuando de forma integrada com o Núcleo Interno de Regulação (NIR), mantém ações sistemáticas voltadas à minimização dos impactos decorrentes de medidas de isolamento, preservando a fluidez assistencial e a eficiência no uso de leitos. As estratégias adotadas estão alinhadas a diretrizes internacionais de segurança do paciente e </w:t>
      </w:r>
      <w:r>
        <w:rPr>
          <w:spacing w:val="-2"/>
        </w:rPr>
        <w:t>incluem:</w:t>
      </w:r>
    </w:p>
    <w:p>
      <w:pPr>
        <w:pStyle w:val="ListParagraph"/>
        <w:numPr>
          <w:ilvl w:val="0"/>
          <w:numId w:val="3"/>
        </w:numPr>
        <w:tabs>
          <w:tab w:pos="1313" w:val="left" w:leader="none"/>
        </w:tabs>
        <w:spacing w:line="240" w:lineRule="auto" w:before="0" w:after="0"/>
        <w:ind w:left="1313" w:right="0" w:hanging="360"/>
        <w:jc w:val="both"/>
        <w:rPr>
          <w:sz w:val="24"/>
        </w:rPr>
      </w:pPr>
      <w:r>
        <w:rPr>
          <w:sz w:val="24"/>
        </w:rPr>
        <w:t>Monitoramento</w:t>
      </w:r>
      <w:r>
        <w:rPr>
          <w:spacing w:val="14"/>
          <w:sz w:val="24"/>
        </w:rPr>
        <w:t> </w:t>
      </w:r>
      <w:r>
        <w:rPr>
          <w:sz w:val="24"/>
        </w:rPr>
        <w:t>ativo</w:t>
      </w:r>
      <w:r>
        <w:rPr>
          <w:spacing w:val="14"/>
          <w:sz w:val="24"/>
        </w:rPr>
        <w:t> </w:t>
      </w:r>
      <w:r>
        <w:rPr>
          <w:sz w:val="24"/>
        </w:rPr>
        <w:t>e</w:t>
      </w:r>
      <w:r>
        <w:rPr>
          <w:spacing w:val="14"/>
          <w:sz w:val="24"/>
        </w:rPr>
        <w:t> </w:t>
      </w:r>
      <w:r>
        <w:rPr>
          <w:sz w:val="24"/>
        </w:rPr>
        <w:t>aplicação</w:t>
      </w:r>
      <w:r>
        <w:rPr>
          <w:spacing w:val="16"/>
          <w:sz w:val="24"/>
        </w:rPr>
        <w:t> </w:t>
      </w:r>
      <w:r>
        <w:rPr>
          <w:sz w:val="24"/>
        </w:rPr>
        <w:t>de</w:t>
      </w:r>
      <w:r>
        <w:rPr>
          <w:spacing w:val="14"/>
          <w:sz w:val="24"/>
        </w:rPr>
        <w:t> </w:t>
      </w:r>
      <w:r>
        <w:rPr>
          <w:sz w:val="24"/>
        </w:rPr>
        <w:t>protocolos</w:t>
      </w:r>
      <w:r>
        <w:rPr>
          <w:spacing w:val="16"/>
          <w:sz w:val="24"/>
        </w:rPr>
        <w:t> </w:t>
      </w:r>
      <w:r>
        <w:rPr>
          <w:sz w:val="24"/>
        </w:rPr>
        <w:t>de</w:t>
      </w:r>
      <w:r>
        <w:rPr>
          <w:spacing w:val="14"/>
          <w:sz w:val="24"/>
        </w:rPr>
        <w:t> </w:t>
      </w:r>
      <w:r>
        <w:rPr>
          <w:sz w:val="24"/>
        </w:rPr>
        <w:t>descolonização</w:t>
      </w:r>
      <w:r>
        <w:rPr>
          <w:spacing w:val="16"/>
          <w:sz w:val="24"/>
        </w:rPr>
        <w:t> </w:t>
      </w:r>
      <w:r>
        <w:rPr>
          <w:sz w:val="24"/>
        </w:rPr>
        <w:t>para</w:t>
      </w:r>
      <w:r>
        <w:rPr>
          <w:spacing w:val="14"/>
          <w:sz w:val="24"/>
        </w:rPr>
        <w:t> </w:t>
      </w:r>
      <w:r>
        <w:rPr>
          <w:sz w:val="24"/>
        </w:rPr>
        <w:t>MRSA,</w:t>
      </w:r>
      <w:r>
        <w:rPr>
          <w:spacing w:val="14"/>
          <w:sz w:val="24"/>
        </w:rPr>
        <w:t> </w:t>
      </w:r>
      <w:r>
        <w:rPr>
          <w:sz w:val="24"/>
        </w:rPr>
        <w:t>com</w:t>
      </w:r>
      <w:r>
        <w:rPr>
          <w:spacing w:val="15"/>
          <w:sz w:val="24"/>
        </w:rPr>
        <w:t> </w:t>
      </w:r>
      <w:r>
        <w:rPr>
          <w:spacing w:val="-2"/>
          <w:sz w:val="24"/>
        </w:rPr>
        <w:t>objetivo</w:t>
      </w:r>
    </w:p>
    <w:p>
      <w:pPr>
        <w:pStyle w:val="ListParagraph"/>
        <w:spacing w:after="0" w:line="240" w:lineRule="auto"/>
        <w:jc w:val="both"/>
        <w:rPr>
          <w:sz w:val="24"/>
        </w:rPr>
        <w:sectPr>
          <w:pgSz w:w="11910" w:h="16840"/>
          <w:pgMar w:header="358" w:footer="560" w:top="1580" w:bottom="780" w:left="708" w:right="0"/>
        </w:sectPr>
      </w:pPr>
    </w:p>
    <w:p>
      <w:pPr>
        <w:pStyle w:val="BodyText"/>
      </w:pPr>
    </w:p>
    <w:p>
      <w:pPr>
        <w:pStyle w:val="BodyText"/>
      </w:pPr>
    </w:p>
    <w:p>
      <w:pPr>
        <w:pStyle w:val="BodyText"/>
        <w:spacing w:before="23"/>
      </w:pPr>
    </w:p>
    <w:p>
      <w:pPr>
        <w:pStyle w:val="BodyText"/>
        <w:ind w:left="1313"/>
        <w:jc w:val="both"/>
      </w:pPr>
      <w:r>
        <w:rPr/>
        <w:t>de</w:t>
      </w:r>
      <w:r>
        <w:rPr>
          <w:spacing w:val="-5"/>
        </w:rPr>
        <w:t> </w:t>
      </w:r>
      <w:r>
        <w:rPr/>
        <w:t>limitar</w:t>
      </w:r>
      <w:r>
        <w:rPr>
          <w:spacing w:val="-1"/>
        </w:rPr>
        <w:t> </w:t>
      </w:r>
      <w:r>
        <w:rPr/>
        <w:t>a</w:t>
      </w:r>
      <w:r>
        <w:rPr>
          <w:spacing w:val="-5"/>
        </w:rPr>
        <w:t> </w:t>
      </w:r>
      <w:r>
        <w:rPr/>
        <w:t>transmissão</w:t>
      </w:r>
      <w:r>
        <w:rPr>
          <w:spacing w:val="-3"/>
        </w:rPr>
        <w:t> </w:t>
      </w:r>
      <w:r>
        <w:rPr/>
        <w:t>cruzada</w:t>
      </w:r>
      <w:r>
        <w:rPr>
          <w:spacing w:val="-3"/>
        </w:rPr>
        <w:t> </w:t>
      </w:r>
      <w:r>
        <w:rPr/>
        <w:t>e</w:t>
      </w:r>
      <w:r>
        <w:rPr>
          <w:spacing w:val="-5"/>
        </w:rPr>
        <w:t> </w:t>
      </w:r>
      <w:r>
        <w:rPr/>
        <w:t>abreviar</w:t>
      </w:r>
      <w:r>
        <w:rPr>
          <w:spacing w:val="-3"/>
        </w:rPr>
        <w:t> </w:t>
      </w:r>
      <w:r>
        <w:rPr/>
        <w:t>períodos</w:t>
      </w:r>
      <w:r>
        <w:rPr>
          <w:spacing w:val="-4"/>
        </w:rPr>
        <w:t> </w:t>
      </w:r>
      <w:r>
        <w:rPr/>
        <w:t>de</w:t>
      </w:r>
      <w:r>
        <w:rPr>
          <w:spacing w:val="-2"/>
        </w:rPr>
        <w:t> isolamento;</w:t>
      </w:r>
    </w:p>
    <w:p>
      <w:pPr>
        <w:pStyle w:val="ListParagraph"/>
        <w:numPr>
          <w:ilvl w:val="0"/>
          <w:numId w:val="3"/>
        </w:numPr>
        <w:tabs>
          <w:tab w:pos="1313" w:val="left" w:leader="none"/>
        </w:tabs>
        <w:spacing w:line="360" w:lineRule="auto" w:before="138" w:after="0"/>
        <w:ind w:left="1313" w:right="755" w:hanging="360"/>
        <w:jc w:val="both"/>
        <w:rPr>
          <w:sz w:val="24"/>
        </w:rPr>
      </w:pPr>
      <w:r>
        <w:rPr>
          <w:sz w:val="24"/>
        </w:rPr>
        <w:t>Organização</w:t>
      </w:r>
      <w:r>
        <w:rPr>
          <w:spacing w:val="-2"/>
          <w:sz w:val="24"/>
        </w:rPr>
        <w:t> </w:t>
      </w:r>
      <w:r>
        <w:rPr>
          <w:sz w:val="24"/>
        </w:rPr>
        <w:t>de</w:t>
      </w:r>
      <w:r>
        <w:rPr>
          <w:spacing w:val="-4"/>
          <w:sz w:val="24"/>
        </w:rPr>
        <w:t> </w:t>
      </w:r>
      <w:r>
        <w:rPr>
          <w:sz w:val="24"/>
        </w:rPr>
        <w:t>coortes</w:t>
      </w:r>
      <w:r>
        <w:rPr>
          <w:spacing w:val="-1"/>
          <w:sz w:val="24"/>
        </w:rPr>
        <w:t> </w:t>
      </w:r>
      <w:r>
        <w:rPr>
          <w:sz w:val="24"/>
        </w:rPr>
        <w:t>e</w:t>
      </w:r>
      <w:r>
        <w:rPr>
          <w:spacing w:val="-4"/>
          <w:sz w:val="24"/>
        </w:rPr>
        <w:t> </w:t>
      </w:r>
      <w:r>
        <w:rPr>
          <w:sz w:val="24"/>
        </w:rPr>
        <w:t>reavaliação</w:t>
      </w:r>
      <w:r>
        <w:rPr>
          <w:spacing w:val="-2"/>
          <w:sz w:val="24"/>
        </w:rPr>
        <w:t> </w:t>
      </w:r>
      <w:r>
        <w:rPr>
          <w:sz w:val="24"/>
        </w:rPr>
        <w:t>diária</w:t>
      </w:r>
      <w:r>
        <w:rPr>
          <w:spacing w:val="-2"/>
          <w:sz w:val="24"/>
        </w:rPr>
        <w:t> </w:t>
      </w:r>
      <w:r>
        <w:rPr>
          <w:sz w:val="24"/>
        </w:rPr>
        <w:t>da</w:t>
      </w:r>
      <w:r>
        <w:rPr>
          <w:spacing w:val="-3"/>
          <w:sz w:val="24"/>
        </w:rPr>
        <w:t> </w:t>
      </w:r>
      <w:r>
        <w:rPr>
          <w:sz w:val="24"/>
        </w:rPr>
        <w:t>indicação</w:t>
      </w:r>
      <w:r>
        <w:rPr>
          <w:spacing w:val="-2"/>
          <w:sz w:val="24"/>
        </w:rPr>
        <w:t> </w:t>
      </w:r>
      <w:r>
        <w:rPr>
          <w:sz w:val="24"/>
        </w:rPr>
        <w:t>de</w:t>
      </w:r>
      <w:r>
        <w:rPr>
          <w:spacing w:val="-3"/>
          <w:sz w:val="24"/>
        </w:rPr>
        <w:t> </w:t>
      </w:r>
      <w:r>
        <w:rPr>
          <w:sz w:val="24"/>
        </w:rPr>
        <w:t>precauções</w:t>
      </w:r>
      <w:r>
        <w:rPr>
          <w:spacing w:val="-3"/>
          <w:sz w:val="24"/>
        </w:rPr>
        <w:t> </w:t>
      </w:r>
      <w:r>
        <w:rPr>
          <w:sz w:val="24"/>
        </w:rPr>
        <w:t>especiais,</w:t>
      </w:r>
      <w:r>
        <w:rPr>
          <w:spacing w:val="-2"/>
          <w:sz w:val="24"/>
        </w:rPr>
        <w:t> </w:t>
      </w:r>
      <w:r>
        <w:rPr>
          <w:sz w:val="24"/>
        </w:rPr>
        <w:t>promovendo alocação racional de leitos e insumos;</w:t>
      </w:r>
    </w:p>
    <w:p>
      <w:pPr>
        <w:pStyle w:val="ListParagraph"/>
        <w:numPr>
          <w:ilvl w:val="0"/>
          <w:numId w:val="3"/>
        </w:numPr>
        <w:tabs>
          <w:tab w:pos="1313" w:val="left" w:leader="none"/>
        </w:tabs>
        <w:spacing w:line="360" w:lineRule="auto" w:before="0" w:after="0"/>
        <w:ind w:left="1313" w:right="747" w:hanging="360"/>
        <w:jc w:val="both"/>
        <w:rPr>
          <w:sz w:val="24"/>
        </w:rPr>
      </w:pPr>
      <w:r>
        <w:rPr>
          <w:sz w:val="24"/>
        </w:rPr>
        <w:t>Realização semanal de culturas de vigilância nas UTIs, permitindo detecção precoce de pacientes colonizados por microrganismos multirresistentes (MDR) e subsidiando condutas assistenciais oportunas;</w:t>
      </w:r>
    </w:p>
    <w:p>
      <w:pPr>
        <w:pStyle w:val="ListParagraph"/>
        <w:numPr>
          <w:ilvl w:val="0"/>
          <w:numId w:val="3"/>
        </w:numPr>
        <w:tabs>
          <w:tab w:pos="1313" w:val="left" w:leader="none"/>
        </w:tabs>
        <w:spacing w:line="360" w:lineRule="auto" w:before="0" w:after="0"/>
        <w:ind w:left="1313" w:right="751" w:hanging="360"/>
        <w:jc w:val="both"/>
        <w:rPr>
          <w:sz w:val="24"/>
        </w:rPr>
      </w:pPr>
      <w:r>
        <w:rPr>
          <w:sz w:val="24"/>
        </w:rPr>
        <w:t>Coleta precoce de amostras respiratórias para investigação de tuberculose, viabilizando diagnóstico ágil e manejo adequado do fluxo de pacientes suspeitos;</w:t>
      </w:r>
    </w:p>
    <w:p>
      <w:pPr>
        <w:pStyle w:val="ListParagraph"/>
        <w:numPr>
          <w:ilvl w:val="0"/>
          <w:numId w:val="3"/>
        </w:numPr>
        <w:tabs>
          <w:tab w:pos="1313" w:val="left" w:leader="none"/>
        </w:tabs>
        <w:spacing w:line="360" w:lineRule="auto" w:before="0" w:after="0"/>
        <w:ind w:left="1313" w:right="737" w:hanging="360"/>
        <w:jc w:val="both"/>
        <w:rPr>
          <w:sz w:val="24"/>
        </w:rPr>
      </w:pPr>
      <w:r>
        <w:rPr>
          <w:sz w:val="24"/>
        </w:rPr>
        <w:t>Investigação etiológica de quadros diarreicos em pacientes com exposição recente a antimicrobianos, incluindo pesquisa direcionada de </w:t>
      </w:r>
      <w:r>
        <w:rPr>
          <w:i/>
          <w:sz w:val="24"/>
        </w:rPr>
        <w:t>Clostridioides difficile</w:t>
      </w:r>
      <w:r>
        <w:rPr>
          <w:sz w:val="24"/>
        </w:rPr>
        <w:t>, com vistas à prevenção de surtos e ajuste terapêutico.</w:t>
      </w:r>
    </w:p>
    <w:p>
      <w:pPr>
        <w:pStyle w:val="BodyText"/>
        <w:spacing w:line="360" w:lineRule="auto"/>
        <w:ind w:left="593" w:right="748" w:firstLine="720"/>
        <w:jc w:val="both"/>
      </w:pPr>
      <w:r>
        <w:rPr/>
        <w:t>Tais medidas traduzem o compromisso do HUGO com a qualidade assistencial, a sustentabilidade operacional, o enfrentamento da resistência antimicrobiana e a proteção das equipes de saúde, gerando resultados consistentes com as exigências regulatórias e contratuais.</w:t>
      </w:r>
    </w:p>
    <w:p>
      <w:pPr>
        <w:pStyle w:val="BodyText"/>
        <w:spacing w:line="360" w:lineRule="auto"/>
        <w:ind w:left="593" w:right="750" w:firstLine="720"/>
        <w:jc w:val="both"/>
      </w:pPr>
      <w:r>
        <w:rPr/>
        <w:t>No período, o hospital registrou média de 54 pacientes/dia em precaução especial. </w:t>
      </w:r>
      <w:r>
        <w:rPr>
          <w:i/>
        </w:rPr>
        <w:t>Klebsiella pneumoniae </w:t>
      </w:r>
      <w:r>
        <w:rPr/>
        <w:t>e </w:t>
      </w:r>
      <w:r>
        <w:rPr>
          <w:i/>
        </w:rPr>
        <w:t>Acinetobacter baumannii </w:t>
      </w:r>
      <w:r>
        <w:rPr/>
        <w:t>figuraram como os principais agentes associados às precauções, com identificação adicional de isolados de VRE atualmente sob investigação.</w:t>
      </w:r>
    </w:p>
    <w:p>
      <w:pPr>
        <w:pStyle w:val="BodyText"/>
        <w:spacing w:line="360" w:lineRule="auto"/>
        <w:ind w:left="593" w:right="746" w:firstLine="720"/>
        <w:jc w:val="both"/>
      </w:pPr>
      <w:r>
        <w:rPr/>
        <w:t>Em novembro de 2025, foram identificadas 34 lesões por pressão, correspondendo a uma taxa de 3,4 LP/1.000 pacientes-dia. Destas, 16 foram classificadas como never events, representando 47% do total. Observa-se subnotificação em relação aos meses anteriores; contudo, os dados já refletem avanço progressivo nas ações de prevenção adotadas pelas unidades.</w:t>
      </w:r>
    </w:p>
    <w:p>
      <w:pPr>
        <w:pStyle w:val="BodyText"/>
        <w:spacing w:line="360" w:lineRule="auto"/>
        <w:ind w:left="593" w:right="749" w:firstLine="720"/>
        <w:jc w:val="both"/>
      </w:pPr>
      <w:r>
        <w:rPr/>
        <w:t>O perfil dos pacientes internados mantém-se caracterizado por alta proporção de casos graves, com múltiplas comorbidades e comprometimento da mobilidade — fatores intrínsecos que</w:t>
      </w:r>
      <w:r>
        <w:rPr>
          <w:spacing w:val="40"/>
        </w:rPr>
        <w:t> </w:t>
      </w:r>
      <w:r>
        <w:rPr/>
        <w:t>predispõem ao desenvolvimento de lesões por pressão. As ações preventivas são fundamentais para mitigar esse risco assistencial, uma vez que tais lesões ocasionam prolongamento da internação, elevação de custos, maior risco de infecção e aumento da morbimortalidade durante o período </w:t>
      </w:r>
      <w:r>
        <w:rPr>
          <w:spacing w:val="-2"/>
        </w:rPr>
        <w:t>hospitalar.</w:t>
      </w:r>
    </w:p>
    <w:p>
      <w:pPr>
        <w:pStyle w:val="BodyText"/>
        <w:spacing w:line="360" w:lineRule="auto"/>
        <w:ind w:left="593" w:right="745" w:firstLine="720"/>
        <w:jc w:val="both"/>
      </w:pPr>
      <w:r>
        <w:rPr/>
        <w:t>O "Minuto Pele", projeto incorporado à assistência como estratégia de educação continuada para os profissionais da linha de frente, segue influenciando positivamente os cuidados prestados e promovendo boas práticas na prevenção de lesões por pressão. Paralelamente, estão sendo implementados </w:t>
      </w:r>
      <w:r>
        <w:rPr>
          <w:i/>
        </w:rPr>
        <w:t>bundles </w:t>
      </w:r>
      <w:r>
        <w:rPr/>
        <w:t>de prevenção compostos por medidas como: mudança de decúbito conforme relógio de posicionamento à beira do leito, elevação de calcâneos, rodízio na fixação de sonda vesical de</w:t>
      </w:r>
      <w:r>
        <w:rPr>
          <w:spacing w:val="20"/>
        </w:rPr>
        <w:t> </w:t>
      </w:r>
      <w:r>
        <w:rPr/>
        <w:t>demora</w:t>
      </w:r>
      <w:r>
        <w:rPr>
          <w:spacing w:val="20"/>
        </w:rPr>
        <w:t> </w:t>
      </w:r>
      <w:r>
        <w:rPr/>
        <w:t>e</w:t>
      </w:r>
      <w:r>
        <w:rPr>
          <w:spacing w:val="20"/>
        </w:rPr>
        <w:t> </w:t>
      </w:r>
      <w:r>
        <w:rPr/>
        <w:t>rodízio</w:t>
      </w:r>
      <w:r>
        <w:rPr>
          <w:spacing w:val="20"/>
        </w:rPr>
        <w:t> </w:t>
      </w:r>
      <w:r>
        <w:rPr/>
        <w:t>na</w:t>
      </w:r>
      <w:r>
        <w:rPr>
          <w:spacing w:val="20"/>
        </w:rPr>
        <w:t> </w:t>
      </w:r>
      <w:r>
        <w:rPr/>
        <w:t>fixação</w:t>
      </w:r>
      <w:r>
        <w:rPr>
          <w:spacing w:val="20"/>
        </w:rPr>
        <w:t> </w:t>
      </w:r>
      <w:r>
        <w:rPr/>
        <w:t>de</w:t>
      </w:r>
      <w:r>
        <w:rPr>
          <w:spacing w:val="20"/>
        </w:rPr>
        <w:t> </w:t>
      </w:r>
      <w:r>
        <w:rPr/>
        <w:t>tubos</w:t>
      </w:r>
      <w:r>
        <w:rPr>
          <w:spacing w:val="21"/>
        </w:rPr>
        <w:t> </w:t>
      </w:r>
      <w:r>
        <w:rPr/>
        <w:t>orotraqueais.</w:t>
      </w:r>
      <w:r>
        <w:rPr>
          <w:spacing w:val="20"/>
        </w:rPr>
        <w:t> </w:t>
      </w:r>
      <w:r>
        <w:rPr/>
        <w:t>Dessa</w:t>
      </w:r>
      <w:r>
        <w:rPr>
          <w:spacing w:val="20"/>
        </w:rPr>
        <w:t> </w:t>
      </w:r>
      <w:r>
        <w:rPr/>
        <w:t>forma,</w:t>
      </w:r>
      <w:r>
        <w:rPr>
          <w:spacing w:val="20"/>
        </w:rPr>
        <w:t> </w:t>
      </w:r>
      <w:r>
        <w:rPr/>
        <w:t>as</w:t>
      </w:r>
      <w:r>
        <w:rPr>
          <w:spacing w:val="21"/>
        </w:rPr>
        <w:t> </w:t>
      </w:r>
      <w:r>
        <w:rPr/>
        <w:t>ações</w:t>
      </w:r>
      <w:r>
        <w:rPr>
          <w:spacing w:val="21"/>
        </w:rPr>
        <w:t> </w:t>
      </w:r>
      <w:r>
        <w:rPr/>
        <w:t>de</w:t>
      </w:r>
      <w:r>
        <w:rPr>
          <w:spacing w:val="17"/>
        </w:rPr>
        <w:t> </w:t>
      </w:r>
      <w:r>
        <w:rPr/>
        <w:t>prevenção</w:t>
      </w:r>
      <w:r>
        <w:rPr>
          <w:spacing w:val="22"/>
        </w:rPr>
        <w:t> </w:t>
      </w:r>
      <w:r>
        <w:rPr/>
        <w:t>de</w:t>
      </w:r>
      <w:r>
        <w:rPr>
          <w:spacing w:val="20"/>
        </w:rPr>
        <w:t> </w:t>
      </w:r>
      <w:r>
        <w:rPr/>
        <w:t>lesão</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spacing w:line="360" w:lineRule="auto"/>
        <w:ind w:left="593"/>
      </w:pPr>
      <w:r>
        <w:rPr/>
        <w:t>por</w:t>
      </w:r>
      <w:r>
        <w:rPr>
          <w:spacing w:val="40"/>
        </w:rPr>
        <w:t> </w:t>
      </w:r>
      <w:r>
        <w:rPr/>
        <w:t>pressão</w:t>
      </w:r>
      <w:r>
        <w:rPr>
          <w:spacing w:val="40"/>
        </w:rPr>
        <w:t> </w:t>
      </w:r>
      <w:r>
        <w:rPr/>
        <w:t>permanecem</w:t>
      </w:r>
      <w:r>
        <w:rPr>
          <w:spacing w:val="40"/>
        </w:rPr>
        <w:t> </w:t>
      </w:r>
      <w:r>
        <w:rPr/>
        <w:t>como</w:t>
      </w:r>
      <w:r>
        <w:rPr>
          <w:spacing w:val="40"/>
        </w:rPr>
        <w:t> </w:t>
      </w:r>
      <w:r>
        <w:rPr/>
        <w:t>prioridade</w:t>
      </w:r>
      <w:r>
        <w:rPr>
          <w:spacing w:val="40"/>
        </w:rPr>
        <w:t> </w:t>
      </w:r>
      <w:r>
        <w:rPr/>
        <w:t>institucional,</w:t>
      </w:r>
      <w:r>
        <w:rPr>
          <w:spacing w:val="40"/>
        </w:rPr>
        <w:t> </w:t>
      </w:r>
      <w:r>
        <w:rPr/>
        <w:t>com</w:t>
      </w:r>
      <w:r>
        <w:rPr>
          <w:spacing w:val="40"/>
        </w:rPr>
        <w:t> </w:t>
      </w:r>
      <w:r>
        <w:rPr/>
        <w:t>meta</w:t>
      </w:r>
      <w:r>
        <w:rPr>
          <w:spacing w:val="40"/>
        </w:rPr>
        <w:t> </w:t>
      </w:r>
      <w:r>
        <w:rPr/>
        <w:t>de</w:t>
      </w:r>
      <w:r>
        <w:rPr>
          <w:spacing w:val="40"/>
        </w:rPr>
        <w:t> </w:t>
      </w:r>
      <w:r>
        <w:rPr/>
        <w:t>redução</w:t>
      </w:r>
      <w:r>
        <w:rPr>
          <w:spacing w:val="40"/>
        </w:rPr>
        <w:t> </w:t>
      </w:r>
      <w:r>
        <w:rPr/>
        <w:t>de</w:t>
      </w:r>
      <w:r>
        <w:rPr>
          <w:spacing w:val="40"/>
        </w:rPr>
        <w:t> </w:t>
      </w:r>
      <w:r>
        <w:rPr/>
        <w:t>80%</w:t>
      </w:r>
      <w:r>
        <w:rPr>
          <w:spacing w:val="40"/>
        </w:rPr>
        <w:t> </w:t>
      </w:r>
      <w:r>
        <w:rPr/>
        <w:t>nas</w:t>
      </w:r>
      <w:r>
        <w:rPr>
          <w:spacing w:val="40"/>
        </w:rPr>
        <w:t> </w:t>
      </w:r>
      <w:r>
        <w:rPr/>
        <w:t>lesões </w:t>
      </w:r>
      <w:r>
        <w:rPr>
          <w:spacing w:val="-2"/>
        </w:rPr>
        <w:t>identificadas.</w:t>
      </w:r>
    </w:p>
    <w:p>
      <w:pPr>
        <w:pStyle w:val="BodyText"/>
      </w:pPr>
    </w:p>
    <w:p>
      <w:pPr>
        <w:pStyle w:val="BodyText"/>
      </w:pPr>
    </w:p>
    <w:p>
      <w:pPr>
        <w:pStyle w:val="BodyText"/>
      </w:pPr>
    </w:p>
    <w:p>
      <w:pPr>
        <w:pStyle w:val="BodyText"/>
        <w:spacing w:before="138"/>
      </w:pPr>
    </w:p>
    <w:p>
      <w:pPr>
        <w:spacing w:before="0"/>
        <w:ind w:left="593" w:right="0" w:firstLine="0"/>
        <w:jc w:val="left"/>
        <w:rPr>
          <w:b/>
          <w:sz w:val="24"/>
        </w:rPr>
      </w:pPr>
      <w:bookmarkStart w:name="Tabela 1. Total de LP e Taxa de LP/1.000" w:id="7"/>
      <w:bookmarkEnd w:id="7"/>
      <w:r>
        <w:rPr/>
      </w:r>
      <w:r>
        <w:rPr>
          <w:b/>
          <w:sz w:val="24"/>
        </w:rPr>
        <w:t>Tabela</w:t>
      </w:r>
      <w:r>
        <w:rPr>
          <w:b/>
          <w:spacing w:val="-2"/>
          <w:sz w:val="24"/>
        </w:rPr>
        <w:t> </w:t>
      </w:r>
      <w:r>
        <w:rPr>
          <w:b/>
          <w:sz w:val="24"/>
        </w:rPr>
        <w:t>1.</w:t>
      </w:r>
      <w:r>
        <w:rPr>
          <w:b/>
          <w:spacing w:val="-1"/>
          <w:sz w:val="24"/>
        </w:rPr>
        <w:t> </w:t>
      </w:r>
      <w:r>
        <w:rPr>
          <w:b/>
          <w:sz w:val="24"/>
        </w:rPr>
        <w:t>Total</w:t>
      </w:r>
      <w:r>
        <w:rPr>
          <w:b/>
          <w:spacing w:val="-2"/>
          <w:sz w:val="24"/>
        </w:rPr>
        <w:t> </w:t>
      </w:r>
      <w:r>
        <w:rPr>
          <w:b/>
          <w:sz w:val="24"/>
        </w:rPr>
        <w:t>de</w:t>
      </w:r>
      <w:r>
        <w:rPr>
          <w:b/>
          <w:spacing w:val="-3"/>
          <w:sz w:val="24"/>
        </w:rPr>
        <w:t> </w:t>
      </w:r>
      <w:r>
        <w:rPr>
          <w:b/>
          <w:sz w:val="24"/>
        </w:rPr>
        <w:t>LP e</w:t>
      </w:r>
      <w:r>
        <w:rPr>
          <w:b/>
          <w:spacing w:val="-2"/>
          <w:sz w:val="24"/>
        </w:rPr>
        <w:t> </w:t>
      </w:r>
      <w:r>
        <w:rPr>
          <w:b/>
          <w:sz w:val="24"/>
        </w:rPr>
        <w:t>Taxa</w:t>
      </w:r>
      <w:r>
        <w:rPr>
          <w:b/>
          <w:spacing w:val="-2"/>
          <w:sz w:val="24"/>
        </w:rPr>
        <w:t> </w:t>
      </w:r>
      <w:r>
        <w:rPr>
          <w:b/>
          <w:sz w:val="24"/>
        </w:rPr>
        <w:t>de</w:t>
      </w:r>
      <w:r>
        <w:rPr>
          <w:b/>
          <w:spacing w:val="-2"/>
          <w:sz w:val="24"/>
        </w:rPr>
        <w:t> </w:t>
      </w:r>
      <w:r>
        <w:rPr>
          <w:b/>
          <w:sz w:val="24"/>
        </w:rPr>
        <w:t>LP/1.000 </w:t>
      </w:r>
      <w:r>
        <w:rPr>
          <w:b/>
          <w:spacing w:val="-2"/>
          <w:sz w:val="24"/>
        </w:rPr>
        <w:t>pacientes/dia.</w:t>
      </w:r>
    </w:p>
    <w:p>
      <w:pPr>
        <w:pStyle w:val="BodyText"/>
        <w:rPr>
          <w:b/>
          <w:sz w:val="12"/>
        </w:rPr>
      </w:pPr>
    </w:p>
    <w:tbl>
      <w:tblPr>
        <w:tblW w:w="0" w:type="auto"/>
        <w:jc w:val="left"/>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538"/>
        <w:gridCol w:w="538"/>
        <w:gridCol w:w="540"/>
        <w:gridCol w:w="538"/>
        <w:gridCol w:w="540"/>
        <w:gridCol w:w="566"/>
        <w:gridCol w:w="540"/>
        <w:gridCol w:w="538"/>
        <w:gridCol w:w="540"/>
        <w:gridCol w:w="566"/>
        <w:gridCol w:w="540"/>
        <w:gridCol w:w="566"/>
        <w:gridCol w:w="540"/>
        <w:gridCol w:w="538"/>
        <w:gridCol w:w="540"/>
        <w:gridCol w:w="540"/>
        <w:gridCol w:w="538"/>
        <w:gridCol w:w="568"/>
      </w:tblGrid>
      <w:tr>
        <w:trPr>
          <w:trHeight w:val="475" w:hRule="atLeast"/>
        </w:trPr>
        <w:tc>
          <w:tcPr>
            <w:tcW w:w="1166" w:type="dxa"/>
            <w:shd w:val="clear" w:color="auto" w:fill="0E4661"/>
          </w:tcPr>
          <w:p>
            <w:pPr>
              <w:pStyle w:val="TableParagraph"/>
              <w:spacing w:before="127"/>
              <w:ind w:left="15"/>
              <w:jc w:val="left"/>
              <w:rPr>
                <w:rFonts w:ascii="Calibri"/>
                <w:b/>
                <w:sz w:val="20"/>
              </w:rPr>
            </w:pPr>
            <w:r>
              <w:rPr>
                <w:rFonts w:ascii="Calibri"/>
                <w:b/>
                <w:color w:val="FFFFFF"/>
                <w:sz w:val="20"/>
              </w:rPr>
              <w:t>LP</w:t>
            </w:r>
            <w:r>
              <w:rPr>
                <w:rFonts w:ascii="Calibri"/>
                <w:b/>
                <w:color w:val="FFFFFF"/>
                <w:spacing w:val="-1"/>
                <w:sz w:val="20"/>
              </w:rPr>
              <w:t> </w:t>
            </w:r>
            <w:r>
              <w:rPr>
                <w:rFonts w:ascii="Calibri"/>
                <w:b/>
                <w:color w:val="FFFFFF"/>
                <w:spacing w:val="-2"/>
                <w:sz w:val="20"/>
              </w:rPr>
              <w:t>total</w:t>
            </w:r>
          </w:p>
        </w:tc>
        <w:tc>
          <w:tcPr>
            <w:tcW w:w="538" w:type="dxa"/>
            <w:shd w:val="clear" w:color="auto" w:fill="0E4661"/>
          </w:tcPr>
          <w:p>
            <w:pPr>
              <w:pStyle w:val="TableParagraph"/>
              <w:spacing w:before="138"/>
              <w:ind w:left="48"/>
              <w:rPr>
                <w:rFonts w:ascii="Calibri"/>
                <w:b/>
                <w:sz w:val="18"/>
              </w:rPr>
            </w:pPr>
            <w:r>
              <w:rPr>
                <w:rFonts w:ascii="Calibri"/>
                <w:b/>
                <w:color w:val="FFFFFF"/>
                <w:spacing w:val="-2"/>
                <w:sz w:val="18"/>
              </w:rPr>
              <w:t>jun-</w:t>
            </w:r>
            <w:r>
              <w:rPr>
                <w:rFonts w:ascii="Calibri"/>
                <w:b/>
                <w:color w:val="FFFFFF"/>
                <w:spacing w:val="-5"/>
                <w:sz w:val="18"/>
              </w:rPr>
              <w:t>24</w:t>
            </w:r>
          </w:p>
        </w:tc>
        <w:tc>
          <w:tcPr>
            <w:tcW w:w="538" w:type="dxa"/>
            <w:shd w:val="clear" w:color="auto" w:fill="0E4661"/>
          </w:tcPr>
          <w:p>
            <w:pPr>
              <w:pStyle w:val="TableParagraph"/>
              <w:spacing w:before="138"/>
              <w:ind w:left="101"/>
              <w:jc w:val="left"/>
              <w:rPr>
                <w:rFonts w:ascii="Calibri"/>
                <w:b/>
                <w:sz w:val="18"/>
              </w:rPr>
            </w:pPr>
            <w:r>
              <w:rPr>
                <w:rFonts w:ascii="Calibri"/>
                <w:b/>
                <w:color w:val="FFFFFF"/>
                <w:spacing w:val="-2"/>
                <w:sz w:val="18"/>
              </w:rPr>
              <w:t>jul-</w:t>
            </w:r>
            <w:r>
              <w:rPr>
                <w:rFonts w:ascii="Calibri"/>
                <w:b/>
                <w:color w:val="FFFFFF"/>
                <w:spacing w:val="-5"/>
                <w:sz w:val="18"/>
              </w:rPr>
              <w:t>24</w:t>
            </w:r>
          </w:p>
        </w:tc>
        <w:tc>
          <w:tcPr>
            <w:tcW w:w="540" w:type="dxa"/>
            <w:shd w:val="clear" w:color="auto" w:fill="0E4661"/>
          </w:tcPr>
          <w:p>
            <w:pPr>
              <w:pStyle w:val="TableParagraph"/>
              <w:spacing w:before="138"/>
              <w:ind w:left="12"/>
              <w:rPr>
                <w:rFonts w:ascii="Calibri"/>
                <w:b/>
                <w:sz w:val="18"/>
              </w:rPr>
            </w:pPr>
            <w:r>
              <w:rPr>
                <w:rFonts w:ascii="Calibri"/>
                <w:b/>
                <w:color w:val="FFFFFF"/>
                <w:spacing w:val="-2"/>
                <w:sz w:val="18"/>
              </w:rPr>
              <w:t>ago-</w:t>
            </w:r>
            <w:r>
              <w:rPr>
                <w:rFonts w:ascii="Calibri"/>
                <w:b/>
                <w:color w:val="FFFFFF"/>
                <w:spacing w:val="-5"/>
                <w:sz w:val="18"/>
              </w:rPr>
              <w:t>24</w:t>
            </w:r>
          </w:p>
        </w:tc>
        <w:tc>
          <w:tcPr>
            <w:tcW w:w="538" w:type="dxa"/>
            <w:shd w:val="clear" w:color="auto" w:fill="0E4661"/>
          </w:tcPr>
          <w:p>
            <w:pPr>
              <w:pStyle w:val="TableParagraph"/>
              <w:spacing w:before="138"/>
              <w:ind w:left="60"/>
              <w:rPr>
                <w:rFonts w:ascii="Calibri"/>
                <w:b/>
                <w:sz w:val="18"/>
              </w:rPr>
            </w:pPr>
            <w:r>
              <w:rPr>
                <w:rFonts w:ascii="Calibri"/>
                <w:b/>
                <w:color w:val="FFFFFF"/>
                <w:spacing w:val="-2"/>
                <w:sz w:val="18"/>
              </w:rPr>
              <w:t>set-</w:t>
            </w:r>
            <w:r>
              <w:rPr>
                <w:rFonts w:ascii="Calibri"/>
                <w:b/>
                <w:color w:val="FFFFFF"/>
                <w:spacing w:val="-5"/>
                <w:sz w:val="18"/>
              </w:rPr>
              <w:t>24</w:t>
            </w:r>
          </w:p>
        </w:tc>
        <w:tc>
          <w:tcPr>
            <w:tcW w:w="540" w:type="dxa"/>
            <w:shd w:val="clear" w:color="auto" w:fill="0E4661"/>
          </w:tcPr>
          <w:p>
            <w:pPr>
              <w:pStyle w:val="TableParagraph"/>
              <w:spacing w:before="138"/>
              <w:ind w:left="34"/>
              <w:rPr>
                <w:rFonts w:ascii="Calibri"/>
                <w:b/>
                <w:sz w:val="18"/>
              </w:rPr>
            </w:pPr>
            <w:r>
              <w:rPr>
                <w:rFonts w:ascii="Calibri"/>
                <w:b/>
                <w:color w:val="FFFFFF"/>
                <w:spacing w:val="-2"/>
                <w:sz w:val="18"/>
              </w:rPr>
              <w:t>out-</w:t>
            </w:r>
            <w:r>
              <w:rPr>
                <w:rFonts w:ascii="Calibri"/>
                <w:b/>
                <w:color w:val="FFFFFF"/>
                <w:spacing w:val="-5"/>
                <w:sz w:val="18"/>
              </w:rPr>
              <w:t>24</w:t>
            </w:r>
          </w:p>
        </w:tc>
        <w:tc>
          <w:tcPr>
            <w:tcW w:w="566" w:type="dxa"/>
            <w:shd w:val="clear" w:color="auto" w:fill="0E4661"/>
          </w:tcPr>
          <w:p>
            <w:pPr>
              <w:pStyle w:val="TableParagraph"/>
              <w:spacing w:before="138"/>
              <w:ind w:left="34"/>
              <w:rPr>
                <w:rFonts w:ascii="Calibri"/>
                <w:b/>
                <w:sz w:val="18"/>
              </w:rPr>
            </w:pPr>
            <w:r>
              <w:rPr>
                <w:rFonts w:ascii="Calibri"/>
                <w:b/>
                <w:color w:val="FFFFFF"/>
                <w:spacing w:val="-2"/>
                <w:sz w:val="18"/>
              </w:rPr>
              <w:t>nov-</w:t>
            </w:r>
            <w:r>
              <w:rPr>
                <w:rFonts w:ascii="Calibri"/>
                <w:b/>
                <w:color w:val="FFFFFF"/>
                <w:spacing w:val="-5"/>
                <w:sz w:val="18"/>
              </w:rPr>
              <w:t>24</w:t>
            </w:r>
          </w:p>
        </w:tc>
        <w:tc>
          <w:tcPr>
            <w:tcW w:w="540" w:type="dxa"/>
            <w:shd w:val="clear" w:color="auto" w:fill="0E4661"/>
          </w:tcPr>
          <w:p>
            <w:pPr>
              <w:pStyle w:val="TableParagraph"/>
              <w:spacing w:before="138"/>
              <w:ind w:left="28"/>
              <w:rPr>
                <w:rFonts w:ascii="Calibri"/>
                <w:b/>
                <w:sz w:val="18"/>
              </w:rPr>
            </w:pPr>
            <w:r>
              <w:rPr>
                <w:rFonts w:ascii="Calibri"/>
                <w:b/>
                <w:color w:val="FFFFFF"/>
                <w:spacing w:val="-2"/>
                <w:sz w:val="18"/>
              </w:rPr>
              <w:t>dez-</w:t>
            </w:r>
            <w:r>
              <w:rPr>
                <w:rFonts w:ascii="Calibri"/>
                <w:b/>
                <w:color w:val="FFFFFF"/>
                <w:spacing w:val="-5"/>
                <w:sz w:val="18"/>
              </w:rPr>
              <w:t>24</w:t>
            </w:r>
          </w:p>
        </w:tc>
        <w:tc>
          <w:tcPr>
            <w:tcW w:w="538" w:type="dxa"/>
            <w:shd w:val="clear" w:color="auto" w:fill="0E4661"/>
          </w:tcPr>
          <w:p>
            <w:pPr>
              <w:pStyle w:val="TableParagraph"/>
              <w:spacing w:before="138"/>
              <w:ind w:left="56"/>
              <w:rPr>
                <w:rFonts w:ascii="Calibri"/>
                <w:b/>
                <w:sz w:val="18"/>
              </w:rPr>
            </w:pPr>
            <w:r>
              <w:rPr>
                <w:rFonts w:ascii="Calibri"/>
                <w:b/>
                <w:color w:val="FFFFFF"/>
                <w:spacing w:val="-2"/>
                <w:sz w:val="18"/>
              </w:rPr>
              <w:t>jan-</w:t>
            </w:r>
            <w:r>
              <w:rPr>
                <w:rFonts w:ascii="Calibri"/>
                <w:b/>
                <w:color w:val="FFFFFF"/>
                <w:spacing w:val="-5"/>
                <w:sz w:val="18"/>
              </w:rPr>
              <w:t>25</w:t>
            </w:r>
          </w:p>
        </w:tc>
        <w:tc>
          <w:tcPr>
            <w:tcW w:w="540" w:type="dxa"/>
            <w:shd w:val="clear" w:color="auto" w:fill="0E4661"/>
          </w:tcPr>
          <w:p>
            <w:pPr>
              <w:pStyle w:val="TableParagraph"/>
              <w:spacing w:before="138"/>
              <w:ind w:left="54"/>
              <w:rPr>
                <w:rFonts w:ascii="Calibri"/>
                <w:b/>
                <w:sz w:val="18"/>
              </w:rPr>
            </w:pPr>
            <w:r>
              <w:rPr>
                <w:rFonts w:ascii="Calibri"/>
                <w:b/>
                <w:color w:val="FFFFFF"/>
                <w:spacing w:val="-2"/>
                <w:sz w:val="18"/>
              </w:rPr>
              <w:t>fev-</w:t>
            </w:r>
            <w:r>
              <w:rPr>
                <w:rFonts w:ascii="Calibri"/>
                <w:b/>
                <w:color w:val="FFFFFF"/>
                <w:spacing w:val="-5"/>
                <w:sz w:val="18"/>
              </w:rPr>
              <w:t>25</w:t>
            </w:r>
          </w:p>
        </w:tc>
        <w:tc>
          <w:tcPr>
            <w:tcW w:w="566" w:type="dxa"/>
            <w:shd w:val="clear" w:color="auto" w:fill="0E4661"/>
          </w:tcPr>
          <w:p>
            <w:pPr>
              <w:pStyle w:val="TableParagraph"/>
              <w:spacing w:line="220" w:lineRule="atLeast" w:before="16"/>
              <w:ind w:left="372" w:hanging="172"/>
              <w:jc w:val="right"/>
              <w:rPr>
                <w:rFonts w:ascii="Calibri"/>
                <w:b/>
                <w:sz w:val="18"/>
              </w:rPr>
            </w:pPr>
            <w:r>
              <w:rPr>
                <w:rFonts w:ascii="Calibri"/>
                <w:b/>
                <w:color w:val="FFFFFF"/>
                <w:spacing w:val="-4"/>
                <w:sz w:val="18"/>
              </w:rPr>
              <w:t>mar-</w:t>
            </w:r>
            <w:r>
              <w:rPr>
                <w:rFonts w:ascii="Calibri"/>
                <w:b/>
                <w:color w:val="FFFFFF"/>
                <w:sz w:val="18"/>
              </w:rPr>
              <w:t> </w:t>
            </w:r>
            <w:r>
              <w:rPr>
                <w:rFonts w:ascii="Calibri"/>
                <w:b/>
                <w:color w:val="FFFFFF"/>
                <w:spacing w:val="-5"/>
                <w:sz w:val="18"/>
              </w:rPr>
              <w:t>25</w:t>
            </w:r>
          </w:p>
        </w:tc>
        <w:tc>
          <w:tcPr>
            <w:tcW w:w="540" w:type="dxa"/>
            <w:shd w:val="clear" w:color="auto" w:fill="0E4661"/>
          </w:tcPr>
          <w:p>
            <w:pPr>
              <w:pStyle w:val="TableParagraph"/>
              <w:spacing w:before="138"/>
              <w:ind w:left="36"/>
              <w:rPr>
                <w:rFonts w:ascii="Calibri"/>
                <w:b/>
                <w:sz w:val="18"/>
              </w:rPr>
            </w:pPr>
            <w:r>
              <w:rPr>
                <w:rFonts w:ascii="Calibri"/>
                <w:b/>
                <w:color w:val="FFFFFF"/>
                <w:spacing w:val="-2"/>
                <w:sz w:val="18"/>
              </w:rPr>
              <w:t>abr-</w:t>
            </w:r>
            <w:r>
              <w:rPr>
                <w:rFonts w:ascii="Calibri"/>
                <w:b/>
                <w:color w:val="FFFFFF"/>
                <w:spacing w:val="-5"/>
                <w:sz w:val="18"/>
              </w:rPr>
              <w:t>25</w:t>
            </w:r>
          </w:p>
        </w:tc>
        <w:tc>
          <w:tcPr>
            <w:tcW w:w="566" w:type="dxa"/>
            <w:shd w:val="clear" w:color="auto" w:fill="0E4661"/>
          </w:tcPr>
          <w:p>
            <w:pPr>
              <w:pStyle w:val="TableParagraph"/>
              <w:spacing w:before="138"/>
              <w:ind w:left="36"/>
              <w:rPr>
                <w:rFonts w:ascii="Calibri"/>
                <w:b/>
                <w:sz w:val="18"/>
              </w:rPr>
            </w:pPr>
            <w:r>
              <w:rPr>
                <w:rFonts w:ascii="Calibri"/>
                <w:b/>
                <w:color w:val="FFFFFF"/>
                <w:spacing w:val="-2"/>
                <w:sz w:val="18"/>
              </w:rPr>
              <w:t>mai-</w:t>
            </w:r>
            <w:r>
              <w:rPr>
                <w:rFonts w:ascii="Calibri"/>
                <w:b/>
                <w:color w:val="FFFFFF"/>
                <w:spacing w:val="-5"/>
                <w:sz w:val="18"/>
              </w:rPr>
              <w:t>25</w:t>
            </w:r>
          </w:p>
        </w:tc>
        <w:tc>
          <w:tcPr>
            <w:tcW w:w="540" w:type="dxa"/>
            <w:shd w:val="clear" w:color="auto" w:fill="0E4661"/>
          </w:tcPr>
          <w:p>
            <w:pPr>
              <w:pStyle w:val="TableParagraph"/>
              <w:spacing w:before="138"/>
              <w:ind w:left="46"/>
              <w:rPr>
                <w:rFonts w:ascii="Calibri"/>
                <w:b/>
                <w:sz w:val="18"/>
              </w:rPr>
            </w:pPr>
            <w:r>
              <w:rPr>
                <w:rFonts w:ascii="Calibri"/>
                <w:b/>
                <w:color w:val="FFFFFF"/>
                <w:spacing w:val="-2"/>
                <w:sz w:val="18"/>
              </w:rPr>
              <w:t>jun-</w:t>
            </w:r>
            <w:r>
              <w:rPr>
                <w:rFonts w:ascii="Calibri"/>
                <w:b/>
                <w:color w:val="FFFFFF"/>
                <w:spacing w:val="-5"/>
                <w:sz w:val="18"/>
              </w:rPr>
              <w:t>25</w:t>
            </w:r>
          </w:p>
        </w:tc>
        <w:tc>
          <w:tcPr>
            <w:tcW w:w="538" w:type="dxa"/>
            <w:shd w:val="clear" w:color="auto" w:fill="0E4661"/>
          </w:tcPr>
          <w:p>
            <w:pPr>
              <w:pStyle w:val="TableParagraph"/>
              <w:spacing w:before="138"/>
              <w:ind w:left="98"/>
              <w:rPr>
                <w:rFonts w:ascii="Calibri"/>
                <w:b/>
                <w:sz w:val="18"/>
              </w:rPr>
            </w:pPr>
            <w:r>
              <w:rPr>
                <w:rFonts w:ascii="Calibri"/>
                <w:b/>
                <w:color w:val="FFFFFF"/>
                <w:spacing w:val="-2"/>
                <w:sz w:val="18"/>
              </w:rPr>
              <w:t>jul-</w:t>
            </w:r>
            <w:r>
              <w:rPr>
                <w:rFonts w:ascii="Calibri"/>
                <w:b/>
                <w:color w:val="FFFFFF"/>
                <w:spacing w:val="-5"/>
                <w:sz w:val="18"/>
              </w:rPr>
              <w:t>25</w:t>
            </w:r>
          </w:p>
        </w:tc>
        <w:tc>
          <w:tcPr>
            <w:tcW w:w="540" w:type="dxa"/>
            <w:shd w:val="clear" w:color="auto" w:fill="0E4661"/>
          </w:tcPr>
          <w:p>
            <w:pPr>
              <w:pStyle w:val="TableParagraph"/>
              <w:spacing w:before="138"/>
              <w:ind w:left="16"/>
              <w:rPr>
                <w:rFonts w:ascii="Calibri"/>
                <w:b/>
                <w:sz w:val="18"/>
              </w:rPr>
            </w:pPr>
            <w:r>
              <w:rPr>
                <w:rFonts w:ascii="Calibri"/>
                <w:b/>
                <w:color w:val="FFFFFF"/>
                <w:spacing w:val="-2"/>
                <w:sz w:val="18"/>
              </w:rPr>
              <w:t>ago-</w:t>
            </w:r>
            <w:r>
              <w:rPr>
                <w:rFonts w:ascii="Calibri"/>
                <w:b/>
                <w:color w:val="FFFFFF"/>
                <w:spacing w:val="-5"/>
                <w:sz w:val="18"/>
              </w:rPr>
              <w:t>25</w:t>
            </w:r>
          </w:p>
        </w:tc>
        <w:tc>
          <w:tcPr>
            <w:tcW w:w="540" w:type="dxa"/>
            <w:shd w:val="clear" w:color="auto" w:fill="0E4661"/>
          </w:tcPr>
          <w:p>
            <w:pPr>
              <w:pStyle w:val="TableParagraph"/>
              <w:spacing w:before="138"/>
              <w:ind w:left="62"/>
              <w:rPr>
                <w:rFonts w:ascii="Calibri"/>
                <w:b/>
                <w:sz w:val="18"/>
              </w:rPr>
            </w:pPr>
            <w:r>
              <w:rPr>
                <w:rFonts w:ascii="Calibri"/>
                <w:b/>
                <w:color w:val="FFFFFF"/>
                <w:spacing w:val="-2"/>
                <w:sz w:val="18"/>
              </w:rPr>
              <w:t>set-</w:t>
            </w:r>
            <w:r>
              <w:rPr>
                <w:rFonts w:ascii="Calibri"/>
                <w:b/>
                <w:color w:val="FFFFFF"/>
                <w:spacing w:val="-5"/>
                <w:sz w:val="18"/>
              </w:rPr>
              <w:t>25</w:t>
            </w:r>
          </w:p>
        </w:tc>
        <w:tc>
          <w:tcPr>
            <w:tcW w:w="538" w:type="dxa"/>
            <w:shd w:val="clear" w:color="auto" w:fill="0E4661"/>
          </w:tcPr>
          <w:p>
            <w:pPr>
              <w:pStyle w:val="TableParagraph"/>
              <w:spacing w:before="138"/>
              <w:ind w:left="32"/>
              <w:rPr>
                <w:rFonts w:ascii="Calibri"/>
                <w:b/>
                <w:sz w:val="18"/>
              </w:rPr>
            </w:pPr>
            <w:r>
              <w:rPr>
                <w:rFonts w:ascii="Calibri"/>
                <w:b/>
                <w:color w:val="FFFFFF"/>
                <w:spacing w:val="-2"/>
                <w:sz w:val="18"/>
              </w:rPr>
              <w:t>out-</w:t>
            </w:r>
            <w:r>
              <w:rPr>
                <w:rFonts w:ascii="Calibri"/>
                <w:b/>
                <w:color w:val="FFFFFF"/>
                <w:spacing w:val="-5"/>
                <w:sz w:val="18"/>
              </w:rPr>
              <w:t>25</w:t>
            </w:r>
          </w:p>
        </w:tc>
        <w:tc>
          <w:tcPr>
            <w:tcW w:w="568" w:type="dxa"/>
            <w:shd w:val="clear" w:color="auto" w:fill="0E4661"/>
          </w:tcPr>
          <w:p>
            <w:pPr>
              <w:pStyle w:val="TableParagraph"/>
              <w:spacing w:before="138"/>
              <w:ind w:left="36"/>
              <w:rPr>
                <w:rFonts w:ascii="Calibri"/>
                <w:b/>
                <w:sz w:val="18"/>
              </w:rPr>
            </w:pPr>
            <w:r>
              <w:rPr>
                <w:rFonts w:ascii="Calibri"/>
                <w:b/>
                <w:color w:val="FFFFFF"/>
                <w:spacing w:val="-2"/>
                <w:sz w:val="18"/>
              </w:rPr>
              <w:t>nov-</w:t>
            </w:r>
            <w:r>
              <w:rPr>
                <w:rFonts w:ascii="Calibri"/>
                <w:b/>
                <w:color w:val="FFFFFF"/>
                <w:spacing w:val="-5"/>
                <w:sz w:val="18"/>
              </w:rPr>
              <w:t>25</w:t>
            </w:r>
          </w:p>
        </w:tc>
      </w:tr>
      <w:tr>
        <w:trPr>
          <w:trHeight w:val="260" w:hRule="atLeast"/>
        </w:trPr>
        <w:tc>
          <w:tcPr>
            <w:tcW w:w="1166" w:type="dxa"/>
            <w:shd w:val="clear" w:color="auto" w:fill="D9E8F7"/>
          </w:tcPr>
          <w:p>
            <w:pPr>
              <w:pStyle w:val="TableParagraph"/>
              <w:spacing w:line="220" w:lineRule="exact" w:before="19"/>
              <w:ind w:left="15"/>
              <w:jc w:val="left"/>
              <w:rPr>
                <w:rFonts w:ascii="Calibri"/>
                <w:sz w:val="20"/>
              </w:rPr>
            </w:pPr>
            <w:r>
              <w:rPr>
                <w:rFonts w:ascii="Calibri"/>
                <w:sz w:val="20"/>
              </w:rPr>
              <w:t>Total</w:t>
            </w:r>
            <w:r>
              <w:rPr>
                <w:rFonts w:ascii="Calibri"/>
                <w:spacing w:val="-3"/>
                <w:sz w:val="20"/>
              </w:rPr>
              <w:t> </w:t>
            </w:r>
            <w:r>
              <w:rPr>
                <w:rFonts w:ascii="Calibri"/>
                <w:sz w:val="20"/>
              </w:rPr>
              <w:t>de</w:t>
            </w:r>
            <w:r>
              <w:rPr>
                <w:rFonts w:ascii="Calibri"/>
                <w:spacing w:val="-2"/>
                <w:sz w:val="20"/>
              </w:rPr>
              <w:t> </w:t>
            </w:r>
            <w:r>
              <w:rPr>
                <w:rFonts w:ascii="Calibri"/>
                <w:spacing w:val="-5"/>
                <w:sz w:val="20"/>
              </w:rPr>
              <w:t>LP</w:t>
            </w:r>
          </w:p>
        </w:tc>
        <w:tc>
          <w:tcPr>
            <w:tcW w:w="538" w:type="dxa"/>
          </w:tcPr>
          <w:p>
            <w:pPr>
              <w:pStyle w:val="TableParagraph"/>
              <w:spacing w:line="209" w:lineRule="exact" w:before="30"/>
              <w:ind w:left="13"/>
              <w:rPr>
                <w:rFonts w:ascii="Calibri"/>
                <w:sz w:val="18"/>
              </w:rPr>
            </w:pPr>
            <w:r>
              <w:rPr>
                <w:rFonts w:ascii="Calibri"/>
                <w:spacing w:val="-5"/>
                <w:sz w:val="18"/>
              </w:rPr>
              <w:t>80</w:t>
            </w:r>
          </w:p>
        </w:tc>
        <w:tc>
          <w:tcPr>
            <w:tcW w:w="538" w:type="dxa"/>
          </w:tcPr>
          <w:p>
            <w:pPr>
              <w:pStyle w:val="TableParagraph"/>
              <w:spacing w:line="209" w:lineRule="exact" w:before="30"/>
              <w:ind w:left="180"/>
              <w:jc w:val="left"/>
              <w:rPr>
                <w:rFonts w:ascii="Calibri"/>
                <w:sz w:val="18"/>
              </w:rPr>
            </w:pPr>
            <w:r>
              <w:rPr>
                <w:rFonts w:ascii="Calibri"/>
                <w:spacing w:val="-5"/>
                <w:sz w:val="18"/>
              </w:rPr>
              <w:t>96</w:t>
            </w:r>
          </w:p>
        </w:tc>
        <w:tc>
          <w:tcPr>
            <w:tcW w:w="540" w:type="dxa"/>
          </w:tcPr>
          <w:p>
            <w:pPr>
              <w:pStyle w:val="TableParagraph"/>
              <w:spacing w:line="209" w:lineRule="exact" w:before="30"/>
              <w:ind w:left="15"/>
              <w:rPr>
                <w:rFonts w:ascii="Calibri"/>
                <w:sz w:val="18"/>
              </w:rPr>
            </w:pPr>
            <w:r>
              <w:rPr>
                <w:rFonts w:ascii="Calibri"/>
                <w:spacing w:val="-5"/>
                <w:sz w:val="18"/>
              </w:rPr>
              <w:t>76</w:t>
            </w:r>
          </w:p>
        </w:tc>
        <w:tc>
          <w:tcPr>
            <w:tcW w:w="538" w:type="dxa"/>
          </w:tcPr>
          <w:p>
            <w:pPr>
              <w:pStyle w:val="TableParagraph"/>
              <w:spacing w:line="209" w:lineRule="exact" w:before="30"/>
              <w:ind w:left="13"/>
              <w:rPr>
                <w:rFonts w:ascii="Calibri"/>
                <w:sz w:val="18"/>
              </w:rPr>
            </w:pPr>
            <w:r>
              <w:rPr>
                <w:rFonts w:ascii="Calibri"/>
                <w:spacing w:val="-5"/>
                <w:sz w:val="18"/>
              </w:rPr>
              <w:t>85</w:t>
            </w:r>
          </w:p>
        </w:tc>
        <w:tc>
          <w:tcPr>
            <w:tcW w:w="540" w:type="dxa"/>
          </w:tcPr>
          <w:p>
            <w:pPr>
              <w:pStyle w:val="TableParagraph"/>
              <w:spacing w:line="209" w:lineRule="exact" w:before="30"/>
              <w:ind w:left="15"/>
              <w:rPr>
                <w:rFonts w:ascii="Calibri"/>
                <w:sz w:val="18"/>
              </w:rPr>
            </w:pPr>
            <w:r>
              <w:rPr>
                <w:rFonts w:ascii="Calibri"/>
                <w:spacing w:val="-5"/>
                <w:sz w:val="18"/>
              </w:rPr>
              <w:t>40</w:t>
            </w:r>
          </w:p>
        </w:tc>
        <w:tc>
          <w:tcPr>
            <w:tcW w:w="566" w:type="dxa"/>
          </w:tcPr>
          <w:p>
            <w:pPr>
              <w:pStyle w:val="TableParagraph"/>
              <w:spacing w:line="209" w:lineRule="exact" w:before="30"/>
              <w:ind w:left="13"/>
              <w:rPr>
                <w:rFonts w:ascii="Calibri"/>
                <w:sz w:val="18"/>
              </w:rPr>
            </w:pPr>
            <w:r>
              <w:rPr>
                <w:rFonts w:ascii="Calibri"/>
                <w:spacing w:val="-5"/>
                <w:sz w:val="18"/>
              </w:rPr>
              <w:t>66</w:t>
            </w:r>
          </w:p>
        </w:tc>
        <w:tc>
          <w:tcPr>
            <w:tcW w:w="540" w:type="dxa"/>
          </w:tcPr>
          <w:p>
            <w:pPr>
              <w:pStyle w:val="TableParagraph"/>
              <w:spacing w:line="209" w:lineRule="exact" w:before="30"/>
              <w:ind w:left="15"/>
              <w:rPr>
                <w:rFonts w:ascii="Calibri"/>
                <w:sz w:val="18"/>
              </w:rPr>
            </w:pPr>
            <w:r>
              <w:rPr>
                <w:rFonts w:ascii="Calibri"/>
                <w:spacing w:val="-5"/>
                <w:sz w:val="18"/>
              </w:rPr>
              <w:t>34</w:t>
            </w:r>
          </w:p>
        </w:tc>
        <w:tc>
          <w:tcPr>
            <w:tcW w:w="538" w:type="dxa"/>
          </w:tcPr>
          <w:p>
            <w:pPr>
              <w:pStyle w:val="TableParagraph"/>
              <w:spacing w:line="209" w:lineRule="exact" w:before="30"/>
              <w:ind w:left="13"/>
              <w:rPr>
                <w:rFonts w:ascii="Calibri"/>
                <w:sz w:val="18"/>
              </w:rPr>
            </w:pPr>
            <w:r>
              <w:rPr>
                <w:rFonts w:ascii="Calibri"/>
                <w:spacing w:val="-5"/>
                <w:sz w:val="18"/>
              </w:rPr>
              <w:t>43</w:t>
            </w:r>
          </w:p>
        </w:tc>
        <w:tc>
          <w:tcPr>
            <w:tcW w:w="540" w:type="dxa"/>
          </w:tcPr>
          <w:p>
            <w:pPr>
              <w:pStyle w:val="TableParagraph"/>
              <w:spacing w:line="209" w:lineRule="exact" w:before="30"/>
              <w:ind w:left="15"/>
              <w:rPr>
                <w:rFonts w:ascii="Calibri"/>
                <w:sz w:val="18"/>
              </w:rPr>
            </w:pPr>
            <w:r>
              <w:rPr>
                <w:rFonts w:ascii="Calibri"/>
                <w:spacing w:val="-5"/>
                <w:sz w:val="18"/>
              </w:rPr>
              <w:t>87</w:t>
            </w:r>
          </w:p>
        </w:tc>
        <w:tc>
          <w:tcPr>
            <w:tcW w:w="566" w:type="dxa"/>
          </w:tcPr>
          <w:p>
            <w:pPr>
              <w:pStyle w:val="TableParagraph"/>
              <w:spacing w:line="209" w:lineRule="exact" w:before="30"/>
              <w:ind w:left="13"/>
              <w:rPr>
                <w:rFonts w:ascii="Calibri"/>
                <w:sz w:val="18"/>
              </w:rPr>
            </w:pPr>
            <w:r>
              <w:rPr>
                <w:rFonts w:ascii="Calibri"/>
                <w:spacing w:val="-5"/>
                <w:sz w:val="18"/>
              </w:rPr>
              <w:t>42</w:t>
            </w:r>
          </w:p>
        </w:tc>
        <w:tc>
          <w:tcPr>
            <w:tcW w:w="540" w:type="dxa"/>
          </w:tcPr>
          <w:p>
            <w:pPr>
              <w:pStyle w:val="TableParagraph"/>
              <w:spacing w:line="209" w:lineRule="exact" w:before="30"/>
              <w:ind w:left="15"/>
              <w:rPr>
                <w:rFonts w:ascii="Calibri"/>
                <w:sz w:val="18"/>
              </w:rPr>
            </w:pPr>
            <w:r>
              <w:rPr>
                <w:rFonts w:ascii="Calibri"/>
                <w:spacing w:val="-5"/>
                <w:sz w:val="18"/>
              </w:rPr>
              <w:t>42</w:t>
            </w:r>
          </w:p>
        </w:tc>
        <w:tc>
          <w:tcPr>
            <w:tcW w:w="566" w:type="dxa"/>
          </w:tcPr>
          <w:p>
            <w:pPr>
              <w:pStyle w:val="TableParagraph"/>
              <w:spacing w:line="209" w:lineRule="exact" w:before="30"/>
              <w:ind w:left="13"/>
              <w:rPr>
                <w:rFonts w:ascii="Calibri"/>
                <w:sz w:val="18"/>
              </w:rPr>
            </w:pPr>
            <w:r>
              <w:rPr>
                <w:rFonts w:ascii="Calibri"/>
                <w:spacing w:val="-5"/>
                <w:sz w:val="18"/>
              </w:rPr>
              <w:t>104</w:t>
            </w:r>
          </w:p>
        </w:tc>
        <w:tc>
          <w:tcPr>
            <w:tcW w:w="540" w:type="dxa"/>
          </w:tcPr>
          <w:p>
            <w:pPr>
              <w:pStyle w:val="TableParagraph"/>
              <w:spacing w:line="209" w:lineRule="exact" w:before="30"/>
              <w:ind w:left="15"/>
              <w:rPr>
                <w:rFonts w:ascii="Calibri"/>
                <w:sz w:val="18"/>
              </w:rPr>
            </w:pPr>
            <w:r>
              <w:rPr>
                <w:rFonts w:ascii="Calibri"/>
                <w:spacing w:val="-5"/>
                <w:sz w:val="18"/>
              </w:rPr>
              <w:t>21</w:t>
            </w:r>
          </w:p>
        </w:tc>
        <w:tc>
          <w:tcPr>
            <w:tcW w:w="538" w:type="dxa"/>
          </w:tcPr>
          <w:p>
            <w:pPr>
              <w:pStyle w:val="TableParagraph"/>
              <w:spacing w:line="209" w:lineRule="exact" w:before="30"/>
              <w:ind w:left="13"/>
              <w:rPr>
                <w:rFonts w:ascii="Calibri"/>
                <w:sz w:val="18"/>
              </w:rPr>
            </w:pPr>
            <w:r>
              <w:rPr>
                <w:rFonts w:ascii="Calibri"/>
                <w:spacing w:val="-5"/>
                <w:sz w:val="18"/>
              </w:rPr>
              <w:t>40</w:t>
            </w:r>
          </w:p>
        </w:tc>
        <w:tc>
          <w:tcPr>
            <w:tcW w:w="540" w:type="dxa"/>
          </w:tcPr>
          <w:p>
            <w:pPr>
              <w:pStyle w:val="TableParagraph"/>
              <w:spacing w:line="209" w:lineRule="exact" w:before="30"/>
              <w:ind w:left="15"/>
              <w:rPr>
                <w:rFonts w:ascii="Calibri"/>
                <w:sz w:val="18"/>
              </w:rPr>
            </w:pPr>
            <w:r>
              <w:rPr>
                <w:rFonts w:ascii="Calibri"/>
                <w:spacing w:val="-5"/>
                <w:sz w:val="18"/>
              </w:rPr>
              <w:t>144</w:t>
            </w:r>
          </w:p>
        </w:tc>
        <w:tc>
          <w:tcPr>
            <w:tcW w:w="540" w:type="dxa"/>
          </w:tcPr>
          <w:p>
            <w:pPr>
              <w:pStyle w:val="TableParagraph"/>
              <w:spacing w:line="209" w:lineRule="exact" w:before="30"/>
              <w:ind w:left="15"/>
              <w:rPr>
                <w:rFonts w:ascii="Calibri"/>
                <w:sz w:val="18"/>
              </w:rPr>
            </w:pPr>
            <w:r>
              <w:rPr>
                <w:rFonts w:ascii="Calibri"/>
                <w:spacing w:val="-5"/>
                <w:sz w:val="18"/>
              </w:rPr>
              <w:t>50</w:t>
            </w:r>
          </w:p>
        </w:tc>
        <w:tc>
          <w:tcPr>
            <w:tcW w:w="538" w:type="dxa"/>
          </w:tcPr>
          <w:p>
            <w:pPr>
              <w:pStyle w:val="TableParagraph"/>
              <w:spacing w:line="209" w:lineRule="exact" w:before="30"/>
              <w:ind w:left="13"/>
              <w:rPr>
                <w:rFonts w:ascii="Calibri"/>
                <w:sz w:val="18"/>
              </w:rPr>
            </w:pPr>
            <w:r>
              <w:rPr>
                <w:rFonts w:ascii="Calibri"/>
                <w:spacing w:val="-5"/>
                <w:sz w:val="18"/>
              </w:rPr>
              <w:t>73</w:t>
            </w:r>
          </w:p>
        </w:tc>
        <w:tc>
          <w:tcPr>
            <w:tcW w:w="568" w:type="dxa"/>
          </w:tcPr>
          <w:p>
            <w:pPr>
              <w:pStyle w:val="TableParagraph"/>
              <w:spacing w:line="209" w:lineRule="exact" w:before="30"/>
              <w:ind w:left="15"/>
              <w:rPr>
                <w:rFonts w:ascii="Calibri"/>
                <w:sz w:val="18"/>
              </w:rPr>
            </w:pPr>
            <w:r>
              <w:rPr>
                <w:rFonts w:ascii="Calibri"/>
                <w:spacing w:val="-5"/>
                <w:sz w:val="18"/>
              </w:rPr>
              <w:t>34</w:t>
            </w:r>
          </w:p>
        </w:tc>
      </w:tr>
      <w:tr>
        <w:trPr>
          <w:trHeight w:val="990" w:hRule="atLeast"/>
        </w:trPr>
        <w:tc>
          <w:tcPr>
            <w:tcW w:w="1166" w:type="dxa"/>
            <w:shd w:val="clear" w:color="auto" w:fill="D9E8F7"/>
          </w:tcPr>
          <w:p>
            <w:pPr>
              <w:pStyle w:val="TableParagraph"/>
              <w:spacing w:before="17"/>
              <w:ind w:left="15" w:right="416"/>
              <w:jc w:val="left"/>
              <w:rPr>
                <w:rFonts w:ascii="Calibri"/>
                <w:sz w:val="20"/>
              </w:rPr>
            </w:pPr>
            <w:r>
              <w:rPr>
                <w:rFonts w:ascii="Calibri"/>
                <w:spacing w:val="-4"/>
                <w:sz w:val="20"/>
              </w:rPr>
              <w:t>Taxa </w:t>
            </w:r>
            <w:r>
              <w:rPr>
                <w:rFonts w:ascii="Calibri"/>
                <w:spacing w:val="-2"/>
                <w:sz w:val="20"/>
              </w:rPr>
              <w:t>LP/1.000</w:t>
            </w:r>
          </w:p>
          <w:p>
            <w:pPr>
              <w:pStyle w:val="TableParagraph"/>
              <w:spacing w:line="244" w:lineRule="exact"/>
              <w:ind w:left="15"/>
              <w:jc w:val="left"/>
              <w:rPr>
                <w:rFonts w:ascii="Calibri"/>
                <w:sz w:val="20"/>
              </w:rPr>
            </w:pPr>
            <w:r>
              <w:rPr>
                <w:rFonts w:ascii="Calibri"/>
                <w:spacing w:val="-2"/>
                <w:sz w:val="20"/>
              </w:rPr>
              <w:t>pacientes-</w:t>
            </w:r>
            <w:r>
              <w:rPr>
                <w:rFonts w:ascii="Calibri"/>
                <w:spacing w:val="-5"/>
                <w:sz w:val="20"/>
              </w:rPr>
              <w:t>dia</w:t>
            </w:r>
          </w:p>
          <w:p>
            <w:pPr>
              <w:pStyle w:val="TableParagraph"/>
              <w:spacing w:line="220" w:lineRule="exact"/>
              <w:ind w:left="15"/>
              <w:jc w:val="left"/>
              <w:rPr>
                <w:rFonts w:ascii="Calibri"/>
                <w:sz w:val="20"/>
              </w:rPr>
            </w:pPr>
            <w:r>
              <w:rPr>
                <w:rFonts w:ascii="Calibri"/>
                <w:spacing w:val="-5"/>
                <w:sz w:val="20"/>
              </w:rPr>
              <w:t>(%)</w:t>
            </w:r>
          </w:p>
        </w:tc>
        <w:tc>
          <w:tcPr>
            <w:tcW w:w="538" w:type="dxa"/>
          </w:tcPr>
          <w:p>
            <w:pPr>
              <w:pStyle w:val="TableParagraph"/>
              <w:spacing w:before="189"/>
              <w:jc w:val="left"/>
              <w:rPr>
                <w:b/>
                <w:sz w:val="18"/>
              </w:rPr>
            </w:pPr>
          </w:p>
          <w:p>
            <w:pPr>
              <w:pStyle w:val="TableParagraph"/>
              <w:ind w:left="12"/>
              <w:rPr>
                <w:rFonts w:ascii="Calibri"/>
                <w:sz w:val="18"/>
              </w:rPr>
            </w:pPr>
            <w:r>
              <w:rPr>
                <w:rFonts w:ascii="Calibri"/>
                <w:spacing w:val="-4"/>
                <w:sz w:val="18"/>
              </w:rPr>
              <w:t>11,5</w:t>
            </w:r>
          </w:p>
        </w:tc>
        <w:tc>
          <w:tcPr>
            <w:tcW w:w="538" w:type="dxa"/>
          </w:tcPr>
          <w:p>
            <w:pPr>
              <w:pStyle w:val="TableParagraph"/>
              <w:spacing w:before="189"/>
              <w:jc w:val="left"/>
              <w:rPr>
                <w:b/>
                <w:sz w:val="18"/>
              </w:rPr>
            </w:pPr>
          </w:p>
          <w:p>
            <w:pPr>
              <w:pStyle w:val="TableParagraph"/>
              <w:ind w:left="111"/>
              <w:jc w:val="left"/>
              <w:rPr>
                <w:rFonts w:ascii="Calibri"/>
                <w:sz w:val="18"/>
              </w:rPr>
            </w:pPr>
            <w:r>
              <w:rPr>
                <w:rFonts w:ascii="Calibri"/>
                <w:spacing w:val="-4"/>
                <w:sz w:val="18"/>
              </w:rPr>
              <w:t>11,6</w:t>
            </w:r>
          </w:p>
        </w:tc>
        <w:tc>
          <w:tcPr>
            <w:tcW w:w="540" w:type="dxa"/>
          </w:tcPr>
          <w:p>
            <w:pPr>
              <w:pStyle w:val="TableParagraph"/>
              <w:spacing w:before="189"/>
              <w:jc w:val="left"/>
              <w:rPr>
                <w:b/>
                <w:sz w:val="18"/>
              </w:rPr>
            </w:pPr>
          </w:p>
          <w:p>
            <w:pPr>
              <w:pStyle w:val="TableParagraph"/>
              <w:ind w:left="10"/>
              <w:rPr>
                <w:rFonts w:ascii="Calibri"/>
                <w:sz w:val="18"/>
              </w:rPr>
            </w:pPr>
            <w:r>
              <w:rPr>
                <w:rFonts w:ascii="Calibri"/>
                <w:spacing w:val="-5"/>
                <w:sz w:val="18"/>
              </w:rPr>
              <w:t>8,6</w:t>
            </w:r>
          </w:p>
        </w:tc>
        <w:tc>
          <w:tcPr>
            <w:tcW w:w="538" w:type="dxa"/>
          </w:tcPr>
          <w:p>
            <w:pPr>
              <w:pStyle w:val="TableParagraph"/>
              <w:spacing w:before="189"/>
              <w:jc w:val="left"/>
              <w:rPr>
                <w:b/>
                <w:sz w:val="18"/>
              </w:rPr>
            </w:pPr>
          </w:p>
          <w:p>
            <w:pPr>
              <w:pStyle w:val="TableParagraph"/>
              <w:ind w:left="12"/>
              <w:rPr>
                <w:rFonts w:ascii="Calibri"/>
                <w:sz w:val="18"/>
              </w:rPr>
            </w:pPr>
            <w:r>
              <w:rPr>
                <w:rFonts w:ascii="Calibri"/>
                <w:spacing w:val="-4"/>
                <w:sz w:val="18"/>
              </w:rPr>
              <w:t>10,0</w:t>
            </w:r>
          </w:p>
        </w:tc>
        <w:tc>
          <w:tcPr>
            <w:tcW w:w="540" w:type="dxa"/>
          </w:tcPr>
          <w:p>
            <w:pPr>
              <w:pStyle w:val="TableParagraph"/>
              <w:spacing w:before="189"/>
              <w:jc w:val="left"/>
              <w:rPr>
                <w:b/>
                <w:sz w:val="18"/>
              </w:rPr>
            </w:pPr>
          </w:p>
          <w:p>
            <w:pPr>
              <w:pStyle w:val="TableParagraph"/>
              <w:ind w:left="14"/>
              <w:rPr>
                <w:rFonts w:ascii="Calibri"/>
                <w:sz w:val="18"/>
              </w:rPr>
            </w:pPr>
            <w:r>
              <w:rPr>
                <w:rFonts w:ascii="Calibri"/>
                <w:spacing w:val="-5"/>
                <w:sz w:val="18"/>
              </w:rPr>
              <w:t>4,6</w:t>
            </w:r>
          </w:p>
        </w:tc>
        <w:tc>
          <w:tcPr>
            <w:tcW w:w="566" w:type="dxa"/>
          </w:tcPr>
          <w:p>
            <w:pPr>
              <w:pStyle w:val="TableParagraph"/>
              <w:spacing w:before="189"/>
              <w:jc w:val="left"/>
              <w:rPr>
                <w:b/>
                <w:sz w:val="18"/>
              </w:rPr>
            </w:pPr>
          </w:p>
          <w:p>
            <w:pPr>
              <w:pStyle w:val="TableParagraph"/>
              <w:ind w:left="12"/>
              <w:rPr>
                <w:rFonts w:ascii="Calibri"/>
                <w:sz w:val="18"/>
              </w:rPr>
            </w:pPr>
            <w:r>
              <w:rPr>
                <w:rFonts w:ascii="Calibri"/>
                <w:spacing w:val="-5"/>
                <w:sz w:val="18"/>
              </w:rPr>
              <w:t>8,0</w:t>
            </w:r>
          </w:p>
        </w:tc>
        <w:tc>
          <w:tcPr>
            <w:tcW w:w="540" w:type="dxa"/>
          </w:tcPr>
          <w:p>
            <w:pPr>
              <w:pStyle w:val="TableParagraph"/>
              <w:spacing w:before="189"/>
              <w:jc w:val="left"/>
              <w:rPr>
                <w:b/>
                <w:sz w:val="18"/>
              </w:rPr>
            </w:pPr>
          </w:p>
          <w:p>
            <w:pPr>
              <w:pStyle w:val="TableParagraph"/>
              <w:ind w:left="10"/>
              <w:rPr>
                <w:rFonts w:ascii="Calibri"/>
                <w:sz w:val="18"/>
              </w:rPr>
            </w:pPr>
            <w:r>
              <w:rPr>
                <w:rFonts w:ascii="Calibri"/>
                <w:spacing w:val="-5"/>
                <w:sz w:val="18"/>
              </w:rPr>
              <w:t>3,8</w:t>
            </w:r>
          </w:p>
        </w:tc>
        <w:tc>
          <w:tcPr>
            <w:tcW w:w="538" w:type="dxa"/>
          </w:tcPr>
          <w:p>
            <w:pPr>
              <w:pStyle w:val="TableParagraph"/>
              <w:spacing w:before="189"/>
              <w:jc w:val="left"/>
              <w:rPr>
                <w:b/>
                <w:sz w:val="18"/>
              </w:rPr>
            </w:pPr>
          </w:p>
          <w:p>
            <w:pPr>
              <w:pStyle w:val="TableParagraph"/>
              <w:ind w:left="12"/>
              <w:rPr>
                <w:rFonts w:ascii="Calibri"/>
                <w:sz w:val="18"/>
              </w:rPr>
            </w:pPr>
            <w:r>
              <w:rPr>
                <w:rFonts w:ascii="Calibri"/>
                <w:spacing w:val="-5"/>
                <w:sz w:val="18"/>
              </w:rPr>
              <w:t>4,8</w:t>
            </w:r>
          </w:p>
        </w:tc>
        <w:tc>
          <w:tcPr>
            <w:tcW w:w="540" w:type="dxa"/>
          </w:tcPr>
          <w:p>
            <w:pPr>
              <w:pStyle w:val="TableParagraph"/>
              <w:spacing w:before="189"/>
              <w:jc w:val="left"/>
              <w:rPr>
                <w:b/>
                <w:sz w:val="18"/>
              </w:rPr>
            </w:pPr>
          </w:p>
          <w:p>
            <w:pPr>
              <w:pStyle w:val="TableParagraph"/>
              <w:ind w:left="14"/>
              <w:rPr>
                <w:rFonts w:ascii="Calibri"/>
                <w:sz w:val="18"/>
              </w:rPr>
            </w:pPr>
            <w:r>
              <w:rPr>
                <w:rFonts w:ascii="Calibri"/>
                <w:spacing w:val="-4"/>
                <w:sz w:val="18"/>
              </w:rPr>
              <w:t>10,2</w:t>
            </w:r>
          </w:p>
        </w:tc>
        <w:tc>
          <w:tcPr>
            <w:tcW w:w="566" w:type="dxa"/>
          </w:tcPr>
          <w:p>
            <w:pPr>
              <w:pStyle w:val="TableParagraph"/>
              <w:spacing w:before="189"/>
              <w:jc w:val="left"/>
              <w:rPr>
                <w:b/>
                <w:sz w:val="18"/>
              </w:rPr>
            </w:pPr>
          </w:p>
          <w:p>
            <w:pPr>
              <w:pStyle w:val="TableParagraph"/>
              <w:ind w:left="12"/>
              <w:rPr>
                <w:rFonts w:ascii="Calibri"/>
                <w:sz w:val="18"/>
              </w:rPr>
            </w:pPr>
            <w:r>
              <w:rPr>
                <w:rFonts w:ascii="Calibri"/>
                <w:spacing w:val="-5"/>
                <w:sz w:val="18"/>
              </w:rPr>
              <w:t>4,0</w:t>
            </w:r>
          </w:p>
        </w:tc>
        <w:tc>
          <w:tcPr>
            <w:tcW w:w="540" w:type="dxa"/>
          </w:tcPr>
          <w:p>
            <w:pPr>
              <w:pStyle w:val="TableParagraph"/>
              <w:spacing w:before="189"/>
              <w:jc w:val="left"/>
              <w:rPr>
                <w:b/>
                <w:sz w:val="18"/>
              </w:rPr>
            </w:pPr>
          </w:p>
          <w:p>
            <w:pPr>
              <w:pStyle w:val="TableParagraph"/>
              <w:ind w:left="10"/>
              <w:rPr>
                <w:rFonts w:ascii="Calibri"/>
                <w:sz w:val="18"/>
              </w:rPr>
            </w:pPr>
            <w:r>
              <w:rPr>
                <w:rFonts w:ascii="Calibri"/>
                <w:spacing w:val="-5"/>
                <w:sz w:val="18"/>
              </w:rPr>
              <w:t>4,3</w:t>
            </w:r>
          </w:p>
        </w:tc>
        <w:tc>
          <w:tcPr>
            <w:tcW w:w="566" w:type="dxa"/>
          </w:tcPr>
          <w:p>
            <w:pPr>
              <w:pStyle w:val="TableParagraph"/>
              <w:spacing w:before="189"/>
              <w:jc w:val="left"/>
              <w:rPr>
                <w:b/>
                <w:sz w:val="18"/>
              </w:rPr>
            </w:pPr>
          </w:p>
          <w:p>
            <w:pPr>
              <w:pStyle w:val="TableParagraph"/>
              <w:ind w:left="12"/>
              <w:rPr>
                <w:rFonts w:ascii="Calibri"/>
                <w:sz w:val="18"/>
              </w:rPr>
            </w:pPr>
            <w:r>
              <w:rPr>
                <w:rFonts w:ascii="Calibri"/>
                <w:spacing w:val="-4"/>
                <w:sz w:val="18"/>
              </w:rPr>
              <w:t>10,3</w:t>
            </w:r>
          </w:p>
        </w:tc>
        <w:tc>
          <w:tcPr>
            <w:tcW w:w="540" w:type="dxa"/>
          </w:tcPr>
          <w:p>
            <w:pPr>
              <w:pStyle w:val="TableParagraph"/>
              <w:spacing w:before="189"/>
              <w:jc w:val="left"/>
              <w:rPr>
                <w:b/>
                <w:sz w:val="18"/>
              </w:rPr>
            </w:pPr>
          </w:p>
          <w:p>
            <w:pPr>
              <w:pStyle w:val="TableParagraph"/>
              <w:ind w:left="10"/>
              <w:rPr>
                <w:rFonts w:ascii="Calibri"/>
                <w:sz w:val="18"/>
              </w:rPr>
            </w:pPr>
            <w:r>
              <w:rPr>
                <w:rFonts w:ascii="Calibri"/>
                <w:spacing w:val="-5"/>
                <w:sz w:val="18"/>
              </w:rPr>
              <w:t>2,4</w:t>
            </w:r>
          </w:p>
        </w:tc>
        <w:tc>
          <w:tcPr>
            <w:tcW w:w="538" w:type="dxa"/>
          </w:tcPr>
          <w:p>
            <w:pPr>
              <w:pStyle w:val="TableParagraph"/>
              <w:spacing w:before="189"/>
              <w:jc w:val="left"/>
              <w:rPr>
                <w:b/>
                <w:sz w:val="18"/>
              </w:rPr>
            </w:pPr>
          </w:p>
          <w:p>
            <w:pPr>
              <w:pStyle w:val="TableParagraph"/>
              <w:ind w:left="12"/>
              <w:rPr>
                <w:rFonts w:ascii="Calibri"/>
                <w:sz w:val="18"/>
              </w:rPr>
            </w:pPr>
            <w:r>
              <w:rPr>
                <w:rFonts w:ascii="Calibri"/>
                <w:spacing w:val="-5"/>
                <w:sz w:val="18"/>
              </w:rPr>
              <w:t>4,5</w:t>
            </w:r>
          </w:p>
        </w:tc>
        <w:tc>
          <w:tcPr>
            <w:tcW w:w="540" w:type="dxa"/>
          </w:tcPr>
          <w:p>
            <w:pPr>
              <w:pStyle w:val="TableParagraph"/>
              <w:spacing w:before="189"/>
              <w:jc w:val="left"/>
              <w:rPr>
                <w:b/>
                <w:sz w:val="18"/>
              </w:rPr>
            </w:pPr>
          </w:p>
          <w:p>
            <w:pPr>
              <w:pStyle w:val="TableParagraph"/>
              <w:ind w:left="14"/>
              <w:rPr>
                <w:rFonts w:ascii="Calibri"/>
                <w:sz w:val="18"/>
              </w:rPr>
            </w:pPr>
            <w:r>
              <w:rPr>
                <w:rFonts w:ascii="Calibri"/>
                <w:spacing w:val="-4"/>
                <w:sz w:val="18"/>
              </w:rPr>
              <w:t>15,5</w:t>
            </w:r>
          </w:p>
        </w:tc>
        <w:tc>
          <w:tcPr>
            <w:tcW w:w="540" w:type="dxa"/>
          </w:tcPr>
          <w:p>
            <w:pPr>
              <w:pStyle w:val="TableParagraph"/>
              <w:spacing w:before="189"/>
              <w:jc w:val="left"/>
              <w:rPr>
                <w:b/>
                <w:sz w:val="18"/>
              </w:rPr>
            </w:pPr>
          </w:p>
          <w:p>
            <w:pPr>
              <w:pStyle w:val="TableParagraph"/>
              <w:ind w:left="10"/>
              <w:rPr>
                <w:rFonts w:ascii="Calibri"/>
                <w:sz w:val="18"/>
              </w:rPr>
            </w:pPr>
            <w:r>
              <w:rPr>
                <w:rFonts w:ascii="Calibri"/>
                <w:spacing w:val="-5"/>
                <w:sz w:val="18"/>
              </w:rPr>
              <w:t>5,6</w:t>
            </w:r>
          </w:p>
        </w:tc>
        <w:tc>
          <w:tcPr>
            <w:tcW w:w="538" w:type="dxa"/>
          </w:tcPr>
          <w:p>
            <w:pPr>
              <w:pStyle w:val="TableParagraph"/>
              <w:spacing w:before="189"/>
              <w:jc w:val="left"/>
              <w:rPr>
                <w:b/>
                <w:sz w:val="18"/>
              </w:rPr>
            </w:pPr>
          </w:p>
          <w:p>
            <w:pPr>
              <w:pStyle w:val="TableParagraph"/>
              <w:ind w:left="12"/>
              <w:rPr>
                <w:rFonts w:ascii="Calibri"/>
                <w:sz w:val="18"/>
              </w:rPr>
            </w:pPr>
            <w:r>
              <w:rPr>
                <w:rFonts w:ascii="Calibri"/>
                <w:spacing w:val="-5"/>
                <w:sz w:val="18"/>
              </w:rPr>
              <w:t>7,1</w:t>
            </w:r>
          </w:p>
        </w:tc>
        <w:tc>
          <w:tcPr>
            <w:tcW w:w="568" w:type="dxa"/>
          </w:tcPr>
          <w:p>
            <w:pPr>
              <w:pStyle w:val="TableParagraph"/>
              <w:spacing w:before="189"/>
              <w:jc w:val="left"/>
              <w:rPr>
                <w:b/>
                <w:sz w:val="18"/>
              </w:rPr>
            </w:pPr>
          </w:p>
          <w:p>
            <w:pPr>
              <w:pStyle w:val="TableParagraph"/>
              <w:ind w:left="10"/>
              <w:rPr>
                <w:rFonts w:ascii="Calibri"/>
                <w:sz w:val="18"/>
              </w:rPr>
            </w:pPr>
            <w:r>
              <w:rPr>
                <w:rFonts w:ascii="Calibri"/>
                <w:spacing w:val="-5"/>
                <w:sz w:val="18"/>
              </w:rPr>
              <w:t>3,4</w:t>
            </w:r>
          </w:p>
        </w:tc>
      </w:tr>
    </w:tbl>
    <w:p>
      <w:pPr>
        <w:spacing w:before="1"/>
        <w:ind w:left="0" w:right="734" w:firstLine="0"/>
        <w:jc w:val="right"/>
        <w:rPr>
          <w:sz w:val="24"/>
        </w:rPr>
      </w:pPr>
      <w:bookmarkStart w:name="Fonte: Sinapse." w:id="8"/>
      <w:bookmarkEnd w:id="8"/>
      <w:r>
        <w:rPr/>
      </w:r>
      <w:r>
        <w:rPr>
          <w:i/>
          <w:sz w:val="24"/>
        </w:rPr>
        <w:t>Fonte:</w:t>
      </w:r>
      <w:r>
        <w:rPr>
          <w:i/>
          <w:spacing w:val="-4"/>
          <w:sz w:val="24"/>
        </w:rPr>
        <w:t> </w:t>
      </w:r>
      <w:r>
        <w:rPr>
          <w:i/>
          <w:spacing w:val="-2"/>
          <w:sz w:val="24"/>
        </w:rPr>
        <w:t>Sinapse</w:t>
      </w:r>
      <w:r>
        <w:rPr>
          <w:spacing w:val="-2"/>
          <w:sz w:val="24"/>
        </w:rPr>
        <w:t>.</w:t>
      </w:r>
    </w:p>
    <w:p>
      <w:pPr>
        <w:pStyle w:val="BodyText"/>
        <w:spacing w:before="137"/>
      </w:pPr>
    </w:p>
    <w:p>
      <w:pPr>
        <w:spacing w:before="1"/>
        <w:ind w:left="593" w:right="0" w:firstLine="0"/>
        <w:jc w:val="left"/>
        <w:rPr>
          <w:b/>
          <w:sz w:val="24"/>
        </w:rPr>
      </w:pPr>
      <w:bookmarkStart w:name="Gráfico 1. Taxa de Lesão por pressão (1." w:id="9"/>
      <w:bookmarkEnd w:id="9"/>
      <w:r>
        <w:rPr/>
      </w:r>
      <w:r>
        <w:rPr>
          <w:b/>
          <w:sz w:val="24"/>
        </w:rPr>
        <w:t>Gráfico</w:t>
      </w:r>
      <w:r>
        <w:rPr>
          <w:b/>
          <w:spacing w:val="-1"/>
          <w:sz w:val="24"/>
        </w:rPr>
        <w:t> </w:t>
      </w:r>
      <w:r>
        <w:rPr>
          <w:b/>
          <w:sz w:val="24"/>
        </w:rPr>
        <w:t>1.</w:t>
      </w:r>
      <w:r>
        <w:rPr>
          <w:b/>
          <w:spacing w:val="-2"/>
          <w:sz w:val="24"/>
        </w:rPr>
        <w:t> </w:t>
      </w:r>
      <w:r>
        <w:rPr>
          <w:b/>
          <w:sz w:val="24"/>
        </w:rPr>
        <w:t>Taxa</w:t>
      </w:r>
      <w:r>
        <w:rPr>
          <w:b/>
          <w:spacing w:val="-2"/>
          <w:sz w:val="24"/>
        </w:rPr>
        <w:t> </w:t>
      </w:r>
      <w:r>
        <w:rPr>
          <w:b/>
          <w:sz w:val="24"/>
        </w:rPr>
        <w:t>de</w:t>
      </w:r>
      <w:r>
        <w:rPr>
          <w:b/>
          <w:spacing w:val="-3"/>
          <w:sz w:val="24"/>
        </w:rPr>
        <w:t> </w:t>
      </w:r>
      <w:r>
        <w:rPr>
          <w:b/>
          <w:sz w:val="24"/>
        </w:rPr>
        <w:t>Lesão</w:t>
      </w:r>
      <w:r>
        <w:rPr>
          <w:b/>
          <w:spacing w:val="-2"/>
          <w:sz w:val="24"/>
        </w:rPr>
        <w:t> </w:t>
      </w:r>
      <w:r>
        <w:rPr>
          <w:b/>
          <w:sz w:val="24"/>
        </w:rPr>
        <w:t>por</w:t>
      </w:r>
      <w:r>
        <w:rPr>
          <w:b/>
          <w:spacing w:val="-1"/>
          <w:sz w:val="24"/>
        </w:rPr>
        <w:t> </w:t>
      </w:r>
      <w:r>
        <w:rPr>
          <w:b/>
          <w:sz w:val="24"/>
        </w:rPr>
        <w:t>pressão</w:t>
      </w:r>
      <w:r>
        <w:rPr>
          <w:b/>
          <w:spacing w:val="-2"/>
          <w:sz w:val="24"/>
        </w:rPr>
        <w:t> </w:t>
      </w:r>
      <w:r>
        <w:rPr>
          <w:b/>
          <w:sz w:val="24"/>
        </w:rPr>
        <w:t>(1.000</w:t>
      </w:r>
      <w:r>
        <w:rPr>
          <w:b/>
          <w:spacing w:val="-1"/>
          <w:sz w:val="24"/>
        </w:rPr>
        <w:t> </w:t>
      </w:r>
      <w:r>
        <w:rPr>
          <w:b/>
          <w:spacing w:val="-2"/>
          <w:sz w:val="24"/>
        </w:rPr>
        <w:t>pacientes/dia).</w:t>
      </w:r>
    </w:p>
    <w:p>
      <w:pPr>
        <w:pStyle w:val="BodyText"/>
        <w:ind w:left="592"/>
        <w:rPr>
          <w:sz w:val="20"/>
        </w:rPr>
      </w:pPr>
      <w:r>
        <w:rPr>
          <w:sz w:val="20"/>
        </w:rPr>
        <w:drawing>
          <wp:inline distT="0" distB="0" distL="0" distR="0">
            <wp:extent cx="6250377" cy="3357276"/>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6250377" cy="3357276"/>
                    </a:xfrm>
                    <a:prstGeom prst="rect">
                      <a:avLst/>
                    </a:prstGeom>
                  </pic:spPr>
                </pic:pic>
              </a:graphicData>
            </a:graphic>
          </wp:inline>
        </w:drawing>
      </w:r>
      <w:r>
        <w:rPr>
          <w:sz w:val="20"/>
        </w:rPr>
      </w:r>
    </w:p>
    <w:p>
      <w:pPr>
        <w:spacing w:before="22"/>
        <w:ind w:left="0" w:right="734" w:firstLine="0"/>
        <w:jc w:val="right"/>
        <w:rPr>
          <w:sz w:val="24"/>
        </w:rPr>
      </w:pPr>
      <w:bookmarkStart w:name="Fonte: Sinapse." w:id="10"/>
      <w:bookmarkEnd w:id="10"/>
      <w:r>
        <w:rPr/>
      </w:r>
      <w:r>
        <w:rPr>
          <w:i/>
          <w:sz w:val="24"/>
        </w:rPr>
        <w:t>Fonte:</w:t>
      </w:r>
      <w:r>
        <w:rPr>
          <w:i/>
          <w:spacing w:val="-4"/>
          <w:sz w:val="24"/>
        </w:rPr>
        <w:t> </w:t>
      </w:r>
      <w:r>
        <w:rPr>
          <w:i/>
          <w:spacing w:val="-2"/>
          <w:sz w:val="24"/>
        </w:rPr>
        <w:t>Sinapse</w:t>
      </w:r>
      <w:r>
        <w:rPr>
          <w:spacing w:val="-2"/>
          <w:sz w:val="24"/>
        </w:rPr>
        <w:t>.</w:t>
      </w:r>
    </w:p>
    <w:p>
      <w:pPr>
        <w:spacing w:before="138"/>
        <w:ind w:left="593" w:right="0" w:firstLine="0"/>
        <w:jc w:val="left"/>
        <w:rPr>
          <w:b/>
          <w:i/>
          <w:sz w:val="24"/>
        </w:rPr>
      </w:pPr>
      <w:bookmarkStart w:name="Tabela 2. – Taxa LP – Total de LP e neve" w:id="11"/>
      <w:bookmarkEnd w:id="11"/>
      <w:r>
        <w:rPr/>
      </w:r>
      <w:r>
        <w:rPr>
          <w:b/>
          <w:sz w:val="24"/>
        </w:rPr>
        <w:t>Tabela</w:t>
      </w:r>
      <w:r>
        <w:rPr>
          <w:b/>
          <w:spacing w:val="-4"/>
          <w:sz w:val="24"/>
        </w:rPr>
        <w:t> </w:t>
      </w:r>
      <w:r>
        <w:rPr>
          <w:b/>
          <w:sz w:val="24"/>
        </w:rPr>
        <w:t>2.</w:t>
      </w:r>
      <w:r>
        <w:rPr>
          <w:b/>
          <w:spacing w:val="1"/>
          <w:sz w:val="24"/>
        </w:rPr>
        <w:t> </w:t>
      </w:r>
      <w:r>
        <w:rPr>
          <w:b/>
          <w:sz w:val="24"/>
        </w:rPr>
        <w:t>–</w:t>
      </w:r>
      <w:r>
        <w:rPr>
          <w:b/>
          <w:spacing w:val="-1"/>
          <w:sz w:val="24"/>
        </w:rPr>
        <w:t> </w:t>
      </w:r>
      <w:r>
        <w:rPr>
          <w:b/>
          <w:sz w:val="24"/>
        </w:rPr>
        <w:t>Taxa</w:t>
      </w:r>
      <w:r>
        <w:rPr>
          <w:b/>
          <w:spacing w:val="-1"/>
          <w:sz w:val="24"/>
        </w:rPr>
        <w:t> </w:t>
      </w:r>
      <w:r>
        <w:rPr>
          <w:b/>
          <w:sz w:val="24"/>
        </w:rPr>
        <w:t>LP</w:t>
      </w:r>
      <w:r>
        <w:rPr>
          <w:b/>
          <w:spacing w:val="-2"/>
          <w:sz w:val="24"/>
        </w:rPr>
        <w:t> </w:t>
      </w:r>
      <w:r>
        <w:rPr>
          <w:b/>
          <w:sz w:val="24"/>
        </w:rPr>
        <w:t>–</w:t>
      </w:r>
      <w:r>
        <w:rPr>
          <w:b/>
          <w:spacing w:val="-2"/>
          <w:sz w:val="24"/>
        </w:rPr>
        <w:t> </w:t>
      </w:r>
      <w:r>
        <w:rPr>
          <w:b/>
          <w:sz w:val="24"/>
        </w:rPr>
        <w:t>Total</w:t>
      </w:r>
      <w:r>
        <w:rPr>
          <w:b/>
          <w:spacing w:val="-2"/>
          <w:sz w:val="24"/>
        </w:rPr>
        <w:t> </w:t>
      </w:r>
      <w:r>
        <w:rPr>
          <w:b/>
          <w:sz w:val="24"/>
        </w:rPr>
        <w:t>de</w:t>
      </w:r>
      <w:r>
        <w:rPr>
          <w:b/>
          <w:spacing w:val="-2"/>
          <w:sz w:val="24"/>
        </w:rPr>
        <w:t> </w:t>
      </w:r>
      <w:r>
        <w:rPr>
          <w:b/>
          <w:sz w:val="24"/>
        </w:rPr>
        <w:t>LP e</w:t>
      </w:r>
      <w:r>
        <w:rPr>
          <w:b/>
          <w:spacing w:val="-1"/>
          <w:sz w:val="24"/>
        </w:rPr>
        <w:t> </w:t>
      </w:r>
      <w:r>
        <w:rPr>
          <w:b/>
          <w:i/>
          <w:sz w:val="24"/>
        </w:rPr>
        <w:t>never</w:t>
      </w:r>
      <w:r>
        <w:rPr>
          <w:b/>
          <w:i/>
          <w:spacing w:val="-1"/>
          <w:sz w:val="24"/>
        </w:rPr>
        <w:t> </w:t>
      </w:r>
      <w:r>
        <w:rPr>
          <w:b/>
          <w:i/>
          <w:spacing w:val="-2"/>
          <w:sz w:val="24"/>
        </w:rPr>
        <w:t>events.</w:t>
      </w:r>
    </w:p>
    <w:p>
      <w:pPr>
        <w:pStyle w:val="BodyText"/>
        <w:rPr>
          <w:b/>
          <w:i/>
          <w:sz w:val="12"/>
        </w:rPr>
      </w:pPr>
    </w:p>
    <w:tbl>
      <w:tblPr>
        <w:tblW w:w="0" w:type="auto"/>
        <w:jc w:val="left"/>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6"/>
        <w:gridCol w:w="496"/>
        <w:gridCol w:w="436"/>
        <w:gridCol w:w="508"/>
        <w:gridCol w:w="480"/>
        <w:gridCol w:w="494"/>
        <w:gridCol w:w="510"/>
        <w:gridCol w:w="508"/>
        <w:gridCol w:w="512"/>
        <w:gridCol w:w="480"/>
        <w:gridCol w:w="566"/>
        <w:gridCol w:w="510"/>
        <w:gridCol w:w="510"/>
        <w:gridCol w:w="480"/>
        <w:gridCol w:w="454"/>
        <w:gridCol w:w="510"/>
        <w:gridCol w:w="466"/>
        <w:gridCol w:w="494"/>
        <w:gridCol w:w="526"/>
      </w:tblGrid>
      <w:tr>
        <w:trPr>
          <w:trHeight w:val="405" w:hRule="atLeast"/>
        </w:trPr>
        <w:tc>
          <w:tcPr>
            <w:tcW w:w="896" w:type="dxa"/>
            <w:shd w:val="clear" w:color="auto" w:fill="0E4661"/>
          </w:tcPr>
          <w:p>
            <w:pPr>
              <w:pStyle w:val="TableParagraph"/>
              <w:spacing w:before="91"/>
              <w:ind w:left="15"/>
              <w:jc w:val="left"/>
              <w:rPr>
                <w:rFonts w:ascii="Calibri"/>
                <w:b/>
                <w:sz w:val="20"/>
              </w:rPr>
            </w:pPr>
            <w:r>
              <w:rPr>
                <w:rFonts w:ascii="Calibri"/>
                <w:b/>
                <w:color w:val="FFFFFF"/>
                <w:sz w:val="20"/>
              </w:rPr>
              <w:t>LP</w:t>
            </w:r>
            <w:r>
              <w:rPr>
                <w:rFonts w:ascii="Calibri"/>
                <w:b/>
                <w:color w:val="FFFFFF"/>
                <w:spacing w:val="-1"/>
                <w:sz w:val="20"/>
              </w:rPr>
              <w:t> </w:t>
            </w:r>
            <w:r>
              <w:rPr>
                <w:rFonts w:ascii="Calibri"/>
                <w:b/>
                <w:color w:val="FFFFFF"/>
                <w:spacing w:val="-2"/>
                <w:sz w:val="20"/>
              </w:rPr>
              <w:t>total</w:t>
            </w:r>
          </w:p>
        </w:tc>
        <w:tc>
          <w:tcPr>
            <w:tcW w:w="496" w:type="dxa"/>
            <w:shd w:val="clear" w:color="auto" w:fill="0E4661"/>
          </w:tcPr>
          <w:p>
            <w:pPr>
              <w:pStyle w:val="TableParagraph"/>
              <w:spacing w:before="115"/>
              <w:ind w:left="36"/>
              <w:rPr>
                <w:rFonts w:ascii="Calibri"/>
                <w:b/>
                <w:sz w:val="16"/>
              </w:rPr>
            </w:pPr>
            <w:r>
              <w:rPr>
                <w:rFonts w:ascii="Calibri"/>
                <w:b/>
                <w:color w:val="FFFFFF"/>
                <w:spacing w:val="-2"/>
                <w:sz w:val="16"/>
              </w:rPr>
              <w:t>jun/24</w:t>
            </w:r>
          </w:p>
        </w:tc>
        <w:tc>
          <w:tcPr>
            <w:tcW w:w="436" w:type="dxa"/>
            <w:shd w:val="clear" w:color="auto" w:fill="0E4661"/>
          </w:tcPr>
          <w:p>
            <w:pPr>
              <w:pStyle w:val="TableParagraph"/>
              <w:spacing w:before="115"/>
              <w:ind w:left="20"/>
              <w:rPr>
                <w:rFonts w:ascii="Calibri"/>
                <w:b/>
                <w:sz w:val="16"/>
              </w:rPr>
            </w:pPr>
            <w:r>
              <w:rPr>
                <w:rFonts w:ascii="Calibri"/>
                <w:b/>
                <w:color w:val="FFFFFF"/>
                <w:spacing w:val="-2"/>
                <w:sz w:val="16"/>
              </w:rPr>
              <w:t>jul/24</w:t>
            </w:r>
          </w:p>
        </w:tc>
        <w:tc>
          <w:tcPr>
            <w:tcW w:w="508" w:type="dxa"/>
            <w:shd w:val="clear" w:color="auto" w:fill="0E4661"/>
          </w:tcPr>
          <w:p>
            <w:pPr>
              <w:pStyle w:val="TableParagraph"/>
              <w:spacing w:before="115"/>
              <w:ind w:left="20"/>
              <w:rPr>
                <w:rFonts w:ascii="Calibri"/>
                <w:b/>
                <w:sz w:val="16"/>
              </w:rPr>
            </w:pPr>
            <w:r>
              <w:rPr>
                <w:rFonts w:ascii="Calibri"/>
                <w:b/>
                <w:color w:val="FFFFFF"/>
                <w:spacing w:val="-2"/>
                <w:sz w:val="16"/>
              </w:rPr>
              <w:t>ago/24</w:t>
            </w:r>
          </w:p>
        </w:tc>
        <w:tc>
          <w:tcPr>
            <w:tcW w:w="480" w:type="dxa"/>
            <w:shd w:val="clear" w:color="auto" w:fill="0E4661"/>
          </w:tcPr>
          <w:p>
            <w:pPr>
              <w:pStyle w:val="TableParagraph"/>
              <w:spacing w:before="115"/>
              <w:ind w:left="34"/>
              <w:rPr>
                <w:rFonts w:ascii="Calibri"/>
                <w:b/>
                <w:sz w:val="16"/>
              </w:rPr>
            </w:pPr>
            <w:r>
              <w:rPr>
                <w:rFonts w:ascii="Calibri"/>
                <w:b/>
                <w:color w:val="FFFFFF"/>
                <w:spacing w:val="-2"/>
                <w:sz w:val="16"/>
              </w:rPr>
              <w:t>set/24</w:t>
            </w:r>
          </w:p>
        </w:tc>
        <w:tc>
          <w:tcPr>
            <w:tcW w:w="494" w:type="dxa"/>
            <w:shd w:val="clear" w:color="auto" w:fill="0E4661"/>
          </w:tcPr>
          <w:p>
            <w:pPr>
              <w:pStyle w:val="TableParagraph"/>
              <w:spacing w:before="115"/>
              <w:ind w:left="20"/>
              <w:rPr>
                <w:rFonts w:ascii="Calibri"/>
                <w:b/>
                <w:sz w:val="16"/>
              </w:rPr>
            </w:pPr>
            <w:r>
              <w:rPr>
                <w:rFonts w:ascii="Calibri"/>
                <w:b/>
                <w:color w:val="FFFFFF"/>
                <w:spacing w:val="-2"/>
                <w:sz w:val="16"/>
              </w:rPr>
              <w:t>out/24</w:t>
            </w:r>
          </w:p>
        </w:tc>
        <w:tc>
          <w:tcPr>
            <w:tcW w:w="510" w:type="dxa"/>
            <w:shd w:val="clear" w:color="auto" w:fill="0E4661"/>
          </w:tcPr>
          <w:p>
            <w:pPr>
              <w:pStyle w:val="TableParagraph"/>
              <w:spacing w:before="115"/>
              <w:ind w:left="16"/>
              <w:rPr>
                <w:rFonts w:ascii="Calibri"/>
                <w:b/>
                <w:sz w:val="16"/>
              </w:rPr>
            </w:pPr>
            <w:r>
              <w:rPr>
                <w:rFonts w:ascii="Calibri"/>
                <w:b/>
                <w:color w:val="FFFFFF"/>
                <w:spacing w:val="-2"/>
                <w:sz w:val="16"/>
              </w:rPr>
              <w:t>nov/24</w:t>
            </w:r>
          </w:p>
        </w:tc>
        <w:tc>
          <w:tcPr>
            <w:tcW w:w="508" w:type="dxa"/>
            <w:shd w:val="clear" w:color="auto" w:fill="0E4661"/>
          </w:tcPr>
          <w:p>
            <w:pPr>
              <w:pStyle w:val="TableParagraph"/>
              <w:spacing w:before="115"/>
              <w:ind w:left="32"/>
              <w:rPr>
                <w:rFonts w:ascii="Calibri"/>
                <w:b/>
                <w:sz w:val="16"/>
              </w:rPr>
            </w:pPr>
            <w:r>
              <w:rPr>
                <w:rFonts w:ascii="Calibri"/>
                <w:b/>
                <w:color w:val="FFFFFF"/>
                <w:spacing w:val="-2"/>
                <w:sz w:val="16"/>
              </w:rPr>
              <w:t>dez/24</w:t>
            </w:r>
          </w:p>
        </w:tc>
        <w:tc>
          <w:tcPr>
            <w:tcW w:w="512" w:type="dxa"/>
            <w:shd w:val="clear" w:color="auto" w:fill="0E4661"/>
          </w:tcPr>
          <w:p>
            <w:pPr>
              <w:pStyle w:val="TableParagraph"/>
              <w:spacing w:before="115"/>
              <w:ind w:left="56"/>
              <w:rPr>
                <w:rFonts w:ascii="Calibri"/>
                <w:b/>
                <w:sz w:val="16"/>
              </w:rPr>
            </w:pPr>
            <w:r>
              <w:rPr>
                <w:rFonts w:ascii="Calibri"/>
                <w:b/>
                <w:color w:val="FFFFFF"/>
                <w:spacing w:val="-2"/>
                <w:sz w:val="16"/>
              </w:rPr>
              <w:t>jan/25</w:t>
            </w:r>
          </w:p>
        </w:tc>
        <w:tc>
          <w:tcPr>
            <w:tcW w:w="480" w:type="dxa"/>
            <w:shd w:val="clear" w:color="auto" w:fill="0E4661"/>
          </w:tcPr>
          <w:p>
            <w:pPr>
              <w:pStyle w:val="TableParagraph"/>
              <w:spacing w:before="115"/>
              <w:ind w:left="26"/>
              <w:rPr>
                <w:rFonts w:ascii="Calibri"/>
                <w:b/>
                <w:sz w:val="16"/>
              </w:rPr>
            </w:pPr>
            <w:r>
              <w:rPr>
                <w:rFonts w:ascii="Calibri"/>
                <w:b/>
                <w:color w:val="FFFFFF"/>
                <w:spacing w:val="-2"/>
                <w:sz w:val="16"/>
              </w:rPr>
              <w:t>fev/25</w:t>
            </w:r>
          </w:p>
        </w:tc>
        <w:tc>
          <w:tcPr>
            <w:tcW w:w="566" w:type="dxa"/>
            <w:shd w:val="clear" w:color="auto" w:fill="0E4661"/>
          </w:tcPr>
          <w:p>
            <w:pPr>
              <w:pStyle w:val="TableParagraph"/>
              <w:spacing w:before="115"/>
              <w:ind w:left="50"/>
              <w:rPr>
                <w:rFonts w:ascii="Calibri"/>
                <w:b/>
                <w:sz w:val="16"/>
              </w:rPr>
            </w:pPr>
            <w:r>
              <w:rPr>
                <w:rFonts w:ascii="Calibri"/>
                <w:b/>
                <w:color w:val="FFFFFF"/>
                <w:spacing w:val="-2"/>
                <w:sz w:val="16"/>
              </w:rPr>
              <w:t>mar/25</w:t>
            </w:r>
          </w:p>
        </w:tc>
        <w:tc>
          <w:tcPr>
            <w:tcW w:w="510" w:type="dxa"/>
            <w:shd w:val="clear" w:color="auto" w:fill="0E4661"/>
          </w:tcPr>
          <w:p>
            <w:pPr>
              <w:pStyle w:val="TableParagraph"/>
              <w:spacing w:before="115"/>
              <w:ind w:left="42"/>
              <w:rPr>
                <w:rFonts w:ascii="Calibri"/>
                <w:b/>
                <w:sz w:val="16"/>
              </w:rPr>
            </w:pPr>
            <w:r>
              <w:rPr>
                <w:rFonts w:ascii="Calibri"/>
                <w:b/>
                <w:color w:val="FFFFFF"/>
                <w:spacing w:val="-2"/>
                <w:sz w:val="16"/>
              </w:rPr>
              <w:t>abr/25</w:t>
            </w:r>
          </w:p>
        </w:tc>
        <w:tc>
          <w:tcPr>
            <w:tcW w:w="510" w:type="dxa"/>
            <w:shd w:val="clear" w:color="auto" w:fill="0E4661"/>
          </w:tcPr>
          <w:p>
            <w:pPr>
              <w:pStyle w:val="TableParagraph"/>
              <w:spacing w:line="190" w:lineRule="atLeast"/>
              <w:ind w:left="335" w:hanging="156"/>
              <w:jc w:val="right"/>
              <w:rPr>
                <w:rFonts w:ascii="Calibri"/>
                <w:b/>
                <w:sz w:val="16"/>
              </w:rPr>
            </w:pPr>
            <w:r>
              <w:rPr>
                <w:rFonts w:ascii="Calibri"/>
                <w:b/>
                <w:color w:val="FFFFFF"/>
                <w:spacing w:val="-4"/>
                <w:sz w:val="16"/>
              </w:rPr>
              <w:t>mai/</w:t>
            </w:r>
            <w:r>
              <w:rPr>
                <w:rFonts w:ascii="Calibri"/>
                <w:b/>
                <w:color w:val="FFFFFF"/>
                <w:spacing w:val="40"/>
                <w:sz w:val="16"/>
              </w:rPr>
              <w:t> </w:t>
            </w:r>
            <w:r>
              <w:rPr>
                <w:rFonts w:ascii="Calibri"/>
                <w:b/>
                <w:color w:val="FFFFFF"/>
                <w:spacing w:val="-5"/>
                <w:sz w:val="16"/>
              </w:rPr>
              <w:t>25</w:t>
            </w:r>
          </w:p>
        </w:tc>
        <w:tc>
          <w:tcPr>
            <w:tcW w:w="480" w:type="dxa"/>
            <w:shd w:val="clear" w:color="auto" w:fill="0E4661"/>
          </w:tcPr>
          <w:p>
            <w:pPr>
              <w:pStyle w:val="TableParagraph"/>
              <w:spacing w:before="115"/>
              <w:ind w:left="20"/>
              <w:rPr>
                <w:rFonts w:ascii="Calibri"/>
                <w:b/>
                <w:sz w:val="16"/>
              </w:rPr>
            </w:pPr>
            <w:r>
              <w:rPr>
                <w:rFonts w:ascii="Calibri"/>
                <w:b/>
                <w:color w:val="FFFFFF"/>
                <w:spacing w:val="-2"/>
                <w:sz w:val="16"/>
              </w:rPr>
              <w:t>jun/25</w:t>
            </w:r>
          </w:p>
        </w:tc>
        <w:tc>
          <w:tcPr>
            <w:tcW w:w="454" w:type="dxa"/>
            <w:shd w:val="clear" w:color="auto" w:fill="0E4661"/>
          </w:tcPr>
          <w:p>
            <w:pPr>
              <w:pStyle w:val="TableParagraph"/>
              <w:spacing w:before="115"/>
              <w:ind w:left="42"/>
              <w:rPr>
                <w:rFonts w:ascii="Calibri"/>
                <w:b/>
                <w:sz w:val="16"/>
              </w:rPr>
            </w:pPr>
            <w:r>
              <w:rPr>
                <w:rFonts w:ascii="Calibri"/>
                <w:b/>
                <w:color w:val="FFFFFF"/>
                <w:spacing w:val="-2"/>
                <w:sz w:val="16"/>
              </w:rPr>
              <w:t>jul/25</w:t>
            </w:r>
          </w:p>
        </w:tc>
        <w:tc>
          <w:tcPr>
            <w:tcW w:w="510" w:type="dxa"/>
            <w:shd w:val="clear" w:color="auto" w:fill="0E4661"/>
          </w:tcPr>
          <w:p>
            <w:pPr>
              <w:pStyle w:val="TableParagraph"/>
              <w:spacing w:before="115"/>
              <w:ind w:left="22"/>
              <w:rPr>
                <w:rFonts w:ascii="Calibri"/>
                <w:b/>
                <w:sz w:val="16"/>
              </w:rPr>
            </w:pPr>
            <w:r>
              <w:rPr>
                <w:rFonts w:ascii="Calibri"/>
                <w:b/>
                <w:color w:val="FFFFFF"/>
                <w:spacing w:val="-2"/>
                <w:sz w:val="16"/>
              </w:rPr>
              <w:t>ago/25</w:t>
            </w:r>
          </w:p>
        </w:tc>
        <w:tc>
          <w:tcPr>
            <w:tcW w:w="466" w:type="dxa"/>
            <w:shd w:val="clear" w:color="auto" w:fill="0E4661"/>
          </w:tcPr>
          <w:p>
            <w:pPr>
              <w:pStyle w:val="TableParagraph"/>
              <w:spacing w:before="115"/>
              <w:ind w:left="16"/>
              <w:rPr>
                <w:rFonts w:ascii="Calibri"/>
                <w:b/>
                <w:sz w:val="16"/>
              </w:rPr>
            </w:pPr>
            <w:r>
              <w:rPr>
                <w:rFonts w:ascii="Calibri"/>
                <w:b/>
                <w:color w:val="FFFFFF"/>
                <w:spacing w:val="-2"/>
                <w:sz w:val="16"/>
              </w:rPr>
              <w:t>set/25</w:t>
            </w:r>
          </w:p>
        </w:tc>
        <w:tc>
          <w:tcPr>
            <w:tcW w:w="494" w:type="dxa"/>
            <w:shd w:val="clear" w:color="auto" w:fill="0E4661"/>
          </w:tcPr>
          <w:p>
            <w:pPr>
              <w:pStyle w:val="TableParagraph"/>
              <w:spacing w:before="115"/>
              <w:ind w:left="16"/>
              <w:rPr>
                <w:rFonts w:ascii="Calibri"/>
                <w:b/>
                <w:sz w:val="16"/>
              </w:rPr>
            </w:pPr>
            <w:r>
              <w:rPr>
                <w:rFonts w:ascii="Calibri"/>
                <w:b/>
                <w:color w:val="FFFFFF"/>
                <w:spacing w:val="-2"/>
                <w:sz w:val="16"/>
              </w:rPr>
              <w:t>out/25</w:t>
            </w:r>
          </w:p>
        </w:tc>
        <w:tc>
          <w:tcPr>
            <w:tcW w:w="526" w:type="dxa"/>
            <w:shd w:val="clear" w:color="auto" w:fill="0E4661"/>
          </w:tcPr>
          <w:p>
            <w:pPr>
              <w:pStyle w:val="TableParagraph"/>
              <w:spacing w:before="115"/>
              <w:ind w:left="28"/>
              <w:rPr>
                <w:rFonts w:ascii="Calibri"/>
                <w:b/>
                <w:sz w:val="16"/>
              </w:rPr>
            </w:pPr>
            <w:r>
              <w:rPr>
                <w:rFonts w:ascii="Calibri"/>
                <w:b/>
                <w:color w:val="FFFFFF"/>
                <w:spacing w:val="-2"/>
                <w:sz w:val="16"/>
              </w:rPr>
              <w:t>nov/25</w:t>
            </w:r>
          </w:p>
        </w:tc>
      </w:tr>
      <w:tr>
        <w:trPr>
          <w:trHeight w:val="502" w:hRule="atLeast"/>
        </w:trPr>
        <w:tc>
          <w:tcPr>
            <w:tcW w:w="896" w:type="dxa"/>
          </w:tcPr>
          <w:p>
            <w:pPr>
              <w:pStyle w:val="TableParagraph"/>
              <w:spacing w:line="240" w:lineRule="atLeast"/>
              <w:ind w:left="15" w:right="201"/>
              <w:jc w:val="left"/>
              <w:rPr>
                <w:rFonts w:ascii="Calibri"/>
                <w:sz w:val="20"/>
              </w:rPr>
            </w:pPr>
            <w:r>
              <w:rPr>
                <w:rFonts w:ascii="Calibri"/>
                <w:sz w:val="20"/>
              </w:rPr>
              <w:t>Total</w:t>
            </w:r>
            <w:r>
              <w:rPr>
                <w:rFonts w:ascii="Calibri"/>
                <w:spacing w:val="-12"/>
                <w:sz w:val="20"/>
              </w:rPr>
              <w:t> </w:t>
            </w:r>
            <w:r>
              <w:rPr>
                <w:rFonts w:ascii="Calibri"/>
                <w:sz w:val="20"/>
              </w:rPr>
              <w:t>de </w:t>
            </w:r>
            <w:r>
              <w:rPr>
                <w:rFonts w:ascii="Calibri"/>
                <w:spacing w:val="-6"/>
                <w:sz w:val="20"/>
              </w:rPr>
              <w:t>LP</w:t>
            </w:r>
          </w:p>
        </w:tc>
        <w:tc>
          <w:tcPr>
            <w:tcW w:w="496" w:type="dxa"/>
          </w:tcPr>
          <w:p>
            <w:pPr>
              <w:pStyle w:val="TableParagraph"/>
              <w:spacing w:before="163"/>
              <w:ind w:left="15"/>
              <w:rPr>
                <w:rFonts w:ascii="Calibri"/>
                <w:sz w:val="16"/>
              </w:rPr>
            </w:pPr>
            <w:r>
              <w:rPr>
                <w:rFonts w:ascii="Calibri"/>
                <w:spacing w:val="-5"/>
                <w:sz w:val="16"/>
              </w:rPr>
              <w:t>80</w:t>
            </w:r>
          </w:p>
        </w:tc>
        <w:tc>
          <w:tcPr>
            <w:tcW w:w="436" w:type="dxa"/>
          </w:tcPr>
          <w:p>
            <w:pPr>
              <w:pStyle w:val="TableParagraph"/>
              <w:spacing w:before="163"/>
              <w:ind w:left="15"/>
              <w:rPr>
                <w:rFonts w:ascii="Calibri"/>
                <w:sz w:val="16"/>
              </w:rPr>
            </w:pPr>
            <w:r>
              <w:rPr>
                <w:rFonts w:ascii="Calibri"/>
                <w:spacing w:val="-5"/>
                <w:sz w:val="16"/>
              </w:rPr>
              <w:t>96</w:t>
            </w:r>
          </w:p>
        </w:tc>
        <w:tc>
          <w:tcPr>
            <w:tcW w:w="508" w:type="dxa"/>
          </w:tcPr>
          <w:p>
            <w:pPr>
              <w:pStyle w:val="TableParagraph"/>
              <w:spacing w:before="163"/>
              <w:ind w:left="11"/>
              <w:rPr>
                <w:rFonts w:ascii="Calibri"/>
                <w:sz w:val="16"/>
              </w:rPr>
            </w:pPr>
            <w:r>
              <w:rPr>
                <w:rFonts w:ascii="Calibri"/>
                <w:spacing w:val="-5"/>
                <w:sz w:val="16"/>
              </w:rPr>
              <w:t>76</w:t>
            </w:r>
          </w:p>
        </w:tc>
        <w:tc>
          <w:tcPr>
            <w:tcW w:w="480" w:type="dxa"/>
          </w:tcPr>
          <w:p>
            <w:pPr>
              <w:pStyle w:val="TableParagraph"/>
              <w:spacing w:before="163"/>
              <w:ind w:left="15"/>
              <w:rPr>
                <w:rFonts w:ascii="Calibri"/>
                <w:sz w:val="16"/>
              </w:rPr>
            </w:pPr>
            <w:r>
              <w:rPr>
                <w:rFonts w:ascii="Calibri"/>
                <w:spacing w:val="-5"/>
                <w:sz w:val="16"/>
              </w:rPr>
              <w:t>85</w:t>
            </w:r>
          </w:p>
        </w:tc>
        <w:tc>
          <w:tcPr>
            <w:tcW w:w="494" w:type="dxa"/>
          </w:tcPr>
          <w:p>
            <w:pPr>
              <w:pStyle w:val="TableParagraph"/>
              <w:spacing w:before="163"/>
              <w:ind w:left="13"/>
              <w:rPr>
                <w:rFonts w:ascii="Calibri"/>
                <w:sz w:val="16"/>
              </w:rPr>
            </w:pPr>
            <w:r>
              <w:rPr>
                <w:rFonts w:ascii="Calibri"/>
                <w:spacing w:val="-5"/>
                <w:sz w:val="16"/>
              </w:rPr>
              <w:t>40</w:t>
            </w:r>
          </w:p>
        </w:tc>
        <w:tc>
          <w:tcPr>
            <w:tcW w:w="510" w:type="dxa"/>
          </w:tcPr>
          <w:p>
            <w:pPr>
              <w:pStyle w:val="TableParagraph"/>
              <w:spacing w:before="163"/>
              <w:ind w:left="13"/>
              <w:rPr>
                <w:rFonts w:ascii="Calibri"/>
                <w:sz w:val="16"/>
              </w:rPr>
            </w:pPr>
            <w:r>
              <w:rPr>
                <w:rFonts w:ascii="Calibri"/>
                <w:spacing w:val="-5"/>
                <w:sz w:val="16"/>
              </w:rPr>
              <w:t>66</w:t>
            </w:r>
          </w:p>
        </w:tc>
        <w:tc>
          <w:tcPr>
            <w:tcW w:w="508" w:type="dxa"/>
          </w:tcPr>
          <w:p>
            <w:pPr>
              <w:pStyle w:val="TableParagraph"/>
              <w:spacing w:before="163"/>
              <w:ind w:left="15"/>
              <w:rPr>
                <w:rFonts w:ascii="Calibri"/>
                <w:sz w:val="16"/>
              </w:rPr>
            </w:pPr>
            <w:r>
              <w:rPr>
                <w:rFonts w:ascii="Calibri"/>
                <w:spacing w:val="-5"/>
                <w:sz w:val="16"/>
              </w:rPr>
              <w:t>34</w:t>
            </w:r>
          </w:p>
        </w:tc>
        <w:tc>
          <w:tcPr>
            <w:tcW w:w="512" w:type="dxa"/>
          </w:tcPr>
          <w:p>
            <w:pPr>
              <w:pStyle w:val="TableParagraph"/>
              <w:spacing w:before="163"/>
              <w:ind w:left="15"/>
              <w:rPr>
                <w:rFonts w:ascii="Calibri"/>
                <w:sz w:val="16"/>
              </w:rPr>
            </w:pPr>
            <w:r>
              <w:rPr>
                <w:rFonts w:ascii="Calibri"/>
                <w:spacing w:val="-5"/>
                <w:sz w:val="16"/>
              </w:rPr>
              <w:t>43</w:t>
            </w:r>
          </w:p>
        </w:tc>
        <w:tc>
          <w:tcPr>
            <w:tcW w:w="480" w:type="dxa"/>
          </w:tcPr>
          <w:p>
            <w:pPr>
              <w:pStyle w:val="TableParagraph"/>
              <w:spacing w:before="163"/>
              <w:ind w:left="11"/>
              <w:rPr>
                <w:rFonts w:ascii="Calibri"/>
                <w:sz w:val="16"/>
              </w:rPr>
            </w:pPr>
            <w:r>
              <w:rPr>
                <w:rFonts w:ascii="Calibri"/>
                <w:spacing w:val="-5"/>
                <w:sz w:val="16"/>
              </w:rPr>
              <w:t>89</w:t>
            </w:r>
          </w:p>
        </w:tc>
        <w:tc>
          <w:tcPr>
            <w:tcW w:w="566" w:type="dxa"/>
          </w:tcPr>
          <w:p>
            <w:pPr>
              <w:pStyle w:val="TableParagraph"/>
              <w:spacing w:before="163"/>
              <w:ind w:left="13"/>
              <w:rPr>
                <w:rFonts w:ascii="Calibri"/>
                <w:sz w:val="16"/>
              </w:rPr>
            </w:pPr>
            <w:r>
              <w:rPr>
                <w:rFonts w:ascii="Calibri"/>
                <w:spacing w:val="-5"/>
                <w:sz w:val="16"/>
              </w:rPr>
              <w:t>42</w:t>
            </w:r>
          </w:p>
        </w:tc>
        <w:tc>
          <w:tcPr>
            <w:tcW w:w="510" w:type="dxa"/>
          </w:tcPr>
          <w:p>
            <w:pPr>
              <w:pStyle w:val="TableParagraph"/>
              <w:spacing w:before="163"/>
              <w:ind w:left="13"/>
              <w:rPr>
                <w:rFonts w:ascii="Calibri"/>
                <w:sz w:val="16"/>
              </w:rPr>
            </w:pPr>
            <w:r>
              <w:rPr>
                <w:rFonts w:ascii="Calibri"/>
                <w:spacing w:val="-5"/>
                <w:sz w:val="16"/>
              </w:rPr>
              <w:t>42</w:t>
            </w:r>
          </w:p>
        </w:tc>
        <w:tc>
          <w:tcPr>
            <w:tcW w:w="510" w:type="dxa"/>
          </w:tcPr>
          <w:p>
            <w:pPr>
              <w:pStyle w:val="TableParagraph"/>
              <w:spacing w:before="163"/>
              <w:ind w:left="15"/>
              <w:rPr>
                <w:rFonts w:ascii="Calibri"/>
                <w:sz w:val="16"/>
              </w:rPr>
            </w:pPr>
            <w:r>
              <w:rPr>
                <w:rFonts w:ascii="Calibri"/>
                <w:spacing w:val="-5"/>
                <w:sz w:val="16"/>
              </w:rPr>
              <w:t>104</w:t>
            </w:r>
          </w:p>
        </w:tc>
        <w:tc>
          <w:tcPr>
            <w:tcW w:w="480" w:type="dxa"/>
          </w:tcPr>
          <w:p>
            <w:pPr>
              <w:pStyle w:val="TableParagraph"/>
              <w:spacing w:before="163"/>
              <w:ind w:left="11"/>
              <w:rPr>
                <w:rFonts w:ascii="Calibri"/>
                <w:sz w:val="16"/>
              </w:rPr>
            </w:pPr>
            <w:r>
              <w:rPr>
                <w:rFonts w:ascii="Calibri"/>
                <w:spacing w:val="-5"/>
                <w:sz w:val="16"/>
              </w:rPr>
              <w:t>21</w:t>
            </w:r>
          </w:p>
        </w:tc>
        <w:tc>
          <w:tcPr>
            <w:tcW w:w="454" w:type="dxa"/>
          </w:tcPr>
          <w:p>
            <w:pPr>
              <w:pStyle w:val="TableParagraph"/>
              <w:spacing w:before="163"/>
              <w:ind w:left="13"/>
              <w:rPr>
                <w:rFonts w:ascii="Calibri"/>
                <w:sz w:val="16"/>
              </w:rPr>
            </w:pPr>
            <w:r>
              <w:rPr>
                <w:rFonts w:ascii="Calibri"/>
                <w:spacing w:val="-5"/>
                <w:sz w:val="16"/>
              </w:rPr>
              <w:t>40</w:t>
            </w:r>
          </w:p>
        </w:tc>
        <w:tc>
          <w:tcPr>
            <w:tcW w:w="510" w:type="dxa"/>
          </w:tcPr>
          <w:p>
            <w:pPr>
              <w:pStyle w:val="TableParagraph"/>
              <w:spacing w:before="163"/>
              <w:ind w:left="15"/>
              <w:rPr>
                <w:rFonts w:ascii="Calibri"/>
                <w:sz w:val="16"/>
              </w:rPr>
            </w:pPr>
            <w:r>
              <w:rPr>
                <w:rFonts w:ascii="Calibri"/>
                <w:spacing w:val="-5"/>
                <w:sz w:val="16"/>
              </w:rPr>
              <w:t>144</w:t>
            </w:r>
          </w:p>
        </w:tc>
        <w:tc>
          <w:tcPr>
            <w:tcW w:w="466" w:type="dxa"/>
          </w:tcPr>
          <w:p>
            <w:pPr>
              <w:pStyle w:val="TableParagraph"/>
              <w:spacing w:before="163"/>
              <w:ind w:left="13"/>
              <w:rPr>
                <w:rFonts w:ascii="Calibri"/>
                <w:sz w:val="16"/>
              </w:rPr>
            </w:pPr>
            <w:r>
              <w:rPr>
                <w:rFonts w:ascii="Calibri"/>
                <w:spacing w:val="-5"/>
                <w:sz w:val="16"/>
              </w:rPr>
              <w:t>50</w:t>
            </w:r>
          </w:p>
        </w:tc>
        <w:tc>
          <w:tcPr>
            <w:tcW w:w="494" w:type="dxa"/>
          </w:tcPr>
          <w:p>
            <w:pPr>
              <w:pStyle w:val="TableParagraph"/>
              <w:spacing w:before="163"/>
              <w:ind w:left="13"/>
              <w:rPr>
                <w:rFonts w:ascii="Calibri"/>
                <w:sz w:val="16"/>
              </w:rPr>
            </w:pPr>
            <w:r>
              <w:rPr>
                <w:rFonts w:ascii="Calibri"/>
                <w:spacing w:val="-5"/>
                <w:sz w:val="16"/>
              </w:rPr>
              <w:t>73</w:t>
            </w:r>
          </w:p>
        </w:tc>
        <w:tc>
          <w:tcPr>
            <w:tcW w:w="526" w:type="dxa"/>
          </w:tcPr>
          <w:p>
            <w:pPr>
              <w:pStyle w:val="TableParagraph"/>
              <w:spacing w:before="163"/>
              <w:ind w:left="13"/>
              <w:rPr>
                <w:rFonts w:ascii="Calibri"/>
                <w:sz w:val="16"/>
              </w:rPr>
            </w:pPr>
            <w:r>
              <w:rPr>
                <w:rFonts w:ascii="Calibri"/>
                <w:spacing w:val="-5"/>
                <w:sz w:val="16"/>
              </w:rPr>
              <w:t>34</w:t>
            </w:r>
          </w:p>
        </w:tc>
      </w:tr>
      <w:tr>
        <w:trPr>
          <w:trHeight w:val="748" w:hRule="atLeast"/>
        </w:trPr>
        <w:tc>
          <w:tcPr>
            <w:tcW w:w="896" w:type="dxa"/>
          </w:tcPr>
          <w:p>
            <w:pPr>
              <w:pStyle w:val="TableParagraph"/>
              <w:spacing w:line="240" w:lineRule="atLeast"/>
              <w:ind w:left="15" w:right="201"/>
              <w:jc w:val="left"/>
              <w:rPr>
                <w:rFonts w:ascii="Calibri"/>
                <w:i/>
                <w:sz w:val="20"/>
              </w:rPr>
            </w:pPr>
            <w:r>
              <w:rPr>
                <w:rFonts w:ascii="Calibri"/>
                <w:sz w:val="20"/>
              </w:rPr>
              <w:t>Total</w:t>
            </w:r>
            <w:r>
              <w:rPr>
                <w:rFonts w:ascii="Calibri"/>
                <w:spacing w:val="-12"/>
                <w:sz w:val="20"/>
              </w:rPr>
              <w:t> </w:t>
            </w:r>
            <w:r>
              <w:rPr>
                <w:rFonts w:ascii="Calibri"/>
                <w:sz w:val="20"/>
              </w:rPr>
              <w:t>de </w:t>
            </w:r>
            <w:r>
              <w:rPr>
                <w:rFonts w:ascii="Calibri"/>
                <w:i/>
                <w:spacing w:val="-2"/>
                <w:sz w:val="20"/>
              </w:rPr>
              <w:t>Never Events</w:t>
            </w:r>
          </w:p>
        </w:tc>
        <w:tc>
          <w:tcPr>
            <w:tcW w:w="496" w:type="dxa"/>
          </w:tcPr>
          <w:p>
            <w:pPr>
              <w:pStyle w:val="TableParagraph"/>
              <w:spacing w:before="101"/>
              <w:jc w:val="left"/>
              <w:rPr>
                <w:b/>
                <w:i/>
                <w:sz w:val="16"/>
              </w:rPr>
            </w:pPr>
          </w:p>
          <w:p>
            <w:pPr>
              <w:pStyle w:val="TableParagraph"/>
              <w:ind w:left="15"/>
              <w:rPr>
                <w:rFonts w:ascii="Calibri"/>
                <w:sz w:val="16"/>
              </w:rPr>
            </w:pPr>
            <w:r>
              <w:rPr>
                <w:rFonts w:ascii="Calibri"/>
                <w:spacing w:val="-5"/>
                <w:sz w:val="16"/>
              </w:rPr>
              <w:t>44</w:t>
            </w:r>
          </w:p>
        </w:tc>
        <w:tc>
          <w:tcPr>
            <w:tcW w:w="436" w:type="dxa"/>
          </w:tcPr>
          <w:p>
            <w:pPr>
              <w:pStyle w:val="TableParagraph"/>
              <w:spacing w:before="101"/>
              <w:jc w:val="left"/>
              <w:rPr>
                <w:b/>
                <w:i/>
                <w:sz w:val="16"/>
              </w:rPr>
            </w:pPr>
          </w:p>
          <w:p>
            <w:pPr>
              <w:pStyle w:val="TableParagraph"/>
              <w:ind w:left="15"/>
              <w:rPr>
                <w:rFonts w:ascii="Calibri"/>
                <w:sz w:val="16"/>
              </w:rPr>
            </w:pPr>
            <w:r>
              <w:rPr>
                <w:rFonts w:ascii="Calibri"/>
                <w:spacing w:val="-5"/>
                <w:sz w:val="16"/>
              </w:rPr>
              <w:t>35</w:t>
            </w:r>
          </w:p>
        </w:tc>
        <w:tc>
          <w:tcPr>
            <w:tcW w:w="508" w:type="dxa"/>
          </w:tcPr>
          <w:p>
            <w:pPr>
              <w:pStyle w:val="TableParagraph"/>
              <w:spacing w:before="101"/>
              <w:jc w:val="left"/>
              <w:rPr>
                <w:b/>
                <w:i/>
                <w:sz w:val="16"/>
              </w:rPr>
            </w:pPr>
          </w:p>
          <w:p>
            <w:pPr>
              <w:pStyle w:val="TableParagraph"/>
              <w:ind w:left="11"/>
              <w:rPr>
                <w:rFonts w:ascii="Calibri"/>
                <w:sz w:val="16"/>
              </w:rPr>
            </w:pPr>
            <w:r>
              <w:rPr>
                <w:rFonts w:ascii="Calibri"/>
                <w:spacing w:val="-5"/>
                <w:sz w:val="16"/>
              </w:rPr>
              <w:t>21</w:t>
            </w:r>
          </w:p>
        </w:tc>
        <w:tc>
          <w:tcPr>
            <w:tcW w:w="480" w:type="dxa"/>
          </w:tcPr>
          <w:p>
            <w:pPr>
              <w:pStyle w:val="TableParagraph"/>
              <w:spacing w:before="101"/>
              <w:jc w:val="left"/>
              <w:rPr>
                <w:b/>
                <w:i/>
                <w:sz w:val="16"/>
              </w:rPr>
            </w:pPr>
          </w:p>
          <w:p>
            <w:pPr>
              <w:pStyle w:val="TableParagraph"/>
              <w:ind w:left="15"/>
              <w:rPr>
                <w:rFonts w:ascii="Calibri"/>
                <w:sz w:val="16"/>
              </w:rPr>
            </w:pPr>
            <w:r>
              <w:rPr>
                <w:rFonts w:ascii="Calibri"/>
                <w:spacing w:val="-5"/>
                <w:sz w:val="16"/>
              </w:rPr>
              <w:t>15</w:t>
            </w:r>
          </w:p>
        </w:tc>
        <w:tc>
          <w:tcPr>
            <w:tcW w:w="494" w:type="dxa"/>
          </w:tcPr>
          <w:p>
            <w:pPr>
              <w:pStyle w:val="TableParagraph"/>
              <w:spacing w:before="101"/>
              <w:jc w:val="left"/>
              <w:rPr>
                <w:b/>
                <w:i/>
                <w:sz w:val="16"/>
              </w:rPr>
            </w:pPr>
          </w:p>
          <w:p>
            <w:pPr>
              <w:pStyle w:val="TableParagraph"/>
              <w:ind w:left="13"/>
              <w:rPr>
                <w:rFonts w:ascii="Calibri"/>
                <w:sz w:val="16"/>
              </w:rPr>
            </w:pPr>
            <w:r>
              <w:rPr>
                <w:rFonts w:ascii="Calibri"/>
                <w:spacing w:val="-5"/>
                <w:sz w:val="16"/>
              </w:rPr>
              <w:t>14</w:t>
            </w:r>
          </w:p>
        </w:tc>
        <w:tc>
          <w:tcPr>
            <w:tcW w:w="510" w:type="dxa"/>
          </w:tcPr>
          <w:p>
            <w:pPr>
              <w:pStyle w:val="TableParagraph"/>
              <w:spacing w:before="101"/>
              <w:jc w:val="left"/>
              <w:rPr>
                <w:b/>
                <w:i/>
                <w:sz w:val="16"/>
              </w:rPr>
            </w:pPr>
          </w:p>
          <w:p>
            <w:pPr>
              <w:pStyle w:val="TableParagraph"/>
              <w:ind w:left="13"/>
              <w:rPr>
                <w:rFonts w:ascii="Calibri"/>
                <w:sz w:val="16"/>
              </w:rPr>
            </w:pPr>
            <w:r>
              <w:rPr>
                <w:rFonts w:ascii="Calibri"/>
                <w:spacing w:val="-5"/>
                <w:sz w:val="16"/>
              </w:rPr>
              <w:t>26</w:t>
            </w:r>
          </w:p>
        </w:tc>
        <w:tc>
          <w:tcPr>
            <w:tcW w:w="508" w:type="dxa"/>
          </w:tcPr>
          <w:p>
            <w:pPr>
              <w:pStyle w:val="TableParagraph"/>
              <w:spacing w:before="101"/>
              <w:jc w:val="left"/>
              <w:rPr>
                <w:b/>
                <w:i/>
                <w:sz w:val="16"/>
              </w:rPr>
            </w:pPr>
          </w:p>
          <w:p>
            <w:pPr>
              <w:pStyle w:val="TableParagraph"/>
              <w:ind w:left="15"/>
              <w:rPr>
                <w:rFonts w:ascii="Calibri"/>
                <w:sz w:val="16"/>
              </w:rPr>
            </w:pPr>
            <w:r>
              <w:rPr>
                <w:rFonts w:ascii="Calibri"/>
                <w:spacing w:val="-10"/>
                <w:sz w:val="16"/>
              </w:rPr>
              <w:t>8</w:t>
            </w:r>
          </w:p>
        </w:tc>
        <w:tc>
          <w:tcPr>
            <w:tcW w:w="512" w:type="dxa"/>
          </w:tcPr>
          <w:p>
            <w:pPr>
              <w:pStyle w:val="TableParagraph"/>
              <w:spacing w:before="101"/>
              <w:jc w:val="left"/>
              <w:rPr>
                <w:b/>
                <w:i/>
                <w:sz w:val="16"/>
              </w:rPr>
            </w:pPr>
          </w:p>
          <w:p>
            <w:pPr>
              <w:pStyle w:val="TableParagraph"/>
              <w:ind w:left="15"/>
              <w:rPr>
                <w:rFonts w:ascii="Calibri"/>
                <w:sz w:val="16"/>
              </w:rPr>
            </w:pPr>
            <w:r>
              <w:rPr>
                <w:rFonts w:ascii="Calibri"/>
                <w:spacing w:val="-5"/>
                <w:sz w:val="16"/>
              </w:rPr>
              <w:t>11</w:t>
            </w:r>
          </w:p>
        </w:tc>
        <w:tc>
          <w:tcPr>
            <w:tcW w:w="480" w:type="dxa"/>
          </w:tcPr>
          <w:p>
            <w:pPr>
              <w:pStyle w:val="TableParagraph"/>
              <w:spacing w:before="101"/>
              <w:jc w:val="left"/>
              <w:rPr>
                <w:b/>
                <w:i/>
                <w:sz w:val="16"/>
              </w:rPr>
            </w:pPr>
          </w:p>
          <w:p>
            <w:pPr>
              <w:pStyle w:val="TableParagraph"/>
              <w:ind w:left="11"/>
              <w:rPr>
                <w:rFonts w:ascii="Calibri"/>
                <w:sz w:val="16"/>
              </w:rPr>
            </w:pPr>
            <w:r>
              <w:rPr>
                <w:rFonts w:ascii="Calibri"/>
                <w:spacing w:val="-5"/>
                <w:sz w:val="16"/>
              </w:rPr>
              <w:t>21</w:t>
            </w:r>
          </w:p>
        </w:tc>
        <w:tc>
          <w:tcPr>
            <w:tcW w:w="566" w:type="dxa"/>
          </w:tcPr>
          <w:p>
            <w:pPr>
              <w:pStyle w:val="TableParagraph"/>
              <w:spacing w:before="101"/>
              <w:jc w:val="left"/>
              <w:rPr>
                <w:b/>
                <w:i/>
                <w:sz w:val="16"/>
              </w:rPr>
            </w:pPr>
          </w:p>
          <w:p>
            <w:pPr>
              <w:pStyle w:val="TableParagraph"/>
              <w:ind w:left="13"/>
              <w:rPr>
                <w:rFonts w:ascii="Calibri"/>
                <w:sz w:val="16"/>
              </w:rPr>
            </w:pPr>
            <w:r>
              <w:rPr>
                <w:rFonts w:ascii="Calibri"/>
                <w:spacing w:val="-10"/>
                <w:sz w:val="16"/>
              </w:rPr>
              <w:t>4</w:t>
            </w:r>
          </w:p>
        </w:tc>
        <w:tc>
          <w:tcPr>
            <w:tcW w:w="510" w:type="dxa"/>
          </w:tcPr>
          <w:p>
            <w:pPr>
              <w:pStyle w:val="TableParagraph"/>
              <w:spacing w:before="101"/>
              <w:jc w:val="left"/>
              <w:rPr>
                <w:b/>
                <w:i/>
                <w:sz w:val="16"/>
              </w:rPr>
            </w:pPr>
          </w:p>
          <w:p>
            <w:pPr>
              <w:pStyle w:val="TableParagraph"/>
              <w:ind w:left="13"/>
              <w:rPr>
                <w:rFonts w:ascii="Calibri"/>
                <w:sz w:val="16"/>
              </w:rPr>
            </w:pPr>
            <w:r>
              <w:rPr>
                <w:rFonts w:ascii="Calibri"/>
                <w:spacing w:val="-10"/>
                <w:sz w:val="16"/>
              </w:rPr>
              <w:t>4</w:t>
            </w:r>
          </w:p>
        </w:tc>
        <w:tc>
          <w:tcPr>
            <w:tcW w:w="510" w:type="dxa"/>
          </w:tcPr>
          <w:p>
            <w:pPr>
              <w:pStyle w:val="TableParagraph"/>
              <w:spacing w:before="101"/>
              <w:jc w:val="left"/>
              <w:rPr>
                <w:b/>
                <w:i/>
                <w:sz w:val="16"/>
              </w:rPr>
            </w:pPr>
          </w:p>
          <w:p>
            <w:pPr>
              <w:pStyle w:val="TableParagraph"/>
              <w:ind w:left="13"/>
              <w:rPr>
                <w:rFonts w:ascii="Calibri"/>
                <w:sz w:val="16"/>
              </w:rPr>
            </w:pPr>
            <w:r>
              <w:rPr>
                <w:rFonts w:ascii="Calibri"/>
                <w:spacing w:val="-5"/>
                <w:sz w:val="16"/>
              </w:rPr>
              <w:t>42</w:t>
            </w:r>
          </w:p>
        </w:tc>
        <w:tc>
          <w:tcPr>
            <w:tcW w:w="480" w:type="dxa"/>
          </w:tcPr>
          <w:p>
            <w:pPr>
              <w:pStyle w:val="TableParagraph"/>
              <w:spacing w:before="101"/>
              <w:jc w:val="left"/>
              <w:rPr>
                <w:b/>
                <w:i/>
                <w:sz w:val="16"/>
              </w:rPr>
            </w:pPr>
          </w:p>
          <w:p>
            <w:pPr>
              <w:pStyle w:val="TableParagraph"/>
              <w:ind w:left="15"/>
              <w:rPr>
                <w:rFonts w:ascii="Calibri"/>
                <w:sz w:val="16"/>
              </w:rPr>
            </w:pPr>
            <w:r>
              <w:rPr>
                <w:rFonts w:ascii="Calibri"/>
                <w:spacing w:val="-10"/>
                <w:sz w:val="16"/>
              </w:rPr>
              <w:t>6</w:t>
            </w:r>
          </w:p>
        </w:tc>
        <w:tc>
          <w:tcPr>
            <w:tcW w:w="454" w:type="dxa"/>
          </w:tcPr>
          <w:p>
            <w:pPr>
              <w:pStyle w:val="TableParagraph"/>
              <w:spacing w:before="101"/>
              <w:jc w:val="left"/>
              <w:rPr>
                <w:b/>
                <w:i/>
                <w:sz w:val="16"/>
              </w:rPr>
            </w:pPr>
          </w:p>
          <w:p>
            <w:pPr>
              <w:pStyle w:val="TableParagraph"/>
              <w:ind w:left="13"/>
              <w:rPr>
                <w:rFonts w:ascii="Calibri"/>
                <w:sz w:val="16"/>
              </w:rPr>
            </w:pPr>
            <w:r>
              <w:rPr>
                <w:rFonts w:ascii="Calibri"/>
                <w:spacing w:val="-10"/>
                <w:sz w:val="16"/>
              </w:rPr>
              <w:t>6</w:t>
            </w:r>
          </w:p>
        </w:tc>
        <w:tc>
          <w:tcPr>
            <w:tcW w:w="510" w:type="dxa"/>
          </w:tcPr>
          <w:p>
            <w:pPr>
              <w:pStyle w:val="TableParagraph"/>
              <w:spacing w:before="101"/>
              <w:jc w:val="left"/>
              <w:rPr>
                <w:b/>
                <w:i/>
                <w:sz w:val="16"/>
              </w:rPr>
            </w:pPr>
          </w:p>
          <w:p>
            <w:pPr>
              <w:pStyle w:val="TableParagraph"/>
              <w:ind w:left="13"/>
              <w:rPr>
                <w:rFonts w:ascii="Calibri"/>
                <w:sz w:val="16"/>
              </w:rPr>
            </w:pPr>
            <w:r>
              <w:rPr>
                <w:rFonts w:ascii="Calibri"/>
                <w:spacing w:val="-5"/>
                <w:sz w:val="16"/>
              </w:rPr>
              <w:t>66</w:t>
            </w:r>
          </w:p>
        </w:tc>
        <w:tc>
          <w:tcPr>
            <w:tcW w:w="466" w:type="dxa"/>
          </w:tcPr>
          <w:p>
            <w:pPr>
              <w:pStyle w:val="TableParagraph"/>
              <w:spacing w:before="101"/>
              <w:jc w:val="left"/>
              <w:rPr>
                <w:b/>
                <w:i/>
                <w:sz w:val="16"/>
              </w:rPr>
            </w:pPr>
          </w:p>
          <w:p>
            <w:pPr>
              <w:pStyle w:val="TableParagraph"/>
              <w:ind w:left="13"/>
              <w:rPr>
                <w:rFonts w:ascii="Calibri"/>
                <w:sz w:val="16"/>
              </w:rPr>
            </w:pPr>
            <w:r>
              <w:rPr>
                <w:rFonts w:ascii="Calibri"/>
                <w:spacing w:val="-10"/>
                <w:sz w:val="16"/>
              </w:rPr>
              <w:t>5</w:t>
            </w:r>
          </w:p>
        </w:tc>
        <w:tc>
          <w:tcPr>
            <w:tcW w:w="494" w:type="dxa"/>
          </w:tcPr>
          <w:p>
            <w:pPr>
              <w:pStyle w:val="TableParagraph"/>
              <w:spacing w:before="101"/>
              <w:jc w:val="left"/>
              <w:rPr>
                <w:b/>
                <w:i/>
                <w:sz w:val="16"/>
              </w:rPr>
            </w:pPr>
          </w:p>
          <w:p>
            <w:pPr>
              <w:pStyle w:val="TableParagraph"/>
              <w:ind w:left="13"/>
              <w:rPr>
                <w:rFonts w:ascii="Calibri"/>
                <w:sz w:val="16"/>
              </w:rPr>
            </w:pPr>
            <w:r>
              <w:rPr>
                <w:rFonts w:ascii="Calibri"/>
                <w:spacing w:val="-5"/>
                <w:sz w:val="16"/>
              </w:rPr>
              <w:t>36</w:t>
            </w:r>
          </w:p>
        </w:tc>
        <w:tc>
          <w:tcPr>
            <w:tcW w:w="526" w:type="dxa"/>
          </w:tcPr>
          <w:p>
            <w:pPr>
              <w:pStyle w:val="TableParagraph"/>
              <w:spacing w:before="101"/>
              <w:jc w:val="left"/>
              <w:rPr>
                <w:b/>
                <w:i/>
                <w:sz w:val="16"/>
              </w:rPr>
            </w:pPr>
          </w:p>
          <w:p>
            <w:pPr>
              <w:pStyle w:val="TableParagraph"/>
              <w:ind w:left="13"/>
              <w:rPr>
                <w:rFonts w:ascii="Calibri"/>
                <w:sz w:val="16"/>
              </w:rPr>
            </w:pPr>
            <w:r>
              <w:rPr>
                <w:rFonts w:ascii="Calibri"/>
                <w:spacing w:val="-5"/>
                <w:sz w:val="16"/>
              </w:rPr>
              <w:t>16</w:t>
            </w:r>
          </w:p>
        </w:tc>
      </w:tr>
      <w:tr>
        <w:trPr>
          <w:trHeight w:val="289" w:hRule="atLeast"/>
        </w:trPr>
        <w:tc>
          <w:tcPr>
            <w:tcW w:w="896" w:type="dxa"/>
          </w:tcPr>
          <w:p>
            <w:pPr>
              <w:pStyle w:val="TableParagraph"/>
              <w:spacing w:line="220" w:lineRule="exact" w:before="49"/>
              <w:ind w:left="15"/>
              <w:jc w:val="left"/>
              <w:rPr>
                <w:rFonts w:ascii="Calibri"/>
                <w:sz w:val="20"/>
              </w:rPr>
            </w:pPr>
            <w:r>
              <w:rPr>
                <w:rFonts w:ascii="Calibri"/>
                <w:spacing w:val="-2"/>
                <w:sz w:val="20"/>
              </w:rPr>
              <w:t>Mediana</w:t>
            </w:r>
          </w:p>
        </w:tc>
        <w:tc>
          <w:tcPr>
            <w:tcW w:w="496" w:type="dxa"/>
          </w:tcPr>
          <w:p>
            <w:pPr>
              <w:pStyle w:val="TableParagraph"/>
              <w:spacing w:before="57"/>
              <w:ind w:left="15"/>
              <w:rPr>
                <w:rFonts w:ascii="Calibri"/>
                <w:sz w:val="16"/>
              </w:rPr>
            </w:pPr>
            <w:r>
              <w:rPr>
                <w:rFonts w:ascii="Calibri"/>
                <w:spacing w:val="-5"/>
                <w:sz w:val="16"/>
              </w:rPr>
              <w:t>15</w:t>
            </w:r>
          </w:p>
        </w:tc>
        <w:tc>
          <w:tcPr>
            <w:tcW w:w="436" w:type="dxa"/>
          </w:tcPr>
          <w:p>
            <w:pPr>
              <w:pStyle w:val="TableParagraph"/>
              <w:spacing w:before="57"/>
              <w:ind w:left="15"/>
              <w:rPr>
                <w:rFonts w:ascii="Calibri"/>
                <w:sz w:val="16"/>
              </w:rPr>
            </w:pPr>
            <w:r>
              <w:rPr>
                <w:rFonts w:ascii="Calibri"/>
                <w:spacing w:val="-5"/>
                <w:sz w:val="16"/>
              </w:rPr>
              <w:t>15</w:t>
            </w:r>
          </w:p>
        </w:tc>
        <w:tc>
          <w:tcPr>
            <w:tcW w:w="508" w:type="dxa"/>
          </w:tcPr>
          <w:p>
            <w:pPr>
              <w:pStyle w:val="TableParagraph"/>
              <w:spacing w:before="57"/>
              <w:ind w:left="11"/>
              <w:rPr>
                <w:rFonts w:ascii="Calibri"/>
                <w:sz w:val="16"/>
              </w:rPr>
            </w:pPr>
            <w:r>
              <w:rPr>
                <w:rFonts w:ascii="Calibri"/>
                <w:spacing w:val="-5"/>
                <w:sz w:val="16"/>
              </w:rPr>
              <w:t>15</w:t>
            </w:r>
          </w:p>
        </w:tc>
        <w:tc>
          <w:tcPr>
            <w:tcW w:w="480" w:type="dxa"/>
          </w:tcPr>
          <w:p>
            <w:pPr>
              <w:pStyle w:val="TableParagraph"/>
              <w:spacing w:before="57"/>
              <w:ind w:left="15"/>
              <w:rPr>
                <w:rFonts w:ascii="Calibri"/>
                <w:sz w:val="16"/>
              </w:rPr>
            </w:pPr>
            <w:r>
              <w:rPr>
                <w:rFonts w:ascii="Calibri"/>
                <w:spacing w:val="-5"/>
                <w:sz w:val="16"/>
              </w:rPr>
              <w:t>15</w:t>
            </w:r>
          </w:p>
        </w:tc>
        <w:tc>
          <w:tcPr>
            <w:tcW w:w="494" w:type="dxa"/>
          </w:tcPr>
          <w:p>
            <w:pPr>
              <w:pStyle w:val="TableParagraph"/>
              <w:spacing w:before="57"/>
              <w:ind w:left="13"/>
              <w:rPr>
                <w:rFonts w:ascii="Calibri"/>
                <w:sz w:val="16"/>
              </w:rPr>
            </w:pPr>
            <w:r>
              <w:rPr>
                <w:rFonts w:ascii="Calibri"/>
                <w:spacing w:val="-5"/>
                <w:sz w:val="16"/>
              </w:rPr>
              <w:t>15</w:t>
            </w:r>
          </w:p>
        </w:tc>
        <w:tc>
          <w:tcPr>
            <w:tcW w:w="510" w:type="dxa"/>
          </w:tcPr>
          <w:p>
            <w:pPr>
              <w:pStyle w:val="TableParagraph"/>
              <w:spacing w:before="57"/>
              <w:ind w:left="13"/>
              <w:rPr>
                <w:rFonts w:ascii="Calibri"/>
                <w:sz w:val="16"/>
              </w:rPr>
            </w:pPr>
            <w:r>
              <w:rPr>
                <w:rFonts w:ascii="Calibri"/>
                <w:spacing w:val="-5"/>
                <w:sz w:val="16"/>
              </w:rPr>
              <w:t>15</w:t>
            </w:r>
          </w:p>
        </w:tc>
        <w:tc>
          <w:tcPr>
            <w:tcW w:w="508" w:type="dxa"/>
          </w:tcPr>
          <w:p>
            <w:pPr>
              <w:pStyle w:val="TableParagraph"/>
              <w:spacing w:before="57"/>
              <w:ind w:left="15"/>
              <w:rPr>
                <w:rFonts w:ascii="Calibri"/>
                <w:sz w:val="16"/>
              </w:rPr>
            </w:pPr>
            <w:r>
              <w:rPr>
                <w:rFonts w:ascii="Calibri"/>
                <w:spacing w:val="-5"/>
                <w:sz w:val="16"/>
              </w:rPr>
              <w:t>15</w:t>
            </w:r>
          </w:p>
        </w:tc>
        <w:tc>
          <w:tcPr>
            <w:tcW w:w="512" w:type="dxa"/>
          </w:tcPr>
          <w:p>
            <w:pPr>
              <w:pStyle w:val="TableParagraph"/>
              <w:spacing w:before="57"/>
              <w:ind w:left="15"/>
              <w:rPr>
                <w:rFonts w:ascii="Calibri"/>
                <w:sz w:val="16"/>
              </w:rPr>
            </w:pPr>
            <w:r>
              <w:rPr>
                <w:rFonts w:ascii="Calibri"/>
                <w:spacing w:val="-5"/>
                <w:sz w:val="16"/>
              </w:rPr>
              <w:t>15</w:t>
            </w:r>
          </w:p>
        </w:tc>
        <w:tc>
          <w:tcPr>
            <w:tcW w:w="480" w:type="dxa"/>
          </w:tcPr>
          <w:p>
            <w:pPr>
              <w:pStyle w:val="TableParagraph"/>
              <w:spacing w:before="57"/>
              <w:ind w:left="11"/>
              <w:rPr>
                <w:rFonts w:ascii="Calibri"/>
                <w:sz w:val="16"/>
              </w:rPr>
            </w:pPr>
            <w:r>
              <w:rPr>
                <w:rFonts w:ascii="Calibri"/>
                <w:spacing w:val="-5"/>
                <w:sz w:val="16"/>
              </w:rPr>
              <w:t>15</w:t>
            </w:r>
          </w:p>
        </w:tc>
        <w:tc>
          <w:tcPr>
            <w:tcW w:w="566" w:type="dxa"/>
          </w:tcPr>
          <w:p>
            <w:pPr>
              <w:pStyle w:val="TableParagraph"/>
              <w:spacing w:before="57"/>
              <w:ind w:left="13"/>
              <w:rPr>
                <w:rFonts w:ascii="Calibri"/>
                <w:sz w:val="16"/>
              </w:rPr>
            </w:pPr>
            <w:r>
              <w:rPr>
                <w:rFonts w:ascii="Calibri"/>
                <w:spacing w:val="-5"/>
                <w:sz w:val="16"/>
              </w:rPr>
              <w:t>15</w:t>
            </w:r>
          </w:p>
        </w:tc>
        <w:tc>
          <w:tcPr>
            <w:tcW w:w="510" w:type="dxa"/>
          </w:tcPr>
          <w:p>
            <w:pPr>
              <w:pStyle w:val="TableParagraph"/>
              <w:spacing w:before="57"/>
              <w:ind w:left="13"/>
              <w:rPr>
                <w:rFonts w:ascii="Calibri"/>
                <w:sz w:val="16"/>
              </w:rPr>
            </w:pPr>
            <w:r>
              <w:rPr>
                <w:rFonts w:ascii="Calibri"/>
                <w:spacing w:val="-5"/>
                <w:sz w:val="16"/>
              </w:rPr>
              <w:t>15</w:t>
            </w:r>
          </w:p>
        </w:tc>
        <w:tc>
          <w:tcPr>
            <w:tcW w:w="510" w:type="dxa"/>
          </w:tcPr>
          <w:p>
            <w:pPr>
              <w:pStyle w:val="TableParagraph"/>
              <w:spacing w:before="57"/>
              <w:ind w:left="13"/>
              <w:rPr>
                <w:rFonts w:ascii="Calibri"/>
                <w:sz w:val="16"/>
              </w:rPr>
            </w:pPr>
            <w:r>
              <w:rPr>
                <w:rFonts w:ascii="Calibri"/>
                <w:spacing w:val="-5"/>
                <w:sz w:val="16"/>
              </w:rPr>
              <w:t>15</w:t>
            </w:r>
          </w:p>
        </w:tc>
        <w:tc>
          <w:tcPr>
            <w:tcW w:w="480" w:type="dxa"/>
          </w:tcPr>
          <w:p>
            <w:pPr>
              <w:pStyle w:val="TableParagraph"/>
              <w:spacing w:before="57"/>
              <w:ind w:left="11"/>
              <w:rPr>
                <w:rFonts w:ascii="Calibri"/>
                <w:sz w:val="16"/>
              </w:rPr>
            </w:pPr>
            <w:r>
              <w:rPr>
                <w:rFonts w:ascii="Calibri"/>
                <w:spacing w:val="-5"/>
                <w:sz w:val="16"/>
              </w:rPr>
              <w:t>15</w:t>
            </w:r>
          </w:p>
        </w:tc>
        <w:tc>
          <w:tcPr>
            <w:tcW w:w="454" w:type="dxa"/>
          </w:tcPr>
          <w:p>
            <w:pPr>
              <w:pStyle w:val="TableParagraph"/>
              <w:spacing w:before="57"/>
              <w:ind w:left="13"/>
              <w:rPr>
                <w:rFonts w:ascii="Calibri"/>
                <w:sz w:val="16"/>
              </w:rPr>
            </w:pPr>
            <w:r>
              <w:rPr>
                <w:rFonts w:ascii="Calibri"/>
                <w:spacing w:val="-5"/>
                <w:sz w:val="16"/>
              </w:rPr>
              <w:t>15</w:t>
            </w:r>
          </w:p>
        </w:tc>
        <w:tc>
          <w:tcPr>
            <w:tcW w:w="510" w:type="dxa"/>
          </w:tcPr>
          <w:p>
            <w:pPr>
              <w:pStyle w:val="TableParagraph"/>
              <w:spacing w:before="57"/>
              <w:ind w:left="13"/>
              <w:rPr>
                <w:rFonts w:ascii="Calibri"/>
                <w:sz w:val="16"/>
              </w:rPr>
            </w:pPr>
            <w:r>
              <w:rPr>
                <w:rFonts w:ascii="Calibri"/>
                <w:spacing w:val="-5"/>
                <w:sz w:val="16"/>
              </w:rPr>
              <w:t>15</w:t>
            </w:r>
          </w:p>
        </w:tc>
        <w:tc>
          <w:tcPr>
            <w:tcW w:w="466" w:type="dxa"/>
          </w:tcPr>
          <w:p>
            <w:pPr>
              <w:pStyle w:val="TableParagraph"/>
              <w:spacing w:before="57"/>
              <w:ind w:left="13"/>
              <w:rPr>
                <w:rFonts w:ascii="Calibri"/>
                <w:sz w:val="16"/>
              </w:rPr>
            </w:pPr>
            <w:r>
              <w:rPr>
                <w:rFonts w:ascii="Calibri"/>
                <w:spacing w:val="-5"/>
                <w:sz w:val="16"/>
              </w:rPr>
              <w:t>15</w:t>
            </w:r>
          </w:p>
        </w:tc>
        <w:tc>
          <w:tcPr>
            <w:tcW w:w="494" w:type="dxa"/>
          </w:tcPr>
          <w:p>
            <w:pPr>
              <w:pStyle w:val="TableParagraph"/>
              <w:spacing w:before="57"/>
              <w:ind w:left="13"/>
              <w:rPr>
                <w:rFonts w:ascii="Calibri"/>
                <w:sz w:val="16"/>
              </w:rPr>
            </w:pPr>
            <w:r>
              <w:rPr>
                <w:rFonts w:ascii="Calibri"/>
                <w:spacing w:val="-5"/>
                <w:sz w:val="16"/>
              </w:rPr>
              <w:t>15</w:t>
            </w:r>
          </w:p>
        </w:tc>
        <w:tc>
          <w:tcPr>
            <w:tcW w:w="526" w:type="dxa"/>
          </w:tcPr>
          <w:p>
            <w:pPr>
              <w:pStyle w:val="TableParagraph"/>
              <w:spacing w:before="57"/>
              <w:ind w:left="13"/>
              <w:rPr>
                <w:rFonts w:ascii="Calibri"/>
                <w:sz w:val="16"/>
              </w:rPr>
            </w:pPr>
            <w:r>
              <w:rPr>
                <w:rFonts w:ascii="Calibri"/>
                <w:spacing w:val="-5"/>
                <w:sz w:val="16"/>
              </w:rPr>
              <w:t>15</w:t>
            </w:r>
          </w:p>
        </w:tc>
      </w:tr>
    </w:tbl>
    <w:p>
      <w:pPr>
        <w:pStyle w:val="TableParagraph"/>
        <w:spacing w:after="0"/>
        <w:rPr>
          <w:rFonts w:ascii="Calibri"/>
          <w:sz w:val="16"/>
        </w:rPr>
        <w:sectPr>
          <w:pgSz w:w="11910" w:h="16840"/>
          <w:pgMar w:header="358" w:footer="560" w:top="1580" w:bottom="780" w:left="708" w:right="0"/>
        </w:sectPr>
      </w:pPr>
    </w:p>
    <w:p>
      <w:pPr>
        <w:pStyle w:val="BodyText"/>
        <w:rPr>
          <w:b/>
          <w:i/>
        </w:rPr>
      </w:pPr>
    </w:p>
    <w:p>
      <w:pPr>
        <w:pStyle w:val="BodyText"/>
        <w:rPr>
          <w:b/>
          <w:i/>
        </w:rPr>
      </w:pPr>
    </w:p>
    <w:p>
      <w:pPr>
        <w:pStyle w:val="BodyText"/>
        <w:spacing w:before="23"/>
        <w:rPr>
          <w:b/>
          <w:i/>
        </w:rPr>
      </w:pPr>
    </w:p>
    <w:p>
      <w:pPr>
        <w:spacing w:before="0"/>
        <w:ind w:left="0" w:right="734" w:firstLine="0"/>
        <w:jc w:val="right"/>
        <w:rPr>
          <w:sz w:val="24"/>
        </w:rPr>
      </w:pPr>
      <w:bookmarkStart w:name="Fonte: Sinapse." w:id="12"/>
      <w:bookmarkEnd w:id="12"/>
      <w:r>
        <w:rPr/>
      </w:r>
      <w:r>
        <w:rPr>
          <w:i/>
          <w:sz w:val="24"/>
        </w:rPr>
        <w:t>Fonte:</w:t>
      </w:r>
      <w:r>
        <w:rPr>
          <w:i/>
          <w:spacing w:val="-4"/>
          <w:sz w:val="24"/>
        </w:rPr>
        <w:t> </w:t>
      </w:r>
      <w:r>
        <w:rPr>
          <w:i/>
          <w:spacing w:val="-2"/>
          <w:sz w:val="24"/>
        </w:rPr>
        <w:t>Sinapse</w:t>
      </w:r>
      <w:r>
        <w:rPr>
          <w:spacing w:val="-2"/>
          <w:sz w:val="24"/>
        </w:rPr>
        <w:t>.</w:t>
      </w: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w:spacing w:before="0"/>
        <w:ind w:left="593" w:right="0" w:firstLine="0"/>
        <w:jc w:val="left"/>
        <w:rPr>
          <w:b/>
          <w:i/>
          <w:sz w:val="24"/>
        </w:rPr>
      </w:pPr>
      <w:r>
        <w:rPr>
          <w:b/>
          <w:i/>
          <w:sz w:val="24"/>
        </w:rPr>
        <w:drawing>
          <wp:anchor distT="0" distB="0" distL="0" distR="0" allowOverlap="1" layoutInCell="1" locked="0" behindDoc="1" simplePos="0" relativeHeight="487588864">
            <wp:simplePos x="0" y="0"/>
            <wp:positionH relativeFrom="page">
              <wp:posOffset>825500</wp:posOffset>
            </wp:positionH>
            <wp:positionV relativeFrom="paragraph">
              <wp:posOffset>202093</wp:posOffset>
            </wp:positionV>
            <wp:extent cx="6262683" cy="2564892"/>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6262683" cy="2564892"/>
                    </a:xfrm>
                    <a:prstGeom prst="rect">
                      <a:avLst/>
                    </a:prstGeom>
                  </pic:spPr>
                </pic:pic>
              </a:graphicData>
            </a:graphic>
          </wp:anchor>
        </w:drawing>
      </w:r>
      <w:bookmarkStart w:name="Gráfico 2. Total de Lesões Never Events." w:id="13"/>
      <w:bookmarkEnd w:id="13"/>
      <w:r>
        <w:rPr/>
      </w:r>
      <w:r>
        <w:rPr>
          <w:b/>
          <w:sz w:val="24"/>
        </w:rPr>
        <w:t>Gráfico</w:t>
      </w:r>
      <w:r>
        <w:rPr>
          <w:b/>
          <w:spacing w:val="-2"/>
          <w:sz w:val="24"/>
        </w:rPr>
        <w:t> </w:t>
      </w:r>
      <w:r>
        <w:rPr>
          <w:b/>
          <w:sz w:val="24"/>
        </w:rPr>
        <w:t>2.</w:t>
      </w:r>
      <w:r>
        <w:rPr>
          <w:b/>
          <w:spacing w:val="-3"/>
          <w:sz w:val="24"/>
        </w:rPr>
        <w:t> </w:t>
      </w:r>
      <w:r>
        <w:rPr>
          <w:b/>
          <w:sz w:val="24"/>
        </w:rPr>
        <w:t>Total</w:t>
      </w:r>
      <w:r>
        <w:rPr>
          <w:b/>
          <w:spacing w:val="-4"/>
          <w:sz w:val="24"/>
        </w:rPr>
        <w:t> </w:t>
      </w:r>
      <w:r>
        <w:rPr>
          <w:b/>
          <w:sz w:val="24"/>
        </w:rPr>
        <w:t>de</w:t>
      </w:r>
      <w:r>
        <w:rPr>
          <w:b/>
          <w:spacing w:val="-4"/>
          <w:sz w:val="24"/>
        </w:rPr>
        <w:t> </w:t>
      </w:r>
      <w:r>
        <w:rPr>
          <w:b/>
          <w:sz w:val="24"/>
        </w:rPr>
        <w:t>Lesões</w:t>
      </w:r>
      <w:r>
        <w:rPr>
          <w:b/>
          <w:spacing w:val="-2"/>
          <w:sz w:val="24"/>
        </w:rPr>
        <w:t> </w:t>
      </w:r>
      <w:r>
        <w:rPr>
          <w:b/>
          <w:i/>
          <w:sz w:val="24"/>
        </w:rPr>
        <w:t>Never</w:t>
      </w:r>
      <w:r>
        <w:rPr>
          <w:b/>
          <w:i/>
          <w:spacing w:val="-2"/>
          <w:sz w:val="24"/>
        </w:rPr>
        <w:t> Events.</w:t>
      </w:r>
    </w:p>
    <w:p>
      <w:pPr>
        <w:spacing w:before="138"/>
        <w:ind w:left="0" w:right="734" w:firstLine="0"/>
        <w:jc w:val="right"/>
        <w:rPr>
          <w:sz w:val="20"/>
        </w:rPr>
      </w:pPr>
      <w:bookmarkStart w:name="Fonte: Sinapse." w:id="14"/>
      <w:bookmarkEnd w:id="14"/>
      <w:r>
        <w:rPr/>
      </w:r>
      <w:r>
        <w:rPr>
          <w:i/>
          <w:sz w:val="24"/>
        </w:rPr>
        <w:t>Fonte:</w:t>
      </w:r>
      <w:r>
        <w:rPr>
          <w:i/>
          <w:spacing w:val="-4"/>
          <w:sz w:val="24"/>
        </w:rPr>
        <w:t> </w:t>
      </w:r>
      <w:r>
        <w:rPr>
          <w:i/>
          <w:spacing w:val="-2"/>
          <w:sz w:val="24"/>
        </w:rPr>
        <w:t>Sinapse</w:t>
      </w:r>
      <w:r>
        <w:rPr>
          <w:spacing w:val="-2"/>
          <w:sz w:val="20"/>
        </w:rPr>
        <w:t>.</w:t>
      </w:r>
    </w:p>
    <w:p>
      <w:pPr>
        <w:pStyle w:val="BodyText"/>
      </w:pPr>
    </w:p>
    <w:p>
      <w:pPr>
        <w:pStyle w:val="BodyText"/>
        <w:spacing w:before="141"/>
      </w:pPr>
    </w:p>
    <w:p>
      <w:pPr>
        <w:pStyle w:val="Heading1"/>
        <w:numPr>
          <w:ilvl w:val="0"/>
          <w:numId w:val="2"/>
        </w:numPr>
        <w:tabs>
          <w:tab w:pos="1431" w:val="left" w:leader="none"/>
        </w:tabs>
        <w:spacing w:line="240" w:lineRule="auto" w:before="0" w:after="0"/>
        <w:ind w:left="1431" w:right="0" w:hanging="719"/>
        <w:jc w:val="left"/>
      </w:pPr>
      <w:bookmarkStart w:name="3. Atendimentos e consultas ambulatoriai" w:id="15"/>
      <w:bookmarkEnd w:id="15"/>
      <w:r>
        <w:rPr>
          <w:rFonts w:ascii="Arial"/>
        </w:rPr>
      </w:r>
      <w:bookmarkStart w:name="_bookmark2" w:id="16"/>
      <w:bookmarkEnd w:id="16"/>
      <w:r>
        <w:rPr>
          <w:rFonts w:ascii="Arial"/>
        </w:rPr>
      </w:r>
      <w:r>
        <w:rPr/>
        <w:t>Atendimentos</w:t>
      </w:r>
      <w:r>
        <w:rPr>
          <w:spacing w:val="-5"/>
        </w:rPr>
        <w:t> </w:t>
      </w:r>
      <w:r>
        <w:rPr/>
        <w:t>e</w:t>
      </w:r>
      <w:r>
        <w:rPr>
          <w:spacing w:val="-6"/>
        </w:rPr>
        <w:t> </w:t>
      </w:r>
      <w:r>
        <w:rPr/>
        <w:t>consultas</w:t>
      </w:r>
      <w:r>
        <w:rPr>
          <w:spacing w:val="-4"/>
        </w:rPr>
        <w:t> </w:t>
      </w:r>
      <w:r>
        <w:rPr>
          <w:spacing w:val="-2"/>
        </w:rPr>
        <w:t>ambulatoriais</w:t>
      </w:r>
    </w:p>
    <w:p>
      <w:pPr>
        <w:pStyle w:val="BodyText"/>
        <w:rPr>
          <w:b/>
        </w:rPr>
      </w:pPr>
    </w:p>
    <w:p>
      <w:pPr>
        <w:pStyle w:val="BodyText"/>
        <w:spacing w:before="102"/>
        <w:rPr>
          <w:b/>
        </w:rPr>
      </w:pPr>
    </w:p>
    <w:p>
      <w:pPr>
        <w:pStyle w:val="BodyText"/>
        <w:spacing w:before="1"/>
        <w:ind w:left="593" w:right="750" w:firstLine="720"/>
        <w:jc w:val="both"/>
      </w:pPr>
      <w:r>
        <w:rPr/>
        <w:t>Em novembro de 2025, o setor ambulatorial do HUGO manteve sua atuação voltada ao</w:t>
      </w:r>
      <w:r>
        <w:rPr>
          <w:spacing w:val="40"/>
        </w:rPr>
        <w:t> </w:t>
      </w:r>
      <w:r>
        <w:rPr/>
        <w:t>suporte assistencial e à continuidade do cuidado. As consultas multiprofissionais superaram a meta estabelecida, alcançando 101,7%</w:t>
      </w:r>
      <w:r>
        <w:rPr>
          <w:spacing w:val="-3"/>
        </w:rPr>
        <w:t> </w:t>
      </w:r>
      <w:r>
        <w:rPr/>
        <w:t>do</w:t>
      </w:r>
      <w:r>
        <w:rPr>
          <w:spacing w:val="-3"/>
        </w:rPr>
        <w:t> </w:t>
      </w:r>
      <w:r>
        <w:rPr/>
        <w:t>previsto,</w:t>
      </w:r>
      <w:r>
        <w:rPr>
          <w:spacing w:val="-3"/>
        </w:rPr>
        <w:t> </w:t>
      </w:r>
      <w:r>
        <w:rPr/>
        <w:t>enquanto</w:t>
      </w:r>
      <w:r>
        <w:rPr>
          <w:spacing w:val="-2"/>
        </w:rPr>
        <w:t> </w:t>
      </w:r>
      <w:r>
        <w:rPr/>
        <w:t>as</w:t>
      </w:r>
      <w:r>
        <w:rPr>
          <w:spacing w:val="-2"/>
        </w:rPr>
        <w:t> </w:t>
      </w:r>
      <w:r>
        <w:rPr/>
        <w:t>consultas</w:t>
      </w:r>
      <w:r>
        <w:rPr>
          <w:spacing w:val="-2"/>
        </w:rPr>
        <w:t> </w:t>
      </w:r>
      <w:r>
        <w:rPr/>
        <w:t>médicas</w:t>
      </w:r>
      <w:r>
        <w:rPr>
          <w:spacing w:val="-1"/>
        </w:rPr>
        <w:t> </w:t>
      </w:r>
      <w:r>
        <w:rPr/>
        <w:t>atingiram</w:t>
      </w:r>
      <w:r>
        <w:rPr>
          <w:spacing w:val="-2"/>
        </w:rPr>
        <w:t> </w:t>
      </w:r>
      <w:r>
        <w:rPr/>
        <w:t>84,8%</w:t>
      </w:r>
      <w:r>
        <w:rPr>
          <w:spacing w:val="-3"/>
        </w:rPr>
        <w:t> </w:t>
      </w:r>
      <w:r>
        <w:rPr/>
        <w:t>da</w:t>
      </w:r>
      <w:r>
        <w:rPr>
          <w:spacing w:val="-2"/>
        </w:rPr>
        <w:t> </w:t>
      </w:r>
      <w:r>
        <w:rPr/>
        <w:t>meta</w:t>
      </w:r>
    </w:p>
    <w:p>
      <w:pPr>
        <w:pStyle w:val="BodyText"/>
        <w:ind w:left="593" w:right="751"/>
        <w:jc w:val="both"/>
      </w:pPr>
      <w:r>
        <w:rPr/>
        <w:t>— resultado possivelmente influenciado por fatores sazonais típicos do período pré-encerramento </w:t>
      </w:r>
      <w:r>
        <w:rPr>
          <w:spacing w:val="-2"/>
        </w:rPr>
        <w:t>anual.</w:t>
      </w:r>
    </w:p>
    <w:p>
      <w:pPr>
        <w:pStyle w:val="BodyText"/>
        <w:spacing w:before="240"/>
        <w:ind w:left="593" w:right="749" w:firstLine="720"/>
        <w:jc w:val="both"/>
      </w:pPr>
      <w:r>
        <w:rPr/>
        <w:t>Apesar da variação pontual, o ambulatório segue cumprindo papel estratégico na</w:t>
      </w:r>
      <w:r>
        <w:rPr>
          <w:spacing w:val="40"/>
        </w:rPr>
        <w:t> </w:t>
      </w:r>
      <w:r>
        <w:rPr/>
        <w:t>resolutividade hospitalar, fortalecendo a integração entre os níveis assistenciais e contribuindo para o acesso a atendimentos especializados.</w:t>
      </w:r>
    </w:p>
    <w:p>
      <w:pPr>
        <w:pStyle w:val="BodyText"/>
        <w:spacing w:before="126"/>
      </w:pPr>
    </w:p>
    <w:p>
      <w:pPr>
        <w:spacing w:before="0" w:after="22"/>
        <w:ind w:left="593" w:right="0" w:firstLine="0"/>
        <w:jc w:val="left"/>
        <w:rPr>
          <w:b/>
          <w:sz w:val="24"/>
        </w:rPr>
      </w:pPr>
      <w:r>
        <w:rPr>
          <w:b/>
          <w:sz w:val="24"/>
        </w:rPr>
        <w:t>Tabela</w:t>
      </w:r>
      <w:r>
        <w:rPr>
          <w:b/>
          <w:spacing w:val="-3"/>
          <w:sz w:val="24"/>
        </w:rPr>
        <w:t> </w:t>
      </w:r>
      <w:r>
        <w:rPr>
          <w:b/>
          <w:sz w:val="24"/>
        </w:rPr>
        <w:t>3</w:t>
      </w:r>
      <w:r>
        <w:rPr>
          <w:b/>
          <w:spacing w:val="-3"/>
          <w:sz w:val="24"/>
        </w:rPr>
        <w:t> </w:t>
      </w:r>
      <w:r>
        <w:rPr>
          <w:b/>
          <w:sz w:val="24"/>
        </w:rPr>
        <w:t>–</w:t>
      </w:r>
      <w:r>
        <w:rPr>
          <w:b/>
          <w:spacing w:val="-2"/>
          <w:sz w:val="24"/>
        </w:rPr>
        <w:t> </w:t>
      </w:r>
      <w:r>
        <w:rPr>
          <w:b/>
          <w:sz w:val="24"/>
        </w:rPr>
        <w:t>Produção</w:t>
      </w:r>
      <w:r>
        <w:rPr>
          <w:b/>
          <w:spacing w:val="-3"/>
          <w:sz w:val="24"/>
        </w:rPr>
        <w:t> </w:t>
      </w:r>
      <w:r>
        <w:rPr>
          <w:b/>
          <w:sz w:val="24"/>
        </w:rPr>
        <w:t>acumulada</w:t>
      </w:r>
      <w:r>
        <w:rPr>
          <w:b/>
          <w:spacing w:val="-2"/>
          <w:sz w:val="24"/>
        </w:rPr>
        <w:t> Novembro/2025</w:t>
      </w:r>
    </w:p>
    <w:tbl>
      <w:tblPr>
        <w:tblW w:w="0" w:type="auto"/>
        <w:jc w:val="left"/>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74"/>
        <w:gridCol w:w="750"/>
        <w:gridCol w:w="4436"/>
      </w:tblGrid>
      <w:tr>
        <w:trPr>
          <w:trHeight w:val="271" w:hRule="atLeast"/>
        </w:trPr>
        <w:tc>
          <w:tcPr>
            <w:tcW w:w="4874" w:type="dxa"/>
          </w:tcPr>
          <w:p>
            <w:pPr>
              <w:pStyle w:val="TableParagraph"/>
              <w:spacing w:before="21"/>
              <w:ind w:left="71"/>
              <w:jc w:val="left"/>
              <w:rPr>
                <w:b/>
                <w:sz w:val="20"/>
              </w:rPr>
            </w:pPr>
            <w:r>
              <w:rPr>
                <w:b/>
                <w:sz w:val="20"/>
              </w:rPr>
              <w:t>Atendimentos</w:t>
            </w:r>
            <w:r>
              <w:rPr>
                <w:b/>
                <w:spacing w:val="-8"/>
                <w:sz w:val="20"/>
              </w:rPr>
              <w:t> </w:t>
            </w:r>
            <w:r>
              <w:rPr>
                <w:b/>
                <w:spacing w:val="-2"/>
                <w:sz w:val="20"/>
              </w:rPr>
              <w:t>ambulatoriais</w:t>
            </w:r>
          </w:p>
        </w:tc>
        <w:tc>
          <w:tcPr>
            <w:tcW w:w="750" w:type="dxa"/>
          </w:tcPr>
          <w:p>
            <w:pPr>
              <w:pStyle w:val="TableParagraph"/>
              <w:spacing w:before="21"/>
              <w:ind w:left="24" w:right="10"/>
              <w:rPr>
                <w:b/>
                <w:sz w:val="20"/>
              </w:rPr>
            </w:pPr>
            <w:r>
              <w:rPr>
                <w:b/>
                <w:spacing w:val="-4"/>
                <w:sz w:val="20"/>
              </w:rPr>
              <w:t>Meta</w:t>
            </w:r>
          </w:p>
        </w:tc>
        <w:tc>
          <w:tcPr>
            <w:tcW w:w="4436" w:type="dxa"/>
          </w:tcPr>
          <w:p>
            <w:pPr>
              <w:pStyle w:val="TableParagraph"/>
              <w:spacing w:before="21"/>
              <w:ind w:left="24" w:right="14"/>
              <w:rPr>
                <w:b/>
                <w:sz w:val="20"/>
              </w:rPr>
            </w:pPr>
            <w:r>
              <w:rPr>
                <w:b/>
                <w:sz w:val="20"/>
              </w:rPr>
              <w:t>Produção</w:t>
            </w:r>
            <w:r>
              <w:rPr>
                <w:b/>
                <w:spacing w:val="-5"/>
                <w:sz w:val="20"/>
              </w:rPr>
              <w:t> </w:t>
            </w:r>
            <w:r>
              <w:rPr>
                <w:b/>
                <w:spacing w:val="-2"/>
                <w:sz w:val="20"/>
              </w:rPr>
              <w:t>Novembro/2025</w:t>
            </w:r>
          </w:p>
        </w:tc>
      </w:tr>
      <w:tr>
        <w:trPr>
          <w:trHeight w:val="282" w:hRule="atLeast"/>
        </w:trPr>
        <w:tc>
          <w:tcPr>
            <w:tcW w:w="4874" w:type="dxa"/>
          </w:tcPr>
          <w:p>
            <w:pPr>
              <w:pStyle w:val="TableParagraph"/>
              <w:spacing w:before="25"/>
              <w:ind w:left="71"/>
              <w:jc w:val="left"/>
              <w:rPr>
                <w:sz w:val="20"/>
              </w:rPr>
            </w:pPr>
            <w:r>
              <w:rPr>
                <w:sz w:val="20"/>
              </w:rPr>
              <w:t>Consulta</w:t>
            </w:r>
            <w:r>
              <w:rPr>
                <w:spacing w:val="-5"/>
                <w:sz w:val="20"/>
              </w:rPr>
              <w:t> </w:t>
            </w:r>
            <w:r>
              <w:rPr>
                <w:sz w:val="20"/>
              </w:rPr>
              <w:t>médica</w:t>
            </w:r>
            <w:r>
              <w:rPr>
                <w:spacing w:val="-3"/>
                <w:sz w:val="20"/>
              </w:rPr>
              <w:t> </w:t>
            </w:r>
            <w:r>
              <w:rPr>
                <w:sz w:val="20"/>
              </w:rPr>
              <w:t>na</w:t>
            </w:r>
            <w:r>
              <w:rPr>
                <w:spacing w:val="-5"/>
                <w:sz w:val="20"/>
              </w:rPr>
              <w:t> </w:t>
            </w:r>
            <w:r>
              <w:rPr>
                <w:sz w:val="20"/>
              </w:rPr>
              <w:t>Atenção </w:t>
            </w:r>
            <w:r>
              <w:rPr>
                <w:spacing w:val="-2"/>
                <w:sz w:val="20"/>
              </w:rPr>
              <w:t>Especializada</w:t>
            </w:r>
          </w:p>
        </w:tc>
        <w:tc>
          <w:tcPr>
            <w:tcW w:w="750" w:type="dxa"/>
          </w:tcPr>
          <w:p>
            <w:pPr>
              <w:pStyle w:val="TableParagraph"/>
              <w:spacing w:before="25"/>
              <w:ind w:left="24" w:right="10"/>
              <w:rPr>
                <w:sz w:val="20"/>
              </w:rPr>
            </w:pPr>
            <w:r>
              <w:rPr>
                <w:spacing w:val="-2"/>
                <w:sz w:val="20"/>
              </w:rPr>
              <w:t>3.400</w:t>
            </w:r>
          </w:p>
        </w:tc>
        <w:tc>
          <w:tcPr>
            <w:tcW w:w="4436" w:type="dxa"/>
          </w:tcPr>
          <w:p>
            <w:pPr>
              <w:pStyle w:val="TableParagraph"/>
              <w:spacing w:before="15"/>
              <w:ind w:left="24" w:right="10"/>
              <w:rPr>
                <w:sz w:val="20"/>
              </w:rPr>
            </w:pPr>
            <w:r>
              <w:rPr>
                <w:spacing w:val="-4"/>
                <w:sz w:val="20"/>
              </w:rPr>
              <w:t>2884</w:t>
            </w:r>
          </w:p>
        </w:tc>
      </w:tr>
      <w:tr>
        <w:trPr>
          <w:trHeight w:val="280" w:hRule="atLeast"/>
        </w:trPr>
        <w:tc>
          <w:tcPr>
            <w:tcW w:w="4874" w:type="dxa"/>
          </w:tcPr>
          <w:p>
            <w:pPr>
              <w:pStyle w:val="TableParagraph"/>
              <w:spacing w:before="25"/>
              <w:ind w:left="71"/>
              <w:jc w:val="left"/>
              <w:rPr>
                <w:sz w:val="20"/>
              </w:rPr>
            </w:pPr>
            <w:r>
              <w:rPr>
                <w:sz w:val="20"/>
              </w:rPr>
              <w:t>Consulta</w:t>
            </w:r>
            <w:r>
              <w:rPr>
                <w:spacing w:val="-7"/>
                <w:sz w:val="20"/>
              </w:rPr>
              <w:t> </w:t>
            </w:r>
            <w:r>
              <w:rPr>
                <w:sz w:val="20"/>
              </w:rPr>
              <w:t>multiprofissional</w:t>
            </w:r>
            <w:r>
              <w:rPr>
                <w:spacing w:val="-5"/>
                <w:sz w:val="20"/>
              </w:rPr>
              <w:t> </w:t>
            </w:r>
            <w:r>
              <w:rPr>
                <w:sz w:val="20"/>
              </w:rPr>
              <w:t>na</w:t>
            </w:r>
            <w:r>
              <w:rPr>
                <w:spacing w:val="-5"/>
                <w:sz w:val="20"/>
              </w:rPr>
              <w:t> </w:t>
            </w:r>
            <w:r>
              <w:rPr>
                <w:sz w:val="20"/>
              </w:rPr>
              <w:t>Atenção</w:t>
            </w:r>
            <w:r>
              <w:rPr>
                <w:spacing w:val="-4"/>
                <w:sz w:val="20"/>
              </w:rPr>
              <w:t> </w:t>
            </w:r>
            <w:r>
              <w:rPr>
                <w:spacing w:val="-2"/>
                <w:sz w:val="20"/>
              </w:rPr>
              <w:t>Especializada</w:t>
            </w:r>
          </w:p>
        </w:tc>
        <w:tc>
          <w:tcPr>
            <w:tcW w:w="750" w:type="dxa"/>
          </w:tcPr>
          <w:p>
            <w:pPr>
              <w:pStyle w:val="TableParagraph"/>
              <w:spacing w:before="25"/>
              <w:ind w:left="24" w:right="10"/>
              <w:rPr>
                <w:sz w:val="20"/>
              </w:rPr>
            </w:pPr>
            <w:r>
              <w:rPr>
                <w:spacing w:val="-2"/>
                <w:sz w:val="20"/>
              </w:rPr>
              <w:t>1.700</w:t>
            </w:r>
          </w:p>
        </w:tc>
        <w:tc>
          <w:tcPr>
            <w:tcW w:w="4436" w:type="dxa"/>
          </w:tcPr>
          <w:p>
            <w:pPr>
              <w:pStyle w:val="TableParagraph"/>
              <w:spacing w:before="15"/>
              <w:ind w:left="24" w:right="10"/>
              <w:rPr>
                <w:sz w:val="20"/>
              </w:rPr>
            </w:pPr>
            <w:r>
              <w:rPr>
                <w:spacing w:val="-4"/>
                <w:sz w:val="20"/>
              </w:rPr>
              <w:t>1729</w:t>
            </w:r>
          </w:p>
        </w:tc>
      </w:tr>
      <w:tr>
        <w:trPr>
          <w:trHeight w:val="491" w:hRule="atLeast"/>
        </w:trPr>
        <w:tc>
          <w:tcPr>
            <w:tcW w:w="4874" w:type="dxa"/>
          </w:tcPr>
          <w:p>
            <w:pPr>
              <w:pStyle w:val="TableParagraph"/>
              <w:spacing w:line="230" w:lineRule="atLeast" w:before="12"/>
              <w:ind w:left="71"/>
              <w:jc w:val="left"/>
              <w:rPr>
                <w:sz w:val="20"/>
              </w:rPr>
            </w:pPr>
            <w:r>
              <w:rPr>
                <w:sz w:val="20"/>
              </w:rPr>
              <w:t>Pequeno</w:t>
            </w:r>
            <w:r>
              <w:rPr>
                <w:spacing w:val="80"/>
                <w:sz w:val="20"/>
              </w:rPr>
              <w:t> </w:t>
            </w:r>
            <w:r>
              <w:rPr>
                <w:sz w:val="20"/>
              </w:rPr>
              <w:t>procedimento</w:t>
            </w:r>
            <w:r>
              <w:rPr>
                <w:spacing w:val="80"/>
                <w:sz w:val="20"/>
              </w:rPr>
              <w:t> </w:t>
            </w:r>
            <w:r>
              <w:rPr>
                <w:sz w:val="20"/>
              </w:rPr>
              <w:t>ambulatorial</w:t>
            </w:r>
            <w:r>
              <w:rPr>
                <w:spacing w:val="80"/>
                <w:sz w:val="20"/>
              </w:rPr>
              <w:t> </w:t>
            </w:r>
            <w:r>
              <w:rPr>
                <w:sz w:val="20"/>
              </w:rPr>
              <w:t>(faturamento</w:t>
            </w:r>
            <w:r>
              <w:rPr>
                <w:spacing w:val="80"/>
                <w:sz w:val="20"/>
              </w:rPr>
              <w:t> </w:t>
            </w:r>
            <w:r>
              <w:rPr>
                <w:sz w:val="20"/>
              </w:rPr>
              <w:t>via </w:t>
            </w:r>
            <w:r>
              <w:rPr>
                <w:spacing w:val="-4"/>
                <w:sz w:val="20"/>
              </w:rPr>
              <w:t>BPA)</w:t>
            </w:r>
          </w:p>
        </w:tc>
        <w:tc>
          <w:tcPr>
            <w:tcW w:w="750" w:type="dxa"/>
          </w:tcPr>
          <w:p>
            <w:pPr>
              <w:pStyle w:val="TableParagraph"/>
              <w:spacing w:before="131"/>
              <w:ind w:left="24" w:right="8"/>
              <w:rPr>
                <w:sz w:val="20"/>
              </w:rPr>
            </w:pPr>
            <w:r>
              <w:rPr>
                <w:spacing w:val="-5"/>
                <w:sz w:val="20"/>
              </w:rPr>
              <w:t>405</w:t>
            </w:r>
          </w:p>
        </w:tc>
        <w:tc>
          <w:tcPr>
            <w:tcW w:w="4436" w:type="dxa"/>
          </w:tcPr>
          <w:p>
            <w:pPr>
              <w:pStyle w:val="TableParagraph"/>
              <w:spacing w:before="121"/>
              <w:ind w:left="24" w:right="10"/>
              <w:rPr>
                <w:sz w:val="20"/>
              </w:rPr>
            </w:pPr>
            <w:r>
              <w:rPr>
                <w:spacing w:val="-5"/>
                <w:sz w:val="20"/>
              </w:rPr>
              <w:t>414</w:t>
            </w:r>
          </w:p>
        </w:tc>
      </w:tr>
      <w:tr>
        <w:trPr>
          <w:trHeight w:val="282" w:hRule="atLeast"/>
        </w:trPr>
        <w:tc>
          <w:tcPr>
            <w:tcW w:w="4874" w:type="dxa"/>
          </w:tcPr>
          <w:p>
            <w:pPr>
              <w:pStyle w:val="TableParagraph"/>
              <w:spacing w:before="25"/>
              <w:ind w:left="71"/>
              <w:jc w:val="left"/>
              <w:rPr>
                <w:sz w:val="20"/>
              </w:rPr>
            </w:pPr>
            <w:r>
              <w:rPr>
                <w:sz w:val="20"/>
              </w:rPr>
              <w:t>Hospital</w:t>
            </w:r>
            <w:r>
              <w:rPr>
                <w:spacing w:val="-5"/>
                <w:sz w:val="20"/>
              </w:rPr>
              <w:t> Dia</w:t>
            </w:r>
          </w:p>
        </w:tc>
        <w:tc>
          <w:tcPr>
            <w:tcW w:w="750" w:type="dxa"/>
          </w:tcPr>
          <w:p>
            <w:pPr>
              <w:pStyle w:val="TableParagraph"/>
              <w:spacing w:before="25"/>
              <w:ind w:left="24" w:right="8"/>
              <w:rPr>
                <w:sz w:val="20"/>
              </w:rPr>
            </w:pPr>
            <w:r>
              <w:rPr>
                <w:spacing w:val="-5"/>
                <w:sz w:val="20"/>
              </w:rPr>
              <w:t>365</w:t>
            </w:r>
          </w:p>
        </w:tc>
        <w:tc>
          <w:tcPr>
            <w:tcW w:w="4436" w:type="dxa"/>
          </w:tcPr>
          <w:p>
            <w:pPr>
              <w:pStyle w:val="TableParagraph"/>
              <w:spacing w:before="15"/>
              <w:ind w:left="24" w:right="10"/>
              <w:rPr>
                <w:sz w:val="20"/>
              </w:rPr>
            </w:pPr>
            <w:r>
              <w:rPr>
                <w:spacing w:val="-5"/>
                <w:sz w:val="20"/>
              </w:rPr>
              <w:t>558</w:t>
            </w:r>
          </w:p>
        </w:tc>
      </w:tr>
    </w:tbl>
    <w:p>
      <w:pPr>
        <w:pStyle w:val="TableParagraph"/>
        <w:spacing w:after="0"/>
        <w:rPr>
          <w:sz w:val="20"/>
        </w:rPr>
        <w:sectPr>
          <w:pgSz w:w="11910" w:h="16840"/>
          <w:pgMar w:header="358" w:footer="560" w:top="1580" w:bottom="760" w:left="708" w:right="0"/>
        </w:sectPr>
      </w:pPr>
    </w:p>
    <w:p>
      <w:pPr>
        <w:pStyle w:val="BodyText"/>
        <w:rPr>
          <w:b/>
          <w:sz w:val="20"/>
        </w:rPr>
      </w:pPr>
    </w:p>
    <w:p>
      <w:pPr>
        <w:pStyle w:val="BodyText"/>
        <w:rPr>
          <w:b/>
          <w:sz w:val="20"/>
        </w:rPr>
      </w:pPr>
    </w:p>
    <w:p>
      <w:pPr>
        <w:pStyle w:val="BodyText"/>
        <w:spacing w:before="161"/>
        <w:rPr>
          <w:b/>
          <w:sz w:val="20"/>
        </w:rPr>
      </w:pPr>
    </w:p>
    <w:tbl>
      <w:tblPr>
        <w:tblW w:w="0" w:type="auto"/>
        <w:jc w:val="left"/>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74"/>
        <w:gridCol w:w="750"/>
        <w:gridCol w:w="4436"/>
      </w:tblGrid>
      <w:tr>
        <w:trPr>
          <w:trHeight w:val="282" w:hRule="atLeast"/>
        </w:trPr>
        <w:tc>
          <w:tcPr>
            <w:tcW w:w="4874" w:type="dxa"/>
          </w:tcPr>
          <w:p>
            <w:pPr>
              <w:pStyle w:val="TableParagraph"/>
              <w:spacing w:before="15"/>
              <w:ind w:left="76"/>
              <w:jc w:val="left"/>
              <w:rPr>
                <w:b/>
                <w:sz w:val="20"/>
              </w:rPr>
            </w:pPr>
            <w:r>
              <w:rPr>
                <w:b/>
                <w:sz w:val="20"/>
              </w:rPr>
              <w:t>Consulta</w:t>
            </w:r>
            <w:r>
              <w:rPr>
                <w:b/>
                <w:spacing w:val="-4"/>
                <w:sz w:val="20"/>
              </w:rPr>
              <w:t> </w:t>
            </w:r>
            <w:r>
              <w:rPr>
                <w:b/>
                <w:sz w:val="20"/>
              </w:rPr>
              <w:t>médica</w:t>
            </w:r>
            <w:r>
              <w:rPr>
                <w:b/>
                <w:spacing w:val="-2"/>
                <w:sz w:val="20"/>
              </w:rPr>
              <w:t> </w:t>
            </w:r>
            <w:r>
              <w:rPr>
                <w:b/>
                <w:sz w:val="20"/>
              </w:rPr>
              <w:t>na</w:t>
            </w:r>
            <w:r>
              <w:rPr>
                <w:b/>
                <w:spacing w:val="-3"/>
                <w:sz w:val="20"/>
              </w:rPr>
              <w:t> </w:t>
            </w:r>
            <w:r>
              <w:rPr>
                <w:b/>
                <w:sz w:val="20"/>
              </w:rPr>
              <w:t>atenção</w:t>
            </w:r>
            <w:r>
              <w:rPr>
                <w:b/>
                <w:spacing w:val="-2"/>
                <w:sz w:val="20"/>
              </w:rPr>
              <w:t> especializada</w:t>
            </w:r>
          </w:p>
        </w:tc>
        <w:tc>
          <w:tcPr>
            <w:tcW w:w="750" w:type="dxa"/>
          </w:tcPr>
          <w:p>
            <w:pPr>
              <w:pStyle w:val="TableParagraph"/>
              <w:spacing w:before="25"/>
              <w:ind w:left="24"/>
              <w:rPr>
                <w:b/>
                <w:sz w:val="20"/>
              </w:rPr>
            </w:pPr>
            <w:r>
              <w:rPr>
                <w:b/>
                <w:spacing w:val="-4"/>
                <w:sz w:val="20"/>
              </w:rPr>
              <w:t>Meta</w:t>
            </w:r>
          </w:p>
        </w:tc>
        <w:tc>
          <w:tcPr>
            <w:tcW w:w="4436" w:type="dxa"/>
          </w:tcPr>
          <w:p>
            <w:pPr>
              <w:pStyle w:val="TableParagraph"/>
              <w:spacing w:before="25"/>
              <w:ind w:left="24" w:right="4"/>
              <w:rPr>
                <w:b/>
                <w:sz w:val="20"/>
              </w:rPr>
            </w:pPr>
            <w:r>
              <w:rPr>
                <w:b/>
                <w:sz w:val="20"/>
              </w:rPr>
              <w:t>Produção</w:t>
            </w:r>
            <w:r>
              <w:rPr>
                <w:b/>
                <w:spacing w:val="-5"/>
                <w:sz w:val="20"/>
              </w:rPr>
              <w:t> </w:t>
            </w:r>
            <w:r>
              <w:rPr>
                <w:b/>
                <w:spacing w:val="-2"/>
                <w:sz w:val="20"/>
              </w:rPr>
              <w:t>Novembro/2025</w:t>
            </w:r>
          </w:p>
        </w:tc>
      </w:tr>
      <w:tr>
        <w:trPr>
          <w:trHeight w:val="280" w:hRule="atLeast"/>
        </w:trPr>
        <w:tc>
          <w:tcPr>
            <w:tcW w:w="4874" w:type="dxa"/>
          </w:tcPr>
          <w:p>
            <w:pPr>
              <w:pStyle w:val="TableParagraph"/>
              <w:spacing w:before="25"/>
              <w:ind w:left="76"/>
              <w:jc w:val="left"/>
              <w:rPr>
                <w:sz w:val="20"/>
              </w:rPr>
            </w:pPr>
            <w:r>
              <w:rPr>
                <w:spacing w:val="-2"/>
                <w:sz w:val="20"/>
              </w:rPr>
              <w:t>Anestesiologia</w:t>
            </w:r>
          </w:p>
        </w:tc>
        <w:tc>
          <w:tcPr>
            <w:tcW w:w="750" w:type="dxa"/>
            <w:vMerge w:val="restart"/>
            <w:tcBorders>
              <w:bottom w:val="single" w:sz="2" w:space="0" w:color="000000"/>
            </w:tcBorders>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13"/>
              <w:jc w:val="left"/>
              <w:rPr>
                <w:b/>
                <w:sz w:val="20"/>
              </w:rPr>
            </w:pPr>
          </w:p>
          <w:p>
            <w:pPr>
              <w:pStyle w:val="TableParagraph"/>
              <w:ind w:left="77"/>
              <w:jc w:val="left"/>
              <w:rPr>
                <w:sz w:val="20"/>
              </w:rPr>
            </w:pPr>
            <w:r>
              <w:rPr>
                <w:spacing w:val="-2"/>
                <w:sz w:val="20"/>
              </w:rPr>
              <w:t>3.400</w:t>
            </w:r>
          </w:p>
        </w:tc>
        <w:tc>
          <w:tcPr>
            <w:tcW w:w="4436" w:type="dxa"/>
          </w:tcPr>
          <w:p>
            <w:pPr>
              <w:pStyle w:val="TableParagraph"/>
              <w:spacing w:before="15"/>
              <w:ind w:left="24"/>
              <w:rPr>
                <w:sz w:val="20"/>
              </w:rPr>
            </w:pPr>
            <w:r>
              <w:rPr>
                <w:spacing w:val="-5"/>
                <w:sz w:val="20"/>
              </w:rPr>
              <w:t>76</w:t>
            </w:r>
          </w:p>
        </w:tc>
      </w:tr>
      <w:tr>
        <w:trPr>
          <w:trHeight w:val="282" w:hRule="atLeast"/>
        </w:trPr>
        <w:tc>
          <w:tcPr>
            <w:tcW w:w="4874" w:type="dxa"/>
          </w:tcPr>
          <w:p>
            <w:pPr>
              <w:pStyle w:val="TableParagraph"/>
              <w:spacing w:before="25"/>
              <w:ind w:left="76"/>
              <w:jc w:val="left"/>
              <w:rPr>
                <w:sz w:val="20"/>
              </w:rPr>
            </w:pPr>
            <w:r>
              <w:rPr>
                <w:spacing w:val="-2"/>
                <w:sz w:val="20"/>
              </w:rPr>
              <w:t>Cardiologia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127</w:t>
            </w:r>
          </w:p>
        </w:tc>
      </w:tr>
      <w:tr>
        <w:trPr>
          <w:trHeight w:val="280" w:hRule="atLeast"/>
        </w:trPr>
        <w:tc>
          <w:tcPr>
            <w:tcW w:w="4874" w:type="dxa"/>
          </w:tcPr>
          <w:p>
            <w:pPr>
              <w:pStyle w:val="TableParagraph"/>
              <w:spacing w:before="25"/>
              <w:ind w:left="76"/>
              <w:jc w:val="left"/>
              <w:rPr>
                <w:sz w:val="20"/>
              </w:rPr>
            </w:pPr>
            <w:r>
              <w:rPr>
                <w:sz w:val="20"/>
              </w:rPr>
              <w:t>Cirurgia</w:t>
            </w:r>
            <w:r>
              <w:rPr>
                <w:spacing w:val="-4"/>
                <w:sz w:val="20"/>
              </w:rPr>
              <w:t> </w:t>
            </w:r>
            <w:r>
              <w:rPr>
                <w:spacing w:val="-2"/>
                <w:sz w:val="20"/>
              </w:rPr>
              <w:t>Vascular</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76</w:t>
            </w:r>
          </w:p>
        </w:tc>
      </w:tr>
      <w:tr>
        <w:trPr>
          <w:trHeight w:val="281" w:hRule="atLeast"/>
        </w:trPr>
        <w:tc>
          <w:tcPr>
            <w:tcW w:w="4874" w:type="dxa"/>
          </w:tcPr>
          <w:p>
            <w:pPr>
              <w:pStyle w:val="TableParagraph"/>
              <w:spacing w:before="25"/>
              <w:ind w:left="76"/>
              <w:jc w:val="left"/>
              <w:rPr>
                <w:sz w:val="20"/>
              </w:rPr>
            </w:pPr>
            <w:r>
              <w:rPr>
                <w:sz w:val="20"/>
              </w:rPr>
              <w:t>Cirurgia</w:t>
            </w:r>
            <w:r>
              <w:rPr>
                <w:spacing w:val="-4"/>
                <w:sz w:val="20"/>
              </w:rPr>
              <w:t> </w:t>
            </w:r>
            <w:r>
              <w:rPr>
                <w:spacing w:val="-2"/>
                <w:sz w:val="20"/>
              </w:rPr>
              <w:t>Geral</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257</w:t>
            </w:r>
          </w:p>
        </w:tc>
      </w:tr>
      <w:tr>
        <w:trPr>
          <w:trHeight w:val="280" w:hRule="atLeast"/>
        </w:trPr>
        <w:tc>
          <w:tcPr>
            <w:tcW w:w="4874" w:type="dxa"/>
          </w:tcPr>
          <w:p>
            <w:pPr>
              <w:pStyle w:val="TableParagraph"/>
              <w:spacing w:before="25"/>
              <w:ind w:left="76"/>
              <w:jc w:val="left"/>
              <w:rPr>
                <w:sz w:val="20"/>
              </w:rPr>
            </w:pPr>
            <w:r>
              <w:rPr>
                <w:sz w:val="20"/>
              </w:rPr>
              <w:t>Cirurgia</w:t>
            </w:r>
            <w:r>
              <w:rPr>
                <w:spacing w:val="-4"/>
                <w:sz w:val="20"/>
              </w:rPr>
              <w:t> </w:t>
            </w:r>
            <w:r>
              <w:rPr>
                <w:spacing w:val="-2"/>
                <w:sz w:val="20"/>
              </w:rPr>
              <w:t>Torácica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13</w:t>
            </w:r>
          </w:p>
        </w:tc>
      </w:tr>
      <w:tr>
        <w:trPr>
          <w:trHeight w:val="282" w:hRule="atLeast"/>
        </w:trPr>
        <w:tc>
          <w:tcPr>
            <w:tcW w:w="4874" w:type="dxa"/>
          </w:tcPr>
          <w:p>
            <w:pPr>
              <w:pStyle w:val="TableParagraph"/>
              <w:spacing w:before="25"/>
              <w:ind w:left="76"/>
              <w:jc w:val="left"/>
              <w:rPr>
                <w:sz w:val="20"/>
              </w:rPr>
            </w:pPr>
            <w:r>
              <w:rPr>
                <w:sz w:val="20"/>
              </w:rPr>
              <w:t>Clínica</w:t>
            </w:r>
            <w:r>
              <w:rPr>
                <w:spacing w:val="-3"/>
                <w:sz w:val="20"/>
              </w:rPr>
              <w:t> </w:t>
            </w:r>
            <w:r>
              <w:rPr>
                <w:spacing w:val="-2"/>
                <w:sz w:val="20"/>
              </w:rPr>
              <w:t>Geral</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15</w:t>
            </w:r>
          </w:p>
        </w:tc>
      </w:tr>
      <w:tr>
        <w:trPr>
          <w:trHeight w:val="280" w:hRule="atLeast"/>
        </w:trPr>
        <w:tc>
          <w:tcPr>
            <w:tcW w:w="4874" w:type="dxa"/>
          </w:tcPr>
          <w:p>
            <w:pPr>
              <w:pStyle w:val="TableParagraph"/>
              <w:spacing w:before="25"/>
              <w:ind w:left="76"/>
              <w:jc w:val="left"/>
              <w:rPr>
                <w:sz w:val="20"/>
              </w:rPr>
            </w:pPr>
            <w:r>
              <w:rPr>
                <w:spacing w:val="-2"/>
                <w:sz w:val="20"/>
              </w:rPr>
              <w:t>Geriatria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61</w:t>
            </w:r>
          </w:p>
        </w:tc>
      </w:tr>
      <w:tr>
        <w:trPr>
          <w:trHeight w:val="282" w:hRule="atLeast"/>
        </w:trPr>
        <w:tc>
          <w:tcPr>
            <w:tcW w:w="4874" w:type="dxa"/>
          </w:tcPr>
          <w:p>
            <w:pPr>
              <w:pStyle w:val="TableParagraph"/>
              <w:spacing w:before="25"/>
              <w:ind w:left="76"/>
              <w:jc w:val="left"/>
              <w:rPr>
                <w:sz w:val="20"/>
              </w:rPr>
            </w:pPr>
            <w:r>
              <w:rPr>
                <w:sz w:val="20"/>
              </w:rPr>
              <w:t>Neurologia</w:t>
            </w:r>
            <w:r>
              <w:rPr>
                <w:spacing w:val="-5"/>
                <w:sz w:val="20"/>
              </w:rPr>
              <w:t> </w:t>
            </w:r>
            <w:r>
              <w:rPr>
                <w:spacing w:val="-2"/>
                <w:sz w:val="20"/>
              </w:rPr>
              <w:t>Clínica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181</w:t>
            </w:r>
          </w:p>
        </w:tc>
      </w:tr>
      <w:tr>
        <w:trPr>
          <w:trHeight w:val="280" w:hRule="atLeast"/>
        </w:trPr>
        <w:tc>
          <w:tcPr>
            <w:tcW w:w="4874" w:type="dxa"/>
          </w:tcPr>
          <w:p>
            <w:pPr>
              <w:pStyle w:val="TableParagraph"/>
              <w:spacing w:before="25"/>
              <w:ind w:left="76"/>
              <w:jc w:val="left"/>
              <w:rPr>
                <w:sz w:val="20"/>
              </w:rPr>
            </w:pPr>
            <w:r>
              <w:rPr>
                <w:spacing w:val="-2"/>
                <w:sz w:val="20"/>
              </w:rPr>
              <w:t>Neurocirurgia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91</w:t>
            </w:r>
          </w:p>
        </w:tc>
      </w:tr>
      <w:tr>
        <w:trPr>
          <w:trHeight w:val="282" w:hRule="atLeast"/>
        </w:trPr>
        <w:tc>
          <w:tcPr>
            <w:tcW w:w="4874" w:type="dxa"/>
          </w:tcPr>
          <w:p>
            <w:pPr>
              <w:pStyle w:val="TableParagraph"/>
              <w:spacing w:before="25"/>
              <w:ind w:left="76"/>
              <w:jc w:val="left"/>
              <w:rPr>
                <w:sz w:val="20"/>
              </w:rPr>
            </w:pPr>
            <w:r>
              <w:rPr>
                <w:spacing w:val="-2"/>
                <w:sz w:val="20"/>
              </w:rPr>
              <w:t>Otorrinolaringologia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27</w:t>
            </w:r>
          </w:p>
        </w:tc>
      </w:tr>
      <w:tr>
        <w:trPr>
          <w:trHeight w:val="280" w:hRule="atLeast"/>
        </w:trPr>
        <w:tc>
          <w:tcPr>
            <w:tcW w:w="4874" w:type="dxa"/>
          </w:tcPr>
          <w:p>
            <w:pPr>
              <w:pStyle w:val="TableParagraph"/>
              <w:spacing w:before="25"/>
              <w:ind w:left="76"/>
              <w:jc w:val="left"/>
              <w:rPr>
                <w:sz w:val="20"/>
              </w:rPr>
            </w:pPr>
            <w:r>
              <w:rPr>
                <w:sz w:val="20"/>
              </w:rPr>
              <w:t>Ortopedia</w:t>
            </w:r>
            <w:r>
              <w:rPr>
                <w:spacing w:val="-3"/>
                <w:sz w:val="20"/>
              </w:rPr>
              <w:t> </w:t>
            </w:r>
            <w:r>
              <w:rPr>
                <w:sz w:val="20"/>
              </w:rPr>
              <w:t>e</w:t>
            </w:r>
            <w:r>
              <w:rPr>
                <w:spacing w:val="-3"/>
                <w:sz w:val="20"/>
              </w:rPr>
              <w:t> </w:t>
            </w:r>
            <w:r>
              <w:rPr>
                <w:spacing w:val="-2"/>
                <w:sz w:val="20"/>
              </w:rPr>
              <w:t>Traumatologia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4"/>
                <w:sz w:val="20"/>
              </w:rPr>
              <w:t>1650</w:t>
            </w:r>
          </w:p>
        </w:tc>
      </w:tr>
      <w:tr>
        <w:trPr>
          <w:trHeight w:val="282" w:hRule="atLeast"/>
        </w:trPr>
        <w:tc>
          <w:tcPr>
            <w:tcW w:w="4874" w:type="dxa"/>
          </w:tcPr>
          <w:p>
            <w:pPr>
              <w:pStyle w:val="TableParagraph"/>
              <w:spacing w:before="25"/>
              <w:ind w:left="76"/>
              <w:jc w:val="left"/>
              <w:rPr>
                <w:sz w:val="20"/>
              </w:rPr>
            </w:pPr>
            <w:r>
              <w:rPr>
                <w:spacing w:val="-2"/>
                <w:sz w:val="20"/>
              </w:rPr>
              <w:t>Endocrinologia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66</w:t>
            </w:r>
          </w:p>
        </w:tc>
      </w:tr>
      <w:tr>
        <w:trPr>
          <w:trHeight w:val="280" w:hRule="atLeast"/>
        </w:trPr>
        <w:tc>
          <w:tcPr>
            <w:tcW w:w="4874" w:type="dxa"/>
          </w:tcPr>
          <w:p>
            <w:pPr>
              <w:pStyle w:val="TableParagraph"/>
              <w:spacing w:before="25"/>
              <w:ind w:left="76"/>
              <w:jc w:val="left"/>
              <w:rPr>
                <w:sz w:val="20"/>
              </w:rPr>
            </w:pPr>
            <w:r>
              <w:rPr>
                <w:spacing w:val="-2"/>
                <w:sz w:val="20"/>
              </w:rPr>
              <w:t>Nefrologia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25</w:t>
            </w:r>
          </w:p>
        </w:tc>
      </w:tr>
      <w:tr>
        <w:trPr>
          <w:trHeight w:val="281" w:hRule="atLeast"/>
        </w:trPr>
        <w:tc>
          <w:tcPr>
            <w:tcW w:w="4874" w:type="dxa"/>
          </w:tcPr>
          <w:p>
            <w:pPr>
              <w:pStyle w:val="TableParagraph"/>
              <w:spacing w:before="25"/>
              <w:ind w:left="76"/>
              <w:jc w:val="left"/>
              <w:rPr>
                <w:sz w:val="20"/>
              </w:rPr>
            </w:pPr>
            <w:r>
              <w:rPr>
                <w:spacing w:val="-2"/>
                <w:sz w:val="20"/>
              </w:rPr>
              <w:t>Infectologia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84</w:t>
            </w:r>
          </w:p>
        </w:tc>
      </w:tr>
      <w:tr>
        <w:trPr>
          <w:trHeight w:val="280" w:hRule="atLeast"/>
        </w:trPr>
        <w:tc>
          <w:tcPr>
            <w:tcW w:w="4874" w:type="dxa"/>
          </w:tcPr>
          <w:p>
            <w:pPr>
              <w:pStyle w:val="TableParagraph"/>
              <w:spacing w:before="25"/>
              <w:ind w:left="76"/>
              <w:jc w:val="left"/>
              <w:rPr>
                <w:sz w:val="20"/>
              </w:rPr>
            </w:pPr>
            <w:r>
              <w:rPr>
                <w:spacing w:val="-2"/>
                <w:sz w:val="20"/>
              </w:rPr>
              <w:t>Gastroenterologia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41</w:t>
            </w:r>
          </w:p>
        </w:tc>
      </w:tr>
      <w:tr>
        <w:trPr>
          <w:trHeight w:val="282" w:hRule="atLeast"/>
        </w:trPr>
        <w:tc>
          <w:tcPr>
            <w:tcW w:w="4874" w:type="dxa"/>
          </w:tcPr>
          <w:p>
            <w:pPr>
              <w:pStyle w:val="TableParagraph"/>
              <w:spacing w:before="25"/>
              <w:ind w:left="76"/>
              <w:jc w:val="left"/>
              <w:rPr>
                <w:sz w:val="20"/>
              </w:rPr>
            </w:pPr>
            <w:r>
              <w:rPr>
                <w:spacing w:val="-2"/>
                <w:sz w:val="20"/>
              </w:rPr>
              <w:t>Pneumologia/Tisiologia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34</w:t>
            </w:r>
          </w:p>
        </w:tc>
      </w:tr>
      <w:tr>
        <w:trPr>
          <w:trHeight w:val="280" w:hRule="atLeast"/>
        </w:trPr>
        <w:tc>
          <w:tcPr>
            <w:tcW w:w="4874" w:type="dxa"/>
          </w:tcPr>
          <w:p>
            <w:pPr>
              <w:pStyle w:val="TableParagraph"/>
              <w:spacing w:before="25"/>
              <w:ind w:left="76"/>
              <w:jc w:val="left"/>
              <w:rPr>
                <w:sz w:val="20"/>
              </w:rPr>
            </w:pPr>
            <w:r>
              <w:rPr>
                <w:spacing w:val="-2"/>
                <w:sz w:val="20"/>
              </w:rPr>
              <w:t>Urologia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15</w:t>
            </w:r>
          </w:p>
        </w:tc>
      </w:tr>
      <w:tr>
        <w:trPr>
          <w:trHeight w:val="281" w:hRule="atLeast"/>
        </w:trPr>
        <w:tc>
          <w:tcPr>
            <w:tcW w:w="4874" w:type="dxa"/>
          </w:tcPr>
          <w:p>
            <w:pPr>
              <w:pStyle w:val="TableParagraph"/>
              <w:spacing w:before="25"/>
              <w:ind w:left="76"/>
              <w:jc w:val="left"/>
              <w:rPr>
                <w:sz w:val="20"/>
              </w:rPr>
            </w:pPr>
            <w:r>
              <w:rPr>
                <w:spacing w:val="-2"/>
                <w:sz w:val="20"/>
              </w:rPr>
              <w:t>Hematologia</w:t>
            </w:r>
          </w:p>
        </w:tc>
        <w:tc>
          <w:tcPr>
            <w:tcW w:w="750" w:type="dxa"/>
            <w:vMerge/>
            <w:tcBorders>
              <w:top w:val="nil"/>
              <w:bottom w:val="single" w:sz="2" w:space="0" w:color="000000"/>
            </w:tcBorders>
          </w:tcPr>
          <w:p>
            <w:pPr>
              <w:rPr>
                <w:sz w:val="2"/>
                <w:szCs w:val="2"/>
              </w:rPr>
            </w:pPr>
          </w:p>
        </w:tc>
        <w:tc>
          <w:tcPr>
            <w:tcW w:w="4436" w:type="dxa"/>
          </w:tcPr>
          <w:p>
            <w:pPr>
              <w:pStyle w:val="TableParagraph"/>
              <w:spacing w:before="15"/>
              <w:ind w:left="24"/>
              <w:rPr>
                <w:sz w:val="20"/>
              </w:rPr>
            </w:pPr>
            <w:r>
              <w:rPr>
                <w:spacing w:val="-5"/>
                <w:sz w:val="20"/>
              </w:rPr>
              <w:t>45</w:t>
            </w:r>
          </w:p>
        </w:tc>
      </w:tr>
      <w:tr>
        <w:trPr>
          <w:trHeight w:val="280" w:hRule="atLeast"/>
        </w:trPr>
        <w:tc>
          <w:tcPr>
            <w:tcW w:w="4874" w:type="dxa"/>
            <w:tcBorders>
              <w:left w:val="single" w:sz="8" w:space="0" w:color="000000"/>
              <w:bottom w:val="single" w:sz="8" w:space="0" w:color="000000"/>
            </w:tcBorders>
          </w:tcPr>
          <w:p>
            <w:pPr>
              <w:pStyle w:val="TableParagraph"/>
              <w:spacing w:before="15"/>
              <w:ind w:left="71"/>
              <w:jc w:val="left"/>
              <w:rPr>
                <w:b/>
                <w:sz w:val="20"/>
              </w:rPr>
            </w:pPr>
            <w:r>
              <w:rPr>
                <w:b/>
                <w:spacing w:val="-2"/>
                <w:sz w:val="20"/>
              </w:rPr>
              <w:t>Total</w:t>
            </w:r>
          </w:p>
        </w:tc>
        <w:tc>
          <w:tcPr>
            <w:tcW w:w="750" w:type="dxa"/>
            <w:vMerge/>
            <w:tcBorders>
              <w:top w:val="nil"/>
              <w:bottom w:val="single" w:sz="2" w:space="0" w:color="000000"/>
            </w:tcBorders>
          </w:tcPr>
          <w:p>
            <w:pPr>
              <w:rPr>
                <w:sz w:val="2"/>
                <w:szCs w:val="2"/>
              </w:rPr>
            </w:pPr>
          </w:p>
        </w:tc>
        <w:tc>
          <w:tcPr>
            <w:tcW w:w="4436" w:type="dxa"/>
            <w:tcBorders>
              <w:bottom w:val="single" w:sz="8" w:space="0" w:color="000000"/>
              <w:right w:val="single" w:sz="8" w:space="0" w:color="000000"/>
            </w:tcBorders>
          </w:tcPr>
          <w:p>
            <w:pPr>
              <w:pStyle w:val="TableParagraph"/>
              <w:spacing w:before="15"/>
              <w:ind w:left="29"/>
              <w:rPr>
                <w:b/>
                <w:sz w:val="20"/>
              </w:rPr>
            </w:pPr>
            <w:r>
              <w:rPr>
                <w:b/>
                <w:spacing w:val="-4"/>
                <w:sz w:val="20"/>
              </w:rPr>
              <w:t>2884</w:t>
            </w:r>
          </w:p>
        </w:tc>
      </w:tr>
      <w:tr>
        <w:trPr>
          <w:trHeight w:val="262" w:hRule="atLeast"/>
        </w:trPr>
        <w:tc>
          <w:tcPr>
            <w:tcW w:w="4874" w:type="dxa"/>
            <w:tcBorders>
              <w:top w:val="single" w:sz="8" w:space="0" w:color="000000"/>
              <w:left w:val="single" w:sz="2" w:space="0" w:color="000000"/>
              <w:bottom w:val="single" w:sz="2" w:space="0" w:color="000000"/>
              <w:right w:val="single" w:sz="2" w:space="0" w:color="000000"/>
            </w:tcBorders>
          </w:tcPr>
          <w:p>
            <w:pPr>
              <w:pStyle w:val="TableParagraph"/>
              <w:spacing w:line="225" w:lineRule="exact" w:before="17"/>
              <w:ind w:left="79"/>
              <w:jc w:val="left"/>
              <w:rPr>
                <w:b/>
                <w:sz w:val="20"/>
              </w:rPr>
            </w:pPr>
            <w:r>
              <w:rPr>
                <w:b/>
                <w:sz w:val="20"/>
              </w:rPr>
              <w:t>Consulta</w:t>
            </w:r>
            <w:r>
              <w:rPr>
                <w:b/>
                <w:spacing w:val="-5"/>
                <w:sz w:val="20"/>
              </w:rPr>
              <w:t> </w:t>
            </w:r>
            <w:r>
              <w:rPr>
                <w:b/>
                <w:sz w:val="20"/>
              </w:rPr>
              <w:t>multiprofissional</w:t>
            </w:r>
            <w:r>
              <w:rPr>
                <w:b/>
                <w:spacing w:val="-4"/>
                <w:sz w:val="20"/>
              </w:rPr>
              <w:t> </w:t>
            </w:r>
            <w:r>
              <w:rPr>
                <w:b/>
                <w:sz w:val="20"/>
              </w:rPr>
              <w:t>na</w:t>
            </w:r>
            <w:r>
              <w:rPr>
                <w:b/>
                <w:spacing w:val="-4"/>
                <w:sz w:val="20"/>
              </w:rPr>
              <w:t> </w:t>
            </w:r>
            <w:r>
              <w:rPr>
                <w:b/>
                <w:sz w:val="20"/>
              </w:rPr>
              <w:t>atenção</w:t>
            </w:r>
            <w:r>
              <w:rPr>
                <w:b/>
                <w:spacing w:val="-4"/>
                <w:sz w:val="20"/>
              </w:rPr>
              <w:t> </w:t>
            </w:r>
            <w:r>
              <w:rPr>
                <w:b/>
                <w:spacing w:val="-2"/>
                <w:sz w:val="20"/>
              </w:rPr>
              <w:t>especializada</w:t>
            </w:r>
          </w:p>
        </w:tc>
        <w:tc>
          <w:tcPr>
            <w:tcW w:w="750" w:type="dxa"/>
            <w:tcBorders>
              <w:top w:val="single" w:sz="2" w:space="0" w:color="000000"/>
              <w:left w:val="single" w:sz="2" w:space="0" w:color="000000"/>
              <w:right w:val="single" w:sz="2" w:space="0" w:color="000000"/>
            </w:tcBorders>
          </w:tcPr>
          <w:p>
            <w:pPr>
              <w:pStyle w:val="TableParagraph"/>
              <w:spacing w:line="225" w:lineRule="exact" w:before="17"/>
              <w:ind w:left="24"/>
              <w:rPr>
                <w:b/>
                <w:sz w:val="20"/>
              </w:rPr>
            </w:pPr>
            <w:r>
              <w:rPr>
                <w:b/>
                <w:spacing w:val="-4"/>
                <w:sz w:val="20"/>
              </w:rPr>
              <w:t>Meta</w:t>
            </w:r>
          </w:p>
        </w:tc>
        <w:tc>
          <w:tcPr>
            <w:tcW w:w="4436" w:type="dxa"/>
            <w:tcBorders>
              <w:top w:val="single" w:sz="8" w:space="0" w:color="000000"/>
              <w:left w:val="single" w:sz="2" w:space="0" w:color="000000"/>
              <w:bottom w:val="single" w:sz="2" w:space="0" w:color="000000"/>
              <w:right w:val="single" w:sz="2" w:space="0" w:color="000000"/>
            </w:tcBorders>
          </w:tcPr>
          <w:p>
            <w:pPr>
              <w:pStyle w:val="TableParagraph"/>
              <w:spacing w:line="225" w:lineRule="exact" w:before="17"/>
              <w:ind w:left="20"/>
              <w:rPr>
                <w:b/>
                <w:sz w:val="20"/>
              </w:rPr>
            </w:pPr>
            <w:r>
              <w:rPr>
                <w:b/>
                <w:sz w:val="20"/>
              </w:rPr>
              <w:t>Produção</w:t>
            </w:r>
            <w:r>
              <w:rPr>
                <w:b/>
                <w:spacing w:val="-5"/>
                <w:sz w:val="20"/>
              </w:rPr>
              <w:t> </w:t>
            </w:r>
            <w:r>
              <w:rPr>
                <w:b/>
                <w:spacing w:val="-2"/>
                <w:sz w:val="20"/>
              </w:rPr>
              <w:t>Novembro/2025</w:t>
            </w:r>
          </w:p>
        </w:tc>
      </w:tr>
      <w:tr>
        <w:trPr>
          <w:trHeight w:val="281" w:hRule="atLeast"/>
        </w:trPr>
        <w:tc>
          <w:tcPr>
            <w:tcW w:w="4874" w:type="dxa"/>
            <w:tcBorders>
              <w:top w:val="single" w:sz="2" w:space="0" w:color="000000"/>
            </w:tcBorders>
          </w:tcPr>
          <w:p>
            <w:pPr>
              <w:pStyle w:val="TableParagraph"/>
              <w:spacing w:before="27"/>
              <w:ind w:left="76"/>
              <w:jc w:val="left"/>
              <w:rPr>
                <w:sz w:val="20"/>
              </w:rPr>
            </w:pPr>
            <w:r>
              <w:rPr>
                <w:sz w:val="20"/>
              </w:rPr>
              <w:t>Buco</w:t>
            </w:r>
            <w:r>
              <w:rPr>
                <w:spacing w:val="-3"/>
                <w:sz w:val="20"/>
              </w:rPr>
              <w:t> </w:t>
            </w:r>
            <w:r>
              <w:rPr>
                <w:sz w:val="20"/>
              </w:rPr>
              <w:t>Maxilo</w:t>
            </w:r>
            <w:r>
              <w:rPr>
                <w:spacing w:val="-3"/>
                <w:sz w:val="20"/>
              </w:rPr>
              <w:t> </w:t>
            </w:r>
            <w:r>
              <w:rPr>
                <w:spacing w:val="-2"/>
                <w:sz w:val="20"/>
              </w:rPr>
              <w:t>Facial</w:t>
            </w:r>
          </w:p>
        </w:tc>
        <w:tc>
          <w:tcPr>
            <w:tcW w:w="750" w:type="dxa"/>
            <w:tcBorders>
              <w:bottom w:val="nil"/>
            </w:tcBorders>
          </w:tcPr>
          <w:p>
            <w:pPr>
              <w:pStyle w:val="TableParagraph"/>
              <w:jc w:val="left"/>
              <w:rPr>
                <w:sz w:val="20"/>
              </w:rPr>
            </w:pPr>
          </w:p>
        </w:tc>
        <w:tc>
          <w:tcPr>
            <w:tcW w:w="4436" w:type="dxa"/>
            <w:tcBorders>
              <w:top w:val="single" w:sz="2" w:space="0" w:color="000000"/>
            </w:tcBorders>
          </w:tcPr>
          <w:p>
            <w:pPr>
              <w:pStyle w:val="TableParagraph"/>
              <w:spacing w:before="17"/>
              <w:ind w:left="24"/>
              <w:rPr>
                <w:sz w:val="20"/>
              </w:rPr>
            </w:pPr>
            <w:r>
              <w:rPr>
                <w:spacing w:val="-5"/>
                <w:sz w:val="20"/>
              </w:rPr>
              <w:t>96</w:t>
            </w:r>
          </w:p>
        </w:tc>
      </w:tr>
      <w:tr>
        <w:trPr>
          <w:trHeight w:val="282" w:hRule="atLeast"/>
        </w:trPr>
        <w:tc>
          <w:tcPr>
            <w:tcW w:w="5624" w:type="dxa"/>
            <w:gridSpan w:val="2"/>
            <w:tcBorders>
              <w:top w:val="nil"/>
              <w:bottom w:val="nil"/>
            </w:tcBorders>
          </w:tcPr>
          <w:p>
            <w:pPr>
              <w:pStyle w:val="TableParagraph"/>
              <w:spacing w:before="25"/>
              <w:ind w:left="76"/>
              <w:jc w:val="left"/>
              <w:rPr>
                <w:sz w:val="20"/>
              </w:rPr>
            </w:pPr>
            <w:r>
              <w:rPr>
                <w:spacing w:val="-2"/>
                <w:sz w:val="20"/>
              </w:rPr>
              <w:t>Enfermagem</w:t>
            </w:r>
          </w:p>
        </w:tc>
        <w:tc>
          <w:tcPr>
            <w:tcW w:w="4436" w:type="dxa"/>
          </w:tcPr>
          <w:p>
            <w:pPr>
              <w:pStyle w:val="TableParagraph"/>
              <w:spacing w:before="15"/>
              <w:ind w:left="24"/>
              <w:rPr>
                <w:sz w:val="20"/>
              </w:rPr>
            </w:pPr>
            <w:r>
              <w:rPr>
                <w:spacing w:val="-4"/>
                <w:sz w:val="20"/>
              </w:rPr>
              <w:t>1558</w:t>
            </w:r>
          </w:p>
        </w:tc>
      </w:tr>
      <w:tr>
        <w:trPr>
          <w:trHeight w:val="280" w:hRule="atLeast"/>
        </w:trPr>
        <w:tc>
          <w:tcPr>
            <w:tcW w:w="4874" w:type="dxa"/>
          </w:tcPr>
          <w:p>
            <w:pPr>
              <w:pStyle w:val="TableParagraph"/>
              <w:spacing w:before="25"/>
              <w:ind w:left="76"/>
              <w:jc w:val="left"/>
              <w:rPr>
                <w:sz w:val="20"/>
              </w:rPr>
            </w:pPr>
            <w:r>
              <w:rPr>
                <w:spacing w:val="-2"/>
                <w:sz w:val="20"/>
              </w:rPr>
              <w:t>Nutrição</w:t>
            </w:r>
          </w:p>
        </w:tc>
        <w:tc>
          <w:tcPr>
            <w:tcW w:w="750" w:type="dxa"/>
            <w:vMerge w:val="restart"/>
            <w:tcBorders>
              <w:top w:val="nil"/>
              <w:bottom w:val="nil"/>
            </w:tcBorders>
          </w:tcPr>
          <w:p>
            <w:pPr>
              <w:pStyle w:val="TableParagraph"/>
              <w:spacing w:before="25"/>
              <w:ind w:left="157"/>
              <w:jc w:val="left"/>
              <w:rPr>
                <w:sz w:val="20"/>
              </w:rPr>
            </w:pPr>
            <w:r>
              <w:rPr>
                <w:spacing w:val="-2"/>
                <w:sz w:val="20"/>
              </w:rPr>
              <w:t>1.700</w:t>
            </w:r>
          </w:p>
        </w:tc>
        <w:tc>
          <w:tcPr>
            <w:tcW w:w="4436" w:type="dxa"/>
          </w:tcPr>
          <w:p>
            <w:pPr>
              <w:pStyle w:val="TableParagraph"/>
              <w:spacing w:before="15"/>
              <w:ind w:left="24"/>
              <w:rPr>
                <w:sz w:val="20"/>
              </w:rPr>
            </w:pPr>
            <w:r>
              <w:rPr>
                <w:spacing w:val="-5"/>
                <w:sz w:val="20"/>
              </w:rPr>
              <w:t>26</w:t>
            </w:r>
          </w:p>
        </w:tc>
      </w:tr>
      <w:tr>
        <w:trPr>
          <w:trHeight w:val="282" w:hRule="atLeast"/>
        </w:trPr>
        <w:tc>
          <w:tcPr>
            <w:tcW w:w="4874" w:type="dxa"/>
          </w:tcPr>
          <w:p>
            <w:pPr>
              <w:pStyle w:val="TableParagraph"/>
              <w:spacing w:before="25"/>
              <w:ind w:left="76"/>
              <w:jc w:val="left"/>
              <w:rPr>
                <w:sz w:val="20"/>
              </w:rPr>
            </w:pPr>
            <w:r>
              <w:rPr>
                <w:sz w:val="20"/>
              </w:rPr>
              <w:t>Terapia</w:t>
            </w:r>
            <w:r>
              <w:rPr>
                <w:spacing w:val="-4"/>
                <w:sz w:val="20"/>
              </w:rPr>
              <w:t> </w:t>
            </w:r>
            <w:r>
              <w:rPr>
                <w:spacing w:val="-2"/>
                <w:sz w:val="20"/>
              </w:rPr>
              <w:t>Ocupacional</w:t>
            </w:r>
          </w:p>
        </w:tc>
        <w:tc>
          <w:tcPr>
            <w:tcW w:w="750" w:type="dxa"/>
            <w:vMerge/>
            <w:tcBorders>
              <w:top w:val="nil"/>
              <w:bottom w:val="nil"/>
            </w:tcBorders>
          </w:tcPr>
          <w:p>
            <w:pPr>
              <w:rPr>
                <w:sz w:val="2"/>
                <w:szCs w:val="2"/>
              </w:rPr>
            </w:pPr>
          </w:p>
        </w:tc>
        <w:tc>
          <w:tcPr>
            <w:tcW w:w="4436" w:type="dxa"/>
          </w:tcPr>
          <w:p>
            <w:pPr>
              <w:pStyle w:val="TableParagraph"/>
              <w:spacing w:before="15"/>
              <w:ind w:left="24"/>
              <w:rPr>
                <w:sz w:val="20"/>
              </w:rPr>
            </w:pPr>
            <w:r>
              <w:rPr>
                <w:spacing w:val="-5"/>
                <w:sz w:val="20"/>
              </w:rPr>
              <w:t>49</w:t>
            </w:r>
          </w:p>
        </w:tc>
      </w:tr>
      <w:tr>
        <w:trPr>
          <w:trHeight w:val="280" w:hRule="atLeast"/>
        </w:trPr>
        <w:tc>
          <w:tcPr>
            <w:tcW w:w="4874" w:type="dxa"/>
          </w:tcPr>
          <w:p>
            <w:pPr>
              <w:pStyle w:val="TableParagraph"/>
              <w:spacing w:before="25"/>
              <w:ind w:left="76"/>
              <w:jc w:val="left"/>
              <w:rPr>
                <w:b/>
                <w:sz w:val="20"/>
              </w:rPr>
            </w:pPr>
            <w:r>
              <w:rPr>
                <w:b/>
                <w:spacing w:val="-2"/>
                <w:sz w:val="20"/>
              </w:rPr>
              <w:t>Total</w:t>
            </w:r>
          </w:p>
        </w:tc>
        <w:tc>
          <w:tcPr>
            <w:tcW w:w="750" w:type="dxa"/>
            <w:vMerge/>
            <w:tcBorders>
              <w:top w:val="nil"/>
              <w:bottom w:val="nil"/>
            </w:tcBorders>
          </w:tcPr>
          <w:p>
            <w:pPr>
              <w:rPr>
                <w:sz w:val="2"/>
                <w:szCs w:val="2"/>
              </w:rPr>
            </w:pPr>
          </w:p>
        </w:tc>
        <w:tc>
          <w:tcPr>
            <w:tcW w:w="4436" w:type="dxa"/>
          </w:tcPr>
          <w:p>
            <w:pPr>
              <w:pStyle w:val="TableParagraph"/>
              <w:spacing w:before="15"/>
              <w:ind w:left="24"/>
              <w:rPr>
                <w:b/>
                <w:sz w:val="20"/>
              </w:rPr>
            </w:pPr>
            <w:r>
              <w:rPr>
                <w:b/>
                <w:spacing w:val="-4"/>
                <w:sz w:val="20"/>
              </w:rPr>
              <w:t>1729</w:t>
            </w:r>
          </w:p>
        </w:tc>
      </w:tr>
    </w:tbl>
    <w:p>
      <w:pPr>
        <w:spacing w:before="4"/>
        <w:ind w:left="6506" w:right="0" w:firstLine="0"/>
        <w:jc w:val="left"/>
        <w:rPr>
          <w:i/>
          <w:sz w:val="24"/>
        </w:rPr>
      </w:pPr>
      <w:bookmarkStart w:name="Fonte: Sistema MV atualizado em 03/12." w:id="17"/>
      <w:bookmarkEnd w:id="17"/>
      <w:r>
        <w:rPr/>
      </w:r>
      <w:r>
        <w:rPr>
          <w:i/>
          <w:sz w:val="24"/>
        </w:rPr>
        <w:t>Fonte:</w:t>
      </w:r>
      <w:r>
        <w:rPr>
          <w:i/>
          <w:spacing w:val="-5"/>
          <w:sz w:val="24"/>
        </w:rPr>
        <w:t> </w:t>
      </w:r>
      <w:r>
        <w:rPr>
          <w:i/>
          <w:sz w:val="24"/>
        </w:rPr>
        <w:t>Sistema</w:t>
      </w:r>
      <w:r>
        <w:rPr>
          <w:i/>
          <w:spacing w:val="-3"/>
          <w:sz w:val="24"/>
        </w:rPr>
        <w:t> </w:t>
      </w:r>
      <w:r>
        <w:rPr>
          <w:i/>
          <w:sz w:val="24"/>
        </w:rPr>
        <w:t>MV</w:t>
      </w:r>
      <w:r>
        <w:rPr>
          <w:i/>
          <w:spacing w:val="-5"/>
          <w:sz w:val="24"/>
        </w:rPr>
        <w:t> </w:t>
      </w:r>
      <w:r>
        <w:rPr>
          <w:i/>
          <w:sz w:val="24"/>
        </w:rPr>
        <w:t>atualizado</w:t>
      </w:r>
      <w:r>
        <w:rPr>
          <w:i/>
          <w:spacing w:val="-2"/>
          <w:sz w:val="24"/>
        </w:rPr>
        <w:t> </w:t>
      </w:r>
      <w:r>
        <w:rPr>
          <w:i/>
          <w:sz w:val="24"/>
        </w:rPr>
        <w:t>em</w:t>
      </w:r>
      <w:r>
        <w:rPr>
          <w:i/>
          <w:spacing w:val="-3"/>
          <w:sz w:val="24"/>
        </w:rPr>
        <w:t> </w:t>
      </w:r>
      <w:r>
        <w:rPr>
          <w:i/>
          <w:spacing w:val="-2"/>
          <w:sz w:val="24"/>
        </w:rPr>
        <w:t>03/12.</w:t>
      </w:r>
    </w:p>
    <w:p>
      <w:pPr>
        <w:pStyle w:val="BodyText"/>
        <w:spacing w:before="112"/>
        <w:rPr>
          <w:i/>
        </w:rPr>
      </w:pPr>
    </w:p>
    <w:p>
      <w:pPr>
        <w:pStyle w:val="ListParagraph"/>
        <w:numPr>
          <w:ilvl w:val="1"/>
          <w:numId w:val="2"/>
        </w:numPr>
        <w:tabs>
          <w:tab w:pos="1313" w:val="left" w:leader="none"/>
        </w:tabs>
        <w:spacing w:line="240" w:lineRule="auto" w:before="1" w:after="0"/>
        <w:ind w:left="1313" w:right="0" w:hanging="720"/>
        <w:jc w:val="left"/>
        <w:rPr>
          <w:b/>
          <w:sz w:val="24"/>
        </w:rPr>
      </w:pPr>
      <w:bookmarkStart w:name="3.1. Análise Crítica" w:id="18"/>
      <w:bookmarkEnd w:id="18"/>
      <w:r>
        <w:rPr>
          <w:rFonts w:ascii="Arial" w:hAnsi="Arial"/>
          <w:b/>
          <w:sz w:val="24"/>
        </w:rPr>
      </w:r>
      <w:r>
        <w:rPr>
          <w:b/>
          <w:sz w:val="24"/>
        </w:rPr>
        <w:t>Análise</w:t>
      </w:r>
      <w:r>
        <w:rPr>
          <w:b/>
          <w:spacing w:val="-4"/>
          <w:sz w:val="24"/>
        </w:rPr>
        <w:t> </w:t>
      </w:r>
      <w:r>
        <w:rPr>
          <w:b/>
          <w:spacing w:val="-2"/>
          <w:sz w:val="24"/>
        </w:rPr>
        <w:t>Crítica</w:t>
      </w:r>
    </w:p>
    <w:p>
      <w:pPr>
        <w:pStyle w:val="BodyText"/>
        <w:spacing w:before="137"/>
        <w:rPr>
          <w:b/>
        </w:rPr>
      </w:pPr>
    </w:p>
    <w:p>
      <w:pPr>
        <w:pStyle w:val="BodyText"/>
        <w:spacing w:line="360" w:lineRule="auto" w:before="1"/>
        <w:ind w:left="593" w:right="751" w:firstLine="720"/>
        <w:jc w:val="both"/>
      </w:pPr>
      <w:r>
        <w:rPr/>
        <w:t>Novembro de 2025 evidenciou a continuidade do ambulatório como eixo estratégico de apoio</w:t>
      </w:r>
      <w:r>
        <w:rPr>
          <w:spacing w:val="40"/>
        </w:rPr>
        <w:t> </w:t>
      </w:r>
      <w:r>
        <w:rPr/>
        <w:t>à gestão da internação e à resolutividade hospitalar.</w:t>
      </w:r>
    </w:p>
    <w:p>
      <w:pPr>
        <w:pStyle w:val="BodyText"/>
        <w:ind w:left="1313"/>
        <w:jc w:val="both"/>
      </w:pPr>
      <w:r>
        <w:rPr/>
        <w:t>Embora</w:t>
      </w:r>
      <w:r>
        <w:rPr>
          <w:spacing w:val="-5"/>
        </w:rPr>
        <w:t> </w:t>
      </w:r>
      <w:r>
        <w:rPr/>
        <w:t>o</w:t>
      </w:r>
      <w:r>
        <w:rPr>
          <w:spacing w:val="-3"/>
        </w:rPr>
        <w:t> </w:t>
      </w:r>
      <w:r>
        <w:rPr/>
        <w:t>volume</w:t>
      </w:r>
      <w:r>
        <w:rPr>
          <w:spacing w:val="-2"/>
        </w:rPr>
        <w:t> </w:t>
      </w:r>
      <w:r>
        <w:rPr/>
        <w:t>de</w:t>
      </w:r>
      <w:r>
        <w:rPr>
          <w:spacing w:val="-3"/>
        </w:rPr>
        <w:t> </w:t>
      </w:r>
      <w:r>
        <w:rPr/>
        <w:t>consultas</w:t>
      </w:r>
      <w:r>
        <w:rPr>
          <w:spacing w:val="-2"/>
        </w:rPr>
        <w:t> </w:t>
      </w:r>
      <w:r>
        <w:rPr/>
        <w:t>médicas tenha</w:t>
      </w:r>
      <w:r>
        <w:rPr>
          <w:spacing w:val="-1"/>
        </w:rPr>
        <w:t> </w:t>
      </w:r>
      <w:r>
        <w:rPr/>
        <w:t>apresentado</w:t>
      </w:r>
      <w:r>
        <w:rPr>
          <w:spacing w:val="-1"/>
        </w:rPr>
        <w:t> </w:t>
      </w:r>
      <w:r>
        <w:rPr/>
        <w:t>variação</w:t>
      </w:r>
      <w:r>
        <w:rPr>
          <w:spacing w:val="1"/>
        </w:rPr>
        <w:t> </w:t>
      </w:r>
      <w:r>
        <w:rPr/>
        <w:t>em</w:t>
      </w:r>
      <w:r>
        <w:rPr>
          <w:spacing w:val="-3"/>
        </w:rPr>
        <w:t> </w:t>
      </w:r>
      <w:r>
        <w:rPr/>
        <w:t>relação</w:t>
      </w:r>
      <w:r>
        <w:rPr>
          <w:spacing w:val="1"/>
        </w:rPr>
        <w:t> </w:t>
      </w:r>
      <w:r>
        <w:rPr/>
        <w:t>ao</w:t>
      </w:r>
      <w:r>
        <w:rPr>
          <w:spacing w:val="-3"/>
        </w:rPr>
        <w:t> </w:t>
      </w:r>
      <w:r>
        <w:rPr/>
        <w:t>mês</w:t>
      </w:r>
      <w:r>
        <w:rPr>
          <w:spacing w:val="-2"/>
        </w:rPr>
        <w:t> anterior</w:t>
      </w:r>
    </w:p>
    <w:p>
      <w:pPr>
        <w:pStyle w:val="BodyText"/>
        <w:spacing w:line="360" w:lineRule="auto" w:before="138"/>
        <w:ind w:left="593" w:right="748"/>
        <w:jc w:val="both"/>
      </w:pPr>
      <w:r>
        <w:rPr/>
        <w:t>— possivelmente influenciada por fatores sazonais do período pré-encerramento anual —, as principais especialidades mantiveram produção relevante, com destaque para Ortopedia e Traumatologia (1.650 consultas), Cirurgia Geral (257), Neurologia Clínica (181) e Cardiologia (127), áreas que concentram a maior demanda assistencial e possuem papel central no manejo de pacientes cirúrgicos e neurológicos do hospital.</w:t>
      </w:r>
    </w:p>
    <w:p>
      <w:pPr>
        <w:pStyle w:val="BodyText"/>
        <w:spacing w:line="360" w:lineRule="auto"/>
        <w:ind w:left="593" w:right="743" w:firstLine="720"/>
        <w:jc w:val="both"/>
      </w:pPr>
      <w:r>
        <w:rPr/>
        <w:t>No campo multiprofissional, o desempenho superou a meta pactuada, alcançando 101,7%,</w:t>
      </w:r>
      <w:r>
        <w:rPr>
          <w:spacing w:val="40"/>
        </w:rPr>
        <w:t> </w:t>
      </w:r>
      <w:r>
        <w:rPr/>
        <w:t>com 1.729 atendimentos realizados. A Enfermagem respondeu por 90% do total, reafirmando o fortalecimento</w:t>
      </w:r>
      <w:r>
        <w:rPr>
          <w:spacing w:val="80"/>
        </w:rPr>
        <w:t> </w:t>
      </w:r>
      <w:r>
        <w:rPr/>
        <w:t>das</w:t>
      </w:r>
      <w:r>
        <w:rPr>
          <w:spacing w:val="80"/>
        </w:rPr>
        <w:t> </w:t>
      </w:r>
      <w:r>
        <w:rPr/>
        <w:t>práticas</w:t>
      </w:r>
      <w:r>
        <w:rPr>
          <w:spacing w:val="80"/>
        </w:rPr>
        <w:t> </w:t>
      </w:r>
      <w:r>
        <w:rPr/>
        <w:t>de</w:t>
      </w:r>
      <w:r>
        <w:rPr>
          <w:spacing w:val="80"/>
        </w:rPr>
        <w:t> </w:t>
      </w:r>
      <w:r>
        <w:rPr/>
        <w:t>cuidado</w:t>
      </w:r>
      <w:r>
        <w:rPr>
          <w:spacing w:val="80"/>
        </w:rPr>
        <w:t> </w:t>
      </w:r>
      <w:r>
        <w:rPr/>
        <w:t>integrado</w:t>
      </w:r>
      <w:r>
        <w:rPr>
          <w:spacing w:val="80"/>
        </w:rPr>
        <w:t> </w:t>
      </w:r>
      <w:r>
        <w:rPr/>
        <w:t>e</w:t>
      </w:r>
      <w:r>
        <w:rPr>
          <w:spacing w:val="80"/>
        </w:rPr>
        <w:t> </w:t>
      </w:r>
      <w:r>
        <w:rPr/>
        <w:t>o</w:t>
      </w:r>
      <w:r>
        <w:rPr>
          <w:spacing w:val="80"/>
        </w:rPr>
        <w:t> </w:t>
      </w:r>
      <w:r>
        <w:rPr/>
        <w:t>apoio</w:t>
      </w:r>
      <w:r>
        <w:rPr>
          <w:spacing w:val="80"/>
        </w:rPr>
        <w:t> </w:t>
      </w:r>
      <w:r>
        <w:rPr/>
        <w:t>contínuo</w:t>
      </w:r>
      <w:r>
        <w:rPr>
          <w:spacing w:val="80"/>
        </w:rPr>
        <w:t> </w:t>
      </w:r>
      <w:r>
        <w:rPr/>
        <w:t>às</w:t>
      </w:r>
      <w:r>
        <w:rPr>
          <w:spacing w:val="80"/>
        </w:rPr>
        <w:t> </w:t>
      </w:r>
      <w:r>
        <w:rPr/>
        <w:t>equipes</w:t>
      </w:r>
      <w:r>
        <w:rPr>
          <w:spacing w:val="80"/>
        </w:rPr>
        <w:t> </w:t>
      </w:r>
      <w:r>
        <w:rPr/>
        <w:t>médicas</w:t>
      </w:r>
      <w:r>
        <w:rPr>
          <w:spacing w:val="80"/>
        </w:rPr>
        <w:t> </w:t>
      </w:r>
      <w:r>
        <w:rPr/>
        <w:t>no</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ind w:left="593"/>
        <w:jc w:val="both"/>
      </w:pPr>
      <w:r>
        <w:rPr/>
        <w:t>acompanhamento</w:t>
      </w:r>
      <w:r>
        <w:rPr>
          <w:spacing w:val="-5"/>
        </w:rPr>
        <w:t> </w:t>
      </w:r>
      <w:r>
        <w:rPr/>
        <w:t>de</w:t>
      </w:r>
      <w:r>
        <w:rPr>
          <w:spacing w:val="-6"/>
        </w:rPr>
        <w:t> </w:t>
      </w:r>
      <w:r>
        <w:rPr/>
        <w:t>pacientes</w:t>
      </w:r>
      <w:r>
        <w:rPr>
          <w:spacing w:val="-1"/>
        </w:rPr>
        <w:t> </w:t>
      </w:r>
      <w:r>
        <w:rPr/>
        <w:t>ambulatoriais</w:t>
      </w:r>
      <w:r>
        <w:rPr>
          <w:spacing w:val="-3"/>
        </w:rPr>
        <w:t> </w:t>
      </w:r>
      <w:r>
        <w:rPr/>
        <w:t>e</w:t>
      </w:r>
      <w:r>
        <w:rPr>
          <w:spacing w:val="-6"/>
        </w:rPr>
        <w:t> </w:t>
      </w:r>
      <w:r>
        <w:rPr/>
        <w:t>de</w:t>
      </w:r>
      <w:r>
        <w:rPr>
          <w:spacing w:val="-6"/>
        </w:rPr>
        <w:t> </w:t>
      </w:r>
      <w:r>
        <w:rPr/>
        <w:t>Hospital</w:t>
      </w:r>
      <w:r>
        <w:rPr>
          <w:spacing w:val="-4"/>
        </w:rPr>
        <w:t> Dia.</w:t>
      </w:r>
    </w:p>
    <w:p>
      <w:pPr>
        <w:pStyle w:val="BodyText"/>
      </w:pPr>
    </w:p>
    <w:p>
      <w:pPr>
        <w:pStyle w:val="BodyText"/>
      </w:pPr>
    </w:p>
    <w:p>
      <w:pPr>
        <w:pStyle w:val="BodyText"/>
      </w:pPr>
    </w:p>
    <w:p>
      <w:pPr>
        <w:pStyle w:val="BodyText"/>
      </w:pPr>
    </w:p>
    <w:p>
      <w:pPr>
        <w:pStyle w:val="BodyText"/>
      </w:pPr>
    </w:p>
    <w:p>
      <w:pPr>
        <w:pStyle w:val="BodyText"/>
        <w:spacing w:before="138"/>
      </w:pPr>
    </w:p>
    <w:p>
      <w:pPr>
        <w:pStyle w:val="BodyText"/>
        <w:spacing w:line="360" w:lineRule="auto"/>
        <w:ind w:left="593" w:right="753" w:firstLine="720"/>
        <w:jc w:val="both"/>
      </w:pPr>
      <w:r>
        <w:rPr/>
        <w:t>Apesar</w:t>
      </w:r>
      <w:r>
        <w:rPr>
          <w:spacing w:val="-2"/>
        </w:rPr>
        <w:t> </w:t>
      </w:r>
      <w:r>
        <w:rPr/>
        <w:t>dos</w:t>
      </w:r>
      <w:r>
        <w:rPr>
          <w:spacing w:val="-3"/>
        </w:rPr>
        <w:t> </w:t>
      </w:r>
      <w:r>
        <w:rPr/>
        <w:t>avanços,</w:t>
      </w:r>
      <w:r>
        <w:rPr>
          <w:spacing w:val="-2"/>
        </w:rPr>
        <w:t> </w:t>
      </w:r>
      <w:r>
        <w:rPr/>
        <w:t>alguns</w:t>
      </w:r>
      <w:r>
        <w:rPr>
          <w:spacing w:val="-1"/>
        </w:rPr>
        <w:t> </w:t>
      </w:r>
      <w:r>
        <w:rPr/>
        <w:t>desafios</w:t>
      </w:r>
      <w:r>
        <w:rPr>
          <w:spacing w:val="-1"/>
        </w:rPr>
        <w:t> </w:t>
      </w:r>
      <w:r>
        <w:rPr/>
        <w:t>estruturais</w:t>
      </w:r>
      <w:r>
        <w:rPr>
          <w:spacing w:val="-1"/>
        </w:rPr>
        <w:t> </w:t>
      </w:r>
      <w:r>
        <w:rPr/>
        <w:t>persistem</w:t>
      </w:r>
      <w:r>
        <w:rPr>
          <w:spacing w:val="-3"/>
        </w:rPr>
        <w:t> </w:t>
      </w:r>
      <w:r>
        <w:rPr/>
        <w:t>e</w:t>
      </w:r>
      <w:r>
        <w:rPr>
          <w:spacing w:val="-3"/>
        </w:rPr>
        <w:t> </w:t>
      </w:r>
      <w:r>
        <w:rPr/>
        <w:t>impactam</w:t>
      </w:r>
      <w:r>
        <w:rPr>
          <w:spacing w:val="-1"/>
        </w:rPr>
        <w:t> </w:t>
      </w:r>
      <w:r>
        <w:rPr/>
        <w:t>a</w:t>
      </w:r>
      <w:r>
        <w:rPr>
          <w:spacing w:val="-4"/>
        </w:rPr>
        <w:t> </w:t>
      </w:r>
      <w:r>
        <w:rPr/>
        <w:t>eficiência</w:t>
      </w:r>
      <w:r>
        <w:rPr>
          <w:spacing w:val="-1"/>
        </w:rPr>
        <w:t> </w:t>
      </w:r>
      <w:r>
        <w:rPr/>
        <w:t>operacional, entre eles:</w:t>
      </w:r>
    </w:p>
    <w:p>
      <w:pPr>
        <w:pStyle w:val="ListParagraph"/>
        <w:numPr>
          <w:ilvl w:val="0"/>
          <w:numId w:val="4"/>
        </w:numPr>
        <w:tabs>
          <w:tab w:pos="1313" w:val="left" w:leader="none"/>
        </w:tabs>
        <w:spacing w:line="352" w:lineRule="auto" w:before="1" w:after="0"/>
        <w:ind w:left="1313" w:right="743" w:hanging="360"/>
        <w:jc w:val="both"/>
        <w:rPr>
          <w:sz w:val="24"/>
        </w:rPr>
      </w:pPr>
      <w:r>
        <w:rPr>
          <w:b/>
          <w:sz w:val="24"/>
        </w:rPr>
        <w:t>Absenteísmo de pacientes: </w:t>
      </w:r>
      <w:r>
        <w:rPr>
          <w:sz w:val="24"/>
        </w:rPr>
        <w:t>ainda elevado, influenciado por agendamentos de curta antecedência, barreiras de transporte e baixa adesão.</w:t>
      </w:r>
    </w:p>
    <w:p>
      <w:pPr>
        <w:pStyle w:val="ListParagraph"/>
        <w:numPr>
          <w:ilvl w:val="0"/>
          <w:numId w:val="4"/>
        </w:numPr>
        <w:tabs>
          <w:tab w:pos="1313" w:val="left" w:leader="none"/>
        </w:tabs>
        <w:spacing w:line="352" w:lineRule="auto" w:before="8" w:after="0"/>
        <w:ind w:left="1313" w:right="747" w:hanging="360"/>
        <w:jc w:val="both"/>
        <w:rPr>
          <w:sz w:val="24"/>
        </w:rPr>
      </w:pPr>
      <w:r>
        <w:rPr>
          <w:b/>
          <w:sz w:val="24"/>
        </w:rPr>
        <w:t>Agendamento centralizado via Gercon: </w:t>
      </w:r>
      <w:r>
        <w:rPr>
          <w:sz w:val="24"/>
        </w:rPr>
        <w:t>limita a adequação da oferta à real disponibilidade de agendas médicas e multiprofissionais.</w:t>
      </w:r>
    </w:p>
    <w:p>
      <w:pPr>
        <w:spacing w:before="7"/>
        <w:ind w:left="593" w:right="0" w:firstLine="0"/>
        <w:jc w:val="both"/>
        <w:rPr>
          <w:b/>
          <w:sz w:val="24"/>
        </w:rPr>
      </w:pPr>
      <w:r>
        <w:rPr>
          <w:b/>
          <w:sz w:val="24"/>
        </w:rPr>
        <w:t>Ações</w:t>
      </w:r>
      <w:r>
        <w:rPr>
          <w:b/>
          <w:spacing w:val="-2"/>
          <w:sz w:val="24"/>
        </w:rPr>
        <w:t> </w:t>
      </w:r>
      <w:r>
        <w:rPr>
          <w:b/>
          <w:sz w:val="24"/>
        </w:rPr>
        <w:t>em</w:t>
      </w:r>
      <w:r>
        <w:rPr>
          <w:b/>
          <w:spacing w:val="-2"/>
          <w:sz w:val="24"/>
        </w:rPr>
        <w:t> andamento:</w:t>
      </w:r>
    </w:p>
    <w:p>
      <w:pPr>
        <w:pStyle w:val="ListParagraph"/>
        <w:numPr>
          <w:ilvl w:val="0"/>
          <w:numId w:val="4"/>
        </w:numPr>
        <w:tabs>
          <w:tab w:pos="1313" w:val="left" w:leader="none"/>
        </w:tabs>
        <w:spacing w:line="352" w:lineRule="auto" w:before="139" w:after="0"/>
        <w:ind w:left="1313" w:right="749" w:hanging="360"/>
        <w:jc w:val="both"/>
        <w:rPr>
          <w:sz w:val="24"/>
        </w:rPr>
      </w:pPr>
      <w:r>
        <w:rPr>
          <w:sz w:val="24"/>
        </w:rPr>
        <w:t>Confirmação ativa de consultas, por meio de ligações telefônicas e mensagens automatizadas, visando reduzir o absenteísmo e otimizar o aproveitamento das agendas.</w:t>
      </w:r>
    </w:p>
    <w:p>
      <w:pPr>
        <w:pStyle w:val="ListParagraph"/>
        <w:numPr>
          <w:ilvl w:val="0"/>
          <w:numId w:val="4"/>
        </w:numPr>
        <w:tabs>
          <w:tab w:pos="1313" w:val="left" w:leader="none"/>
        </w:tabs>
        <w:spacing w:line="355" w:lineRule="auto" w:before="8" w:after="0"/>
        <w:ind w:left="1313" w:right="748" w:hanging="360"/>
        <w:jc w:val="both"/>
        <w:rPr>
          <w:sz w:val="24"/>
        </w:rPr>
      </w:pPr>
      <w:r>
        <w:rPr>
          <w:sz w:val="24"/>
        </w:rPr>
        <w:t>Mapeamento de processos no Hospital Dia, em conjunto com a equipe de faturamento, para corrigir registros no SIGTAP/SIH-SUS e implantar fluxograma atualizado de emissão de</w:t>
      </w:r>
      <w:r>
        <w:rPr>
          <w:spacing w:val="40"/>
          <w:sz w:val="24"/>
        </w:rPr>
        <w:t> </w:t>
      </w:r>
      <w:r>
        <w:rPr>
          <w:spacing w:val="-2"/>
          <w:sz w:val="24"/>
        </w:rPr>
        <w:t>AIHs.</w:t>
      </w:r>
    </w:p>
    <w:p>
      <w:pPr>
        <w:pStyle w:val="ListParagraph"/>
        <w:numPr>
          <w:ilvl w:val="0"/>
          <w:numId w:val="4"/>
        </w:numPr>
        <w:tabs>
          <w:tab w:pos="1313" w:val="left" w:leader="none"/>
        </w:tabs>
        <w:spacing w:line="352" w:lineRule="auto" w:before="8" w:after="0"/>
        <w:ind w:left="1313" w:right="752" w:hanging="360"/>
        <w:jc w:val="both"/>
        <w:rPr>
          <w:sz w:val="24"/>
        </w:rPr>
      </w:pPr>
      <w:r>
        <w:rPr>
          <w:sz w:val="24"/>
        </w:rPr>
        <w:t>Implantação do NIR Digital, que permitirá monitoramento em tempo real do fluxo assistencial ambulatorial, ampliando a integração entre gestão de leitos, agendamentos e produtividade.</w:t>
      </w:r>
    </w:p>
    <w:p>
      <w:pPr>
        <w:pStyle w:val="BodyText"/>
        <w:spacing w:before="148"/>
      </w:pPr>
    </w:p>
    <w:p>
      <w:pPr>
        <w:pStyle w:val="ListParagraph"/>
        <w:numPr>
          <w:ilvl w:val="1"/>
          <w:numId w:val="2"/>
        </w:numPr>
        <w:tabs>
          <w:tab w:pos="1313" w:val="left" w:leader="none"/>
        </w:tabs>
        <w:spacing w:line="240" w:lineRule="auto" w:before="0" w:after="0"/>
        <w:ind w:left="1313" w:right="0" w:hanging="720"/>
        <w:jc w:val="left"/>
        <w:rPr>
          <w:b/>
          <w:sz w:val="24"/>
        </w:rPr>
      </w:pPr>
      <w:bookmarkStart w:name="3.2. Produção de Serviço de Apoio Diagnó" w:id="19"/>
      <w:bookmarkEnd w:id="19"/>
      <w:r>
        <w:rPr>
          <w:rFonts w:ascii="Arial" w:hAnsi="Arial"/>
          <w:b/>
          <w:sz w:val="24"/>
        </w:rPr>
      </w:r>
      <w:r>
        <w:rPr>
          <w:b/>
          <w:sz w:val="24"/>
        </w:rPr>
        <w:t>Produção</w:t>
      </w:r>
      <w:r>
        <w:rPr>
          <w:b/>
          <w:spacing w:val="-6"/>
          <w:sz w:val="24"/>
        </w:rPr>
        <w:t> </w:t>
      </w:r>
      <w:r>
        <w:rPr>
          <w:b/>
          <w:sz w:val="24"/>
        </w:rPr>
        <w:t>de</w:t>
      </w:r>
      <w:r>
        <w:rPr>
          <w:b/>
          <w:spacing w:val="-4"/>
          <w:sz w:val="24"/>
        </w:rPr>
        <w:t> </w:t>
      </w:r>
      <w:r>
        <w:rPr>
          <w:b/>
          <w:sz w:val="24"/>
        </w:rPr>
        <w:t>Serviço</w:t>
      </w:r>
      <w:r>
        <w:rPr>
          <w:b/>
          <w:spacing w:val="-3"/>
          <w:sz w:val="24"/>
        </w:rPr>
        <w:t> </w:t>
      </w:r>
      <w:r>
        <w:rPr>
          <w:b/>
          <w:sz w:val="24"/>
        </w:rPr>
        <w:t>de</w:t>
      </w:r>
      <w:r>
        <w:rPr>
          <w:b/>
          <w:spacing w:val="-4"/>
          <w:sz w:val="24"/>
        </w:rPr>
        <w:t> </w:t>
      </w:r>
      <w:r>
        <w:rPr>
          <w:b/>
          <w:sz w:val="24"/>
        </w:rPr>
        <w:t>Apoio</w:t>
      </w:r>
      <w:r>
        <w:rPr>
          <w:b/>
          <w:spacing w:val="-3"/>
          <w:sz w:val="24"/>
        </w:rPr>
        <w:t> </w:t>
      </w:r>
      <w:r>
        <w:rPr>
          <w:b/>
          <w:sz w:val="24"/>
        </w:rPr>
        <w:t>Diagnóstico</w:t>
      </w:r>
      <w:r>
        <w:rPr>
          <w:b/>
          <w:spacing w:val="-2"/>
          <w:sz w:val="24"/>
        </w:rPr>
        <w:t> </w:t>
      </w:r>
      <w:r>
        <w:rPr>
          <w:b/>
          <w:sz w:val="24"/>
        </w:rPr>
        <w:t>e</w:t>
      </w:r>
      <w:r>
        <w:rPr>
          <w:b/>
          <w:spacing w:val="-5"/>
          <w:sz w:val="24"/>
        </w:rPr>
        <w:t> </w:t>
      </w:r>
      <w:r>
        <w:rPr>
          <w:b/>
          <w:sz w:val="24"/>
        </w:rPr>
        <w:t>Terapêutico</w:t>
      </w:r>
      <w:r>
        <w:rPr>
          <w:b/>
          <w:spacing w:val="-2"/>
          <w:sz w:val="24"/>
        </w:rPr>
        <w:t> </w:t>
      </w:r>
      <w:r>
        <w:rPr>
          <w:b/>
          <w:sz w:val="24"/>
        </w:rPr>
        <w:t>(SADT)</w:t>
      </w:r>
      <w:r>
        <w:rPr>
          <w:b/>
          <w:spacing w:val="-4"/>
          <w:sz w:val="24"/>
        </w:rPr>
        <w:t> </w:t>
      </w:r>
      <w:r>
        <w:rPr>
          <w:b/>
          <w:sz w:val="24"/>
        </w:rPr>
        <w:t>ofertados</w:t>
      </w:r>
      <w:r>
        <w:rPr>
          <w:b/>
          <w:spacing w:val="-3"/>
          <w:sz w:val="24"/>
        </w:rPr>
        <w:t> </w:t>
      </w:r>
      <w:r>
        <w:rPr>
          <w:b/>
          <w:sz w:val="24"/>
        </w:rPr>
        <w:t>e</w:t>
      </w:r>
      <w:r>
        <w:rPr>
          <w:b/>
          <w:spacing w:val="-4"/>
          <w:sz w:val="24"/>
        </w:rPr>
        <w:t> </w:t>
      </w:r>
      <w:r>
        <w:rPr>
          <w:b/>
          <w:spacing w:val="-2"/>
          <w:sz w:val="24"/>
        </w:rPr>
        <w:t>realizados</w:t>
      </w:r>
    </w:p>
    <w:p>
      <w:pPr>
        <w:pStyle w:val="BodyText"/>
        <w:spacing w:before="140"/>
        <w:rPr>
          <w:b/>
        </w:rPr>
      </w:pPr>
    </w:p>
    <w:p>
      <w:pPr>
        <w:pStyle w:val="BodyText"/>
        <w:spacing w:line="360" w:lineRule="auto"/>
        <w:ind w:left="593" w:right="745" w:firstLine="720"/>
        <w:jc w:val="both"/>
      </w:pPr>
      <w:r>
        <w:rPr/>
        <w:t>O Serviço de Apoio Diagnóstico e Terapêutico (SADT) manteve papel estratégico na sustentação da resolutividade assistencial em novembro de 2025, com ampliação da produção interna</w:t>
      </w:r>
      <w:r>
        <w:rPr>
          <w:spacing w:val="40"/>
        </w:rPr>
        <w:t> </w:t>
      </w:r>
      <w:r>
        <w:rPr/>
        <w:t>e priorização dos exames voltados ao cuidado hospitalar e egressos.</w:t>
      </w:r>
    </w:p>
    <w:p>
      <w:pPr>
        <w:pStyle w:val="BodyText"/>
        <w:spacing w:line="360" w:lineRule="auto"/>
        <w:ind w:left="593" w:right="749" w:firstLine="720"/>
        <w:jc w:val="both"/>
      </w:pPr>
      <w:r>
        <w:rPr/>
        <w:t>A seguir, apresentam-se os volumes ofertados e realizados no período, contemplando tanto a produção ambulatorial externa quanto a interna.</w:t>
      </w:r>
    </w:p>
    <w:p>
      <w:pPr>
        <w:pStyle w:val="BodyText"/>
      </w:pPr>
    </w:p>
    <w:p>
      <w:pPr>
        <w:pStyle w:val="BodyText"/>
        <w:spacing w:before="2"/>
      </w:pPr>
    </w:p>
    <w:p>
      <w:pPr>
        <w:spacing w:before="1" w:after="22"/>
        <w:ind w:left="593" w:right="0" w:firstLine="0"/>
        <w:jc w:val="both"/>
        <w:rPr>
          <w:b/>
          <w:sz w:val="24"/>
        </w:rPr>
      </w:pPr>
      <w:r>
        <w:rPr>
          <w:b/>
          <w:sz w:val="24"/>
        </w:rPr>
        <w:t>Tabela</w:t>
      </w:r>
      <w:r>
        <w:rPr>
          <w:b/>
          <w:spacing w:val="-2"/>
          <w:sz w:val="24"/>
        </w:rPr>
        <w:t> </w:t>
      </w:r>
      <w:r>
        <w:rPr>
          <w:b/>
          <w:sz w:val="24"/>
        </w:rPr>
        <w:t>4</w:t>
      </w:r>
      <w:r>
        <w:rPr>
          <w:b/>
          <w:spacing w:val="-2"/>
          <w:sz w:val="24"/>
        </w:rPr>
        <w:t> </w:t>
      </w:r>
      <w:r>
        <w:rPr>
          <w:b/>
          <w:sz w:val="24"/>
        </w:rPr>
        <w:t>–</w:t>
      </w:r>
      <w:r>
        <w:rPr>
          <w:b/>
          <w:spacing w:val="-2"/>
          <w:sz w:val="24"/>
        </w:rPr>
        <w:t> </w:t>
      </w:r>
      <w:r>
        <w:rPr>
          <w:b/>
          <w:sz w:val="24"/>
        </w:rPr>
        <w:t>Produção</w:t>
      </w:r>
      <w:r>
        <w:rPr>
          <w:b/>
          <w:spacing w:val="-2"/>
          <w:sz w:val="24"/>
        </w:rPr>
        <w:t> </w:t>
      </w:r>
      <w:r>
        <w:rPr>
          <w:b/>
          <w:spacing w:val="-4"/>
          <w:sz w:val="24"/>
        </w:rPr>
        <w:t>SADT</w:t>
      </w:r>
    </w:p>
    <w:tbl>
      <w:tblPr>
        <w:tblW w:w="0" w:type="auto"/>
        <w:jc w:val="left"/>
        <w:tblInd w:w="1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34"/>
        <w:gridCol w:w="1770"/>
        <w:gridCol w:w="3452"/>
      </w:tblGrid>
      <w:tr>
        <w:trPr>
          <w:trHeight w:val="269" w:hRule="atLeast"/>
        </w:trPr>
        <w:tc>
          <w:tcPr>
            <w:tcW w:w="3434" w:type="dxa"/>
          </w:tcPr>
          <w:p>
            <w:pPr>
              <w:pStyle w:val="TableParagraph"/>
              <w:spacing w:before="15"/>
              <w:ind w:left="72"/>
              <w:jc w:val="left"/>
              <w:rPr>
                <w:b/>
                <w:sz w:val="20"/>
              </w:rPr>
            </w:pPr>
            <w:r>
              <w:rPr>
                <w:b/>
                <w:spacing w:val="-2"/>
                <w:sz w:val="20"/>
              </w:rPr>
              <w:t>Ofertado</w:t>
            </w:r>
          </w:p>
        </w:tc>
        <w:tc>
          <w:tcPr>
            <w:tcW w:w="1770" w:type="dxa"/>
          </w:tcPr>
          <w:p>
            <w:pPr>
              <w:pStyle w:val="TableParagraph"/>
              <w:spacing w:before="17"/>
              <w:ind w:left="21" w:right="2"/>
              <w:rPr>
                <w:b/>
                <w:sz w:val="20"/>
              </w:rPr>
            </w:pPr>
            <w:r>
              <w:rPr>
                <w:b/>
                <w:spacing w:val="-4"/>
                <w:sz w:val="20"/>
              </w:rPr>
              <w:t>Meta</w:t>
            </w:r>
          </w:p>
        </w:tc>
        <w:tc>
          <w:tcPr>
            <w:tcW w:w="3452" w:type="dxa"/>
          </w:tcPr>
          <w:p>
            <w:pPr>
              <w:pStyle w:val="TableParagraph"/>
              <w:spacing w:line="227" w:lineRule="exact" w:before="21"/>
              <w:ind w:left="21" w:right="6"/>
              <w:rPr>
                <w:b/>
                <w:sz w:val="20"/>
              </w:rPr>
            </w:pPr>
            <w:r>
              <w:rPr>
                <w:b/>
                <w:sz w:val="20"/>
              </w:rPr>
              <w:t>Produção</w:t>
            </w:r>
            <w:r>
              <w:rPr>
                <w:b/>
                <w:spacing w:val="-5"/>
                <w:sz w:val="20"/>
              </w:rPr>
              <w:t> </w:t>
            </w:r>
            <w:r>
              <w:rPr>
                <w:b/>
                <w:spacing w:val="-2"/>
                <w:sz w:val="20"/>
              </w:rPr>
              <w:t>Novembro/2025</w:t>
            </w:r>
          </w:p>
        </w:tc>
      </w:tr>
      <w:tr>
        <w:trPr>
          <w:trHeight w:val="280" w:hRule="atLeast"/>
        </w:trPr>
        <w:tc>
          <w:tcPr>
            <w:tcW w:w="3434" w:type="dxa"/>
          </w:tcPr>
          <w:p>
            <w:pPr>
              <w:pStyle w:val="TableParagraph"/>
              <w:spacing w:before="23"/>
              <w:ind w:left="72"/>
              <w:jc w:val="left"/>
              <w:rPr>
                <w:sz w:val="20"/>
              </w:rPr>
            </w:pPr>
            <w:r>
              <w:rPr>
                <w:spacing w:val="-2"/>
                <w:sz w:val="20"/>
              </w:rPr>
              <w:t>Colonoscopia</w:t>
            </w:r>
          </w:p>
        </w:tc>
        <w:tc>
          <w:tcPr>
            <w:tcW w:w="1770" w:type="dxa"/>
          </w:tcPr>
          <w:p>
            <w:pPr>
              <w:pStyle w:val="TableParagraph"/>
              <w:spacing w:line="227" w:lineRule="exact" w:before="33"/>
              <w:ind w:left="21"/>
              <w:rPr>
                <w:sz w:val="20"/>
              </w:rPr>
            </w:pPr>
            <w:r>
              <w:rPr>
                <w:spacing w:val="-5"/>
                <w:sz w:val="20"/>
              </w:rPr>
              <w:t>100</w:t>
            </w:r>
          </w:p>
        </w:tc>
        <w:tc>
          <w:tcPr>
            <w:tcW w:w="3452" w:type="dxa"/>
          </w:tcPr>
          <w:p>
            <w:pPr>
              <w:pStyle w:val="TableParagraph"/>
              <w:spacing w:before="13"/>
              <w:ind w:left="21" w:right="2"/>
              <w:rPr>
                <w:sz w:val="20"/>
              </w:rPr>
            </w:pPr>
            <w:r>
              <w:rPr>
                <w:spacing w:val="-5"/>
                <w:sz w:val="20"/>
              </w:rPr>
              <w:t>40</w:t>
            </w:r>
          </w:p>
        </w:tc>
      </w:tr>
      <w:tr>
        <w:trPr>
          <w:trHeight w:val="280" w:hRule="atLeast"/>
        </w:trPr>
        <w:tc>
          <w:tcPr>
            <w:tcW w:w="3434" w:type="dxa"/>
          </w:tcPr>
          <w:p>
            <w:pPr>
              <w:pStyle w:val="TableParagraph"/>
              <w:spacing w:before="23"/>
              <w:ind w:left="72"/>
              <w:jc w:val="left"/>
              <w:rPr>
                <w:sz w:val="20"/>
              </w:rPr>
            </w:pPr>
            <w:r>
              <w:rPr>
                <w:sz w:val="20"/>
              </w:rPr>
              <w:t>Endoscopia</w:t>
            </w:r>
            <w:r>
              <w:rPr>
                <w:spacing w:val="-9"/>
                <w:sz w:val="20"/>
              </w:rPr>
              <w:t> </w:t>
            </w:r>
            <w:r>
              <w:rPr>
                <w:spacing w:val="-2"/>
                <w:sz w:val="20"/>
              </w:rPr>
              <w:t>digestiva</w:t>
            </w:r>
          </w:p>
        </w:tc>
        <w:tc>
          <w:tcPr>
            <w:tcW w:w="1770" w:type="dxa"/>
          </w:tcPr>
          <w:p>
            <w:pPr>
              <w:pStyle w:val="TableParagraph"/>
              <w:spacing w:line="227" w:lineRule="exact" w:before="33"/>
              <w:ind w:left="21"/>
              <w:rPr>
                <w:sz w:val="20"/>
              </w:rPr>
            </w:pPr>
            <w:r>
              <w:rPr>
                <w:spacing w:val="-5"/>
                <w:sz w:val="20"/>
              </w:rPr>
              <w:t>80</w:t>
            </w:r>
          </w:p>
        </w:tc>
        <w:tc>
          <w:tcPr>
            <w:tcW w:w="3452" w:type="dxa"/>
          </w:tcPr>
          <w:p>
            <w:pPr>
              <w:pStyle w:val="TableParagraph"/>
              <w:spacing w:before="13"/>
              <w:ind w:left="21" w:right="2"/>
              <w:rPr>
                <w:sz w:val="20"/>
              </w:rPr>
            </w:pPr>
            <w:r>
              <w:rPr>
                <w:spacing w:val="-5"/>
                <w:sz w:val="20"/>
              </w:rPr>
              <w:t>109</w:t>
            </w:r>
          </w:p>
        </w:tc>
      </w:tr>
      <w:tr>
        <w:trPr>
          <w:trHeight w:val="267" w:hRule="atLeast"/>
        </w:trPr>
        <w:tc>
          <w:tcPr>
            <w:tcW w:w="3434" w:type="dxa"/>
          </w:tcPr>
          <w:p>
            <w:pPr>
              <w:pStyle w:val="TableParagraph"/>
              <w:spacing w:line="229" w:lineRule="exact" w:before="17"/>
              <w:ind w:left="72"/>
              <w:jc w:val="left"/>
              <w:rPr>
                <w:sz w:val="20"/>
              </w:rPr>
            </w:pPr>
            <w:r>
              <w:rPr>
                <w:sz w:val="20"/>
              </w:rPr>
              <w:t>Endoscopia</w:t>
            </w:r>
            <w:r>
              <w:rPr>
                <w:spacing w:val="-6"/>
                <w:sz w:val="20"/>
              </w:rPr>
              <w:t> </w:t>
            </w:r>
            <w:r>
              <w:rPr>
                <w:sz w:val="20"/>
              </w:rPr>
              <w:t>vias</w:t>
            </w:r>
            <w:r>
              <w:rPr>
                <w:spacing w:val="-6"/>
                <w:sz w:val="20"/>
              </w:rPr>
              <w:t> </w:t>
            </w:r>
            <w:r>
              <w:rPr>
                <w:spacing w:val="-2"/>
                <w:sz w:val="20"/>
              </w:rPr>
              <w:t>urinárias</w:t>
            </w:r>
          </w:p>
        </w:tc>
        <w:tc>
          <w:tcPr>
            <w:tcW w:w="1770" w:type="dxa"/>
          </w:tcPr>
          <w:p>
            <w:pPr>
              <w:pStyle w:val="TableParagraph"/>
              <w:spacing w:line="225" w:lineRule="exact" w:before="21"/>
              <w:ind w:left="21"/>
              <w:rPr>
                <w:sz w:val="20"/>
              </w:rPr>
            </w:pPr>
            <w:r>
              <w:rPr>
                <w:spacing w:val="-5"/>
                <w:sz w:val="20"/>
              </w:rPr>
              <w:t>20</w:t>
            </w:r>
          </w:p>
        </w:tc>
        <w:tc>
          <w:tcPr>
            <w:tcW w:w="3452" w:type="dxa"/>
          </w:tcPr>
          <w:p>
            <w:pPr>
              <w:pStyle w:val="TableParagraph"/>
              <w:spacing w:line="225" w:lineRule="exact" w:before="21"/>
              <w:ind w:left="21" w:right="2"/>
              <w:rPr>
                <w:sz w:val="20"/>
              </w:rPr>
            </w:pPr>
            <w:r>
              <w:rPr>
                <w:spacing w:val="-10"/>
                <w:sz w:val="20"/>
              </w:rPr>
              <w:t>0</w:t>
            </w:r>
          </w:p>
        </w:tc>
      </w:tr>
      <w:tr>
        <w:trPr>
          <w:trHeight w:val="280" w:hRule="atLeast"/>
        </w:trPr>
        <w:tc>
          <w:tcPr>
            <w:tcW w:w="3434" w:type="dxa"/>
          </w:tcPr>
          <w:p>
            <w:pPr>
              <w:pStyle w:val="TableParagraph"/>
              <w:spacing w:before="25"/>
              <w:ind w:left="72"/>
              <w:jc w:val="left"/>
              <w:rPr>
                <w:sz w:val="20"/>
              </w:rPr>
            </w:pPr>
            <w:r>
              <w:rPr>
                <w:sz w:val="20"/>
              </w:rPr>
              <w:t>Tomografia</w:t>
            </w:r>
            <w:r>
              <w:rPr>
                <w:spacing w:val="-4"/>
                <w:sz w:val="20"/>
              </w:rPr>
              <w:t> </w:t>
            </w:r>
            <w:r>
              <w:rPr>
                <w:spacing w:val="-2"/>
                <w:sz w:val="20"/>
              </w:rPr>
              <w:t>Computadorizada</w:t>
            </w:r>
          </w:p>
        </w:tc>
        <w:tc>
          <w:tcPr>
            <w:tcW w:w="1770" w:type="dxa"/>
          </w:tcPr>
          <w:p>
            <w:pPr>
              <w:pStyle w:val="TableParagraph"/>
              <w:spacing w:line="225" w:lineRule="exact" w:before="35"/>
              <w:ind w:left="21"/>
              <w:rPr>
                <w:sz w:val="20"/>
              </w:rPr>
            </w:pPr>
            <w:r>
              <w:rPr>
                <w:spacing w:val="-5"/>
                <w:sz w:val="20"/>
              </w:rPr>
              <w:t>125</w:t>
            </w:r>
          </w:p>
        </w:tc>
        <w:tc>
          <w:tcPr>
            <w:tcW w:w="3452" w:type="dxa"/>
          </w:tcPr>
          <w:p>
            <w:pPr>
              <w:pStyle w:val="TableParagraph"/>
              <w:spacing w:before="15"/>
              <w:ind w:left="21" w:right="2"/>
              <w:rPr>
                <w:sz w:val="20"/>
              </w:rPr>
            </w:pPr>
            <w:r>
              <w:rPr>
                <w:spacing w:val="-5"/>
                <w:sz w:val="20"/>
              </w:rPr>
              <w:t>133</w:t>
            </w:r>
          </w:p>
        </w:tc>
      </w:tr>
    </w:tbl>
    <w:p>
      <w:pPr>
        <w:pStyle w:val="TableParagraph"/>
        <w:spacing w:after="0"/>
        <w:rPr>
          <w:sz w:val="20"/>
        </w:rPr>
        <w:sectPr>
          <w:pgSz w:w="11910" w:h="16840"/>
          <w:pgMar w:header="358" w:footer="560" w:top="1580" w:bottom="780" w:left="708" w:right="0"/>
        </w:sectPr>
      </w:pPr>
    </w:p>
    <w:p>
      <w:pPr>
        <w:pStyle w:val="BodyText"/>
        <w:rPr>
          <w:b/>
          <w:sz w:val="20"/>
        </w:rPr>
      </w:pPr>
    </w:p>
    <w:p>
      <w:pPr>
        <w:pStyle w:val="BodyText"/>
        <w:rPr>
          <w:b/>
          <w:sz w:val="20"/>
        </w:rPr>
      </w:pPr>
    </w:p>
    <w:p>
      <w:pPr>
        <w:pStyle w:val="BodyText"/>
        <w:spacing w:before="161"/>
        <w:rPr>
          <w:b/>
          <w:sz w:val="20"/>
        </w:rPr>
      </w:pPr>
    </w:p>
    <w:tbl>
      <w:tblPr>
        <w:tblW w:w="0" w:type="auto"/>
        <w:jc w:val="left"/>
        <w:tblInd w:w="1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434"/>
        <w:gridCol w:w="1770"/>
        <w:gridCol w:w="3452"/>
      </w:tblGrid>
      <w:tr>
        <w:trPr>
          <w:trHeight w:val="281" w:hRule="atLeast"/>
        </w:trPr>
        <w:tc>
          <w:tcPr>
            <w:tcW w:w="3434" w:type="dxa"/>
          </w:tcPr>
          <w:p>
            <w:pPr>
              <w:pStyle w:val="TableParagraph"/>
              <w:spacing w:before="25"/>
              <w:ind w:left="72"/>
              <w:jc w:val="left"/>
              <w:rPr>
                <w:sz w:val="20"/>
              </w:rPr>
            </w:pPr>
            <w:r>
              <w:rPr>
                <w:spacing w:val="-2"/>
                <w:sz w:val="20"/>
              </w:rPr>
              <w:t>Ultrassonografia</w:t>
            </w:r>
          </w:p>
        </w:tc>
        <w:tc>
          <w:tcPr>
            <w:tcW w:w="1770" w:type="dxa"/>
          </w:tcPr>
          <w:p>
            <w:pPr>
              <w:pStyle w:val="TableParagraph"/>
              <w:spacing w:line="225" w:lineRule="exact" w:before="35"/>
              <w:ind w:left="21"/>
              <w:rPr>
                <w:sz w:val="20"/>
              </w:rPr>
            </w:pPr>
            <w:r>
              <w:rPr>
                <w:spacing w:val="-5"/>
                <w:sz w:val="20"/>
              </w:rPr>
              <w:t>60</w:t>
            </w:r>
          </w:p>
        </w:tc>
        <w:tc>
          <w:tcPr>
            <w:tcW w:w="3452" w:type="dxa"/>
          </w:tcPr>
          <w:p>
            <w:pPr>
              <w:pStyle w:val="TableParagraph"/>
              <w:spacing w:before="15"/>
              <w:ind w:left="21" w:right="2"/>
              <w:rPr>
                <w:sz w:val="20"/>
              </w:rPr>
            </w:pPr>
            <w:r>
              <w:rPr>
                <w:spacing w:val="-5"/>
                <w:sz w:val="20"/>
              </w:rPr>
              <w:t>84</w:t>
            </w:r>
          </w:p>
        </w:tc>
      </w:tr>
      <w:tr>
        <w:trPr>
          <w:trHeight w:val="280" w:hRule="atLeast"/>
        </w:trPr>
        <w:tc>
          <w:tcPr>
            <w:tcW w:w="3434" w:type="dxa"/>
            <w:tcBorders>
              <w:bottom w:val="single" w:sz="4" w:space="0" w:color="000000"/>
            </w:tcBorders>
          </w:tcPr>
          <w:p>
            <w:pPr>
              <w:pStyle w:val="TableParagraph"/>
              <w:spacing w:before="25"/>
              <w:ind w:left="72"/>
              <w:jc w:val="left"/>
              <w:rPr>
                <w:sz w:val="20"/>
              </w:rPr>
            </w:pPr>
            <w:r>
              <w:rPr>
                <w:spacing w:val="-2"/>
                <w:sz w:val="20"/>
              </w:rPr>
              <w:t>Ultrassonografia/Doppler</w:t>
            </w:r>
          </w:p>
        </w:tc>
        <w:tc>
          <w:tcPr>
            <w:tcW w:w="1770" w:type="dxa"/>
            <w:tcBorders>
              <w:bottom w:val="single" w:sz="4" w:space="0" w:color="000000"/>
            </w:tcBorders>
          </w:tcPr>
          <w:p>
            <w:pPr>
              <w:pStyle w:val="TableParagraph"/>
              <w:spacing w:line="225" w:lineRule="exact" w:before="35"/>
              <w:ind w:left="21"/>
              <w:rPr>
                <w:sz w:val="20"/>
              </w:rPr>
            </w:pPr>
            <w:r>
              <w:rPr>
                <w:spacing w:val="-5"/>
                <w:sz w:val="20"/>
              </w:rPr>
              <w:t>80</w:t>
            </w:r>
          </w:p>
        </w:tc>
        <w:tc>
          <w:tcPr>
            <w:tcW w:w="3452" w:type="dxa"/>
            <w:tcBorders>
              <w:bottom w:val="single" w:sz="4" w:space="0" w:color="000000"/>
            </w:tcBorders>
          </w:tcPr>
          <w:p>
            <w:pPr>
              <w:pStyle w:val="TableParagraph"/>
              <w:spacing w:before="15"/>
              <w:ind w:left="21" w:right="2"/>
              <w:rPr>
                <w:sz w:val="20"/>
              </w:rPr>
            </w:pPr>
            <w:r>
              <w:rPr>
                <w:spacing w:val="-5"/>
                <w:sz w:val="20"/>
              </w:rPr>
              <w:t>129</w:t>
            </w:r>
          </w:p>
        </w:tc>
      </w:tr>
      <w:tr>
        <w:trPr>
          <w:trHeight w:val="282" w:hRule="atLeast"/>
        </w:trPr>
        <w:tc>
          <w:tcPr>
            <w:tcW w:w="3434" w:type="dxa"/>
            <w:tcBorders>
              <w:top w:val="single" w:sz="4" w:space="0" w:color="000000"/>
              <w:left w:val="single" w:sz="4" w:space="0" w:color="000000"/>
              <w:bottom w:val="single" w:sz="4" w:space="0" w:color="000000"/>
              <w:right w:val="single" w:sz="4" w:space="0" w:color="000000"/>
            </w:tcBorders>
          </w:tcPr>
          <w:p>
            <w:pPr>
              <w:pStyle w:val="TableParagraph"/>
              <w:jc w:val="left"/>
              <w:rPr>
                <w:sz w:val="20"/>
              </w:rPr>
            </w:pPr>
          </w:p>
        </w:tc>
        <w:tc>
          <w:tcPr>
            <w:tcW w:w="1770" w:type="dxa"/>
            <w:tcBorders>
              <w:top w:val="single" w:sz="4" w:space="0" w:color="000000"/>
              <w:left w:val="single" w:sz="4" w:space="0" w:color="000000"/>
              <w:bottom w:val="single" w:sz="4" w:space="0" w:color="000000"/>
              <w:right w:val="single" w:sz="4" w:space="0" w:color="000000"/>
            </w:tcBorders>
          </w:tcPr>
          <w:p>
            <w:pPr>
              <w:pStyle w:val="TableParagraph"/>
              <w:spacing w:before="25"/>
              <w:ind w:left="21"/>
              <w:rPr>
                <w:b/>
                <w:sz w:val="20"/>
              </w:rPr>
            </w:pPr>
            <w:r>
              <w:rPr>
                <w:b/>
                <w:spacing w:val="-5"/>
                <w:sz w:val="20"/>
              </w:rPr>
              <w:t>465</w:t>
            </w:r>
          </w:p>
        </w:tc>
        <w:tc>
          <w:tcPr>
            <w:tcW w:w="3452" w:type="dxa"/>
            <w:tcBorders>
              <w:top w:val="single" w:sz="4" w:space="0" w:color="000000"/>
              <w:left w:val="single" w:sz="4" w:space="0" w:color="000000"/>
              <w:bottom w:val="single" w:sz="4" w:space="0" w:color="000000"/>
              <w:right w:val="single" w:sz="4" w:space="0" w:color="000000"/>
            </w:tcBorders>
          </w:tcPr>
          <w:p>
            <w:pPr>
              <w:pStyle w:val="TableParagraph"/>
              <w:spacing w:before="15"/>
              <w:ind w:left="19"/>
              <w:rPr>
                <w:b/>
                <w:sz w:val="20"/>
              </w:rPr>
            </w:pPr>
            <w:r>
              <w:rPr>
                <w:b/>
                <w:spacing w:val="-5"/>
                <w:sz w:val="20"/>
              </w:rPr>
              <w:t>495</w:t>
            </w:r>
          </w:p>
        </w:tc>
      </w:tr>
      <w:tr>
        <w:trPr>
          <w:trHeight w:val="1183" w:hRule="atLeast"/>
        </w:trPr>
        <w:tc>
          <w:tcPr>
            <w:tcW w:w="8656" w:type="dxa"/>
            <w:gridSpan w:val="3"/>
            <w:tcBorders>
              <w:top w:val="single" w:sz="4" w:space="0" w:color="000000"/>
              <w:left w:val="nil"/>
              <w:bottom w:val="single" w:sz="4" w:space="0" w:color="000000"/>
              <w:right w:val="nil"/>
            </w:tcBorders>
          </w:tcPr>
          <w:p>
            <w:pPr>
              <w:pStyle w:val="TableParagraph"/>
              <w:jc w:val="left"/>
              <w:rPr>
                <w:sz w:val="22"/>
              </w:rPr>
            </w:pPr>
          </w:p>
        </w:tc>
      </w:tr>
      <w:tr>
        <w:trPr>
          <w:trHeight w:val="274" w:hRule="atLeast"/>
        </w:trPr>
        <w:tc>
          <w:tcPr>
            <w:tcW w:w="3434" w:type="dxa"/>
            <w:tcBorders>
              <w:top w:val="single" w:sz="4" w:space="0" w:color="000000"/>
              <w:left w:val="single" w:sz="4" w:space="0" w:color="000000"/>
              <w:bottom w:val="single" w:sz="4" w:space="0" w:color="000000"/>
              <w:right w:val="single" w:sz="4" w:space="0" w:color="000000"/>
            </w:tcBorders>
          </w:tcPr>
          <w:p>
            <w:pPr>
              <w:pStyle w:val="TableParagraph"/>
              <w:spacing w:before="15"/>
              <w:ind w:left="74"/>
              <w:jc w:val="left"/>
              <w:rPr>
                <w:b/>
                <w:sz w:val="20"/>
              </w:rPr>
            </w:pPr>
            <w:r>
              <w:rPr>
                <w:b/>
                <w:spacing w:val="-2"/>
                <w:sz w:val="20"/>
              </w:rPr>
              <w:t>Realizado</w:t>
            </w:r>
          </w:p>
        </w:tc>
        <w:tc>
          <w:tcPr>
            <w:tcW w:w="1770" w:type="dxa"/>
            <w:tcBorders>
              <w:top w:val="single" w:sz="4" w:space="0" w:color="000000"/>
              <w:left w:val="single" w:sz="4" w:space="0" w:color="000000"/>
              <w:bottom w:val="single" w:sz="4" w:space="0" w:color="000000"/>
              <w:right w:val="single" w:sz="4" w:space="0" w:color="000000"/>
            </w:tcBorders>
          </w:tcPr>
          <w:p>
            <w:pPr>
              <w:pStyle w:val="TableParagraph"/>
              <w:spacing w:before="21"/>
              <w:ind w:left="21" w:right="2"/>
              <w:rPr>
                <w:b/>
                <w:sz w:val="20"/>
              </w:rPr>
            </w:pPr>
            <w:r>
              <w:rPr>
                <w:b/>
                <w:spacing w:val="-4"/>
                <w:sz w:val="20"/>
              </w:rPr>
              <w:t>Meta</w:t>
            </w:r>
          </w:p>
        </w:tc>
        <w:tc>
          <w:tcPr>
            <w:tcW w:w="3452"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before="27"/>
              <w:ind w:left="19" w:right="4"/>
              <w:rPr>
                <w:b/>
                <w:sz w:val="20"/>
              </w:rPr>
            </w:pPr>
            <w:r>
              <w:rPr>
                <w:b/>
                <w:sz w:val="20"/>
              </w:rPr>
              <w:t>Produção</w:t>
            </w:r>
            <w:r>
              <w:rPr>
                <w:b/>
                <w:spacing w:val="-5"/>
                <w:sz w:val="20"/>
              </w:rPr>
              <w:t> </w:t>
            </w:r>
            <w:r>
              <w:rPr>
                <w:b/>
                <w:spacing w:val="-2"/>
                <w:sz w:val="20"/>
              </w:rPr>
              <w:t>Novembro/2025</w:t>
            </w:r>
          </w:p>
        </w:tc>
      </w:tr>
      <w:tr>
        <w:trPr>
          <w:trHeight w:val="280" w:hRule="atLeast"/>
        </w:trPr>
        <w:tc>
          <w:tcPr>
            <w:tcW w:w="3434" w:type="dxa"/>
            <w:tcBorders>
              <w:top w:val="single" w:sz="4" w:space="0" w:color="000000"/>
            </w:tcBorders>
          </w:tcPr>
          <w:p>
            <w:pPr>
              <w:pStyle w:val="TableParagraph"/>
              <w:spacing w:before="25"/>
              <w:ind w:left="72"/>
              <w:jc w:val="left"/>
              <w:rPr>
                <w:sz w:val="20"/>
              </w:rPr>
            </w:pPr>
            <w:r>
              <w:rPr>
                <w:spacing w:val="-2"/>
                <w:sz w:val="20"/>
              </w:rPr>
              <w:t>Colonoscopia</w:t>
            </w:r>
          </w:p>
        </w:tc>
        <w:tc>
          <w:tcPr>
            <w:tcW w:w="1770" w:type="dxa"/>
            <w:tcBorders>
              <w:top w:val="single" w:sz="4" w:space="0" w:color="000000"/>
            </w:tcBorders>
          </w:tcPr>
          <w:p>
            <w:pPr>
              <w:pStyle w:val="TableParagraph"/>
              <w:spacing w:line="225" w:lineRule="exact" w:before="35"/>
              <w:ind w:left="21"/>
              <w:rPr>
                <w:sz w:val="20"/>
              </w:rPr>
            </w:pPr>
            <w:r>
              <w:rPr>
                <w:spacing w:val="-5"/>
                <w:sz w:val="20"/>
              </w:rPr>
              <w:t>100</w:t>
            </w:r>
          </w:p>
        </w:tc>
        <w:tc>
          <w:tcPr>
            <w:tcW w:w="3452" w:type="dxa"/>
            <w:tcBorders>
              <w:top w:val="single" w:sz="4" w:space="0" w:color="000000"/>
            </w:tcBorders>
          </w:tcPr>
          <w:p>
            <w:pPr>
              <w:pStyle w:val="TableParagraph"/>
              <w:spacing w:before="15"/>
              <w:ind w:left="21" w:right="2"/>
              <w:rPr>
                <w:sz w:val="20"/>
              </w:rPr>
            </w:pPr>
            <w:r>
              <w:rPr>
                <w:spacing w:val="-5"/>
                <w:sz w:val="20"/>
              </w:rPr>
              <w:t>20</w:t>
            </w:r>
          </w:p>
        </w:tc>
      </w:tr>
      <w:tr>
        <w:trPr>
          <w:trHeight w:val="280" w:hRule="atLeast"/>
        </w:trPr>
        <w:tc>
          <w:tcPr>
            <w:tcW w:w="3434" w:type="dxa"/>
          </w:tcPr>
          <w:p>
            <w:pPr>
              <w:pStyle w:val="TableParagraph"/>
              <w:spacing w:before="25"/>
              <w:ind w:left="72"/>
              <w:jc w:val="left"/>
              <w:rPr>
                <w:sz w:val="20"/>
              </w:rPr>
            </w:pPr>
            <w:r>
              <w:rPr>
                <w:sz w:val="20"/>
              </w:rPr>
              <w:t>Endoscopia</w:t>
            </w:r>
            <w:r>
              <w:rPr>
                <w:spacing w:val="-9"/>
                <w:sz w:val="20"/>
              </w:rPr>
              <w:t> </w:t>
            </w:r>
            <w:r>
              <w:rPr>
                <w:spacing w:val="-2"/>
                <w:sz w:val="20"/>
              </w:rPr>
              <w:t>digestiva</w:t>
            </w:r>
          </w:p>
        </w:tc>
        <w:tc>
          <w:tcPr>
            <w:tcW w:w="1770" w:type="dxa"/>
          </w:tcPr>
          <w:p>
            <w:pPr>
              <w:pStyle w:val="TableParagraph"/>
              <w:spacing w:line="225" w:lineRule="exact" w:before="35"/>
              <w:ind w:left="21"/>
              <w:rPr>
                <w:sz w:val="20"/>
              </w:rPr>
            </w:pPr>
            <w:r>
              <w:rPr>
                <w:spacing w:val="-5"/>
                <w:sz w:val="20"/>
              </w:rPr>
              <w:t>80</w:t>
            </w:r>
          </w:p>
        </w:tc>
        <w:tc>
          <w:tcPr>
            <w:tcW w:w="3452" w:type="dxa"/>
          </w:tcPr>
          <w:p>
            <w:pPr>
              <w:pStyle w:val="TableParagraph"/>
              <w:spacing w:before="15"/>
              <w:ind w:left="21" w:right="2"/>
              <w:rPr>
                <w:sz w:val="20"/>
              </w:rPr>
            </w:pPr>
            <w:r>
              <w:rPr>
                <w:spacing w:val="-5"/>
                <w:sz w:val="20"/>
              </w:rPr>
              <w:t>65</w:t>
            </w:r>
          </w:p>
        </w:tc>
      </w:tr>
      <w:tr>
        <w:trPr>
          <w:trHeight w:val="269" w:hRule="atLeast"/>
        </w:trPr>
        <w:tc>
          <w:tcPr>
            <w:tcW w:w="3434" w:type="dxa"/>
          </w:tcPr>
          <w:p>
            <w:pPr>
              <w:pStyle w:val="TableParagraph"/>
              <w:spacing w:before="17"/>
              <w:ind w:left="72"/>
              <w:jc w:val="left"/>
              <w:rPr>
                <w:sz w:val="20"/>
              </w:rPr>
            </w:pPr>
            <w:r>
              <w:rPr>
                <w:sz w:val="20"/>
              </w:rPr>
              <w:t>Endoscopia</w:t>
            </w:r>
            <w:r>
              <w:rPr>
                <w:spacing w:val="-6"/>
                <w:sz w:val="20"/>
              </w:rPr>
              <w:t> </w:t>
            </w:r>
            <w:r>
              <w:rPr>
                <w:sz w:val="20"/>
              </w:rPr>
              <w:t>vias</w:t>
            </w:r>
            <w:r>
              <w:rPr>
                <w:spacing w:val="-6"/>
                <w:sz w:val="20"/>
              </w:rPr>
              <w:t> </w:t>
            </w:r>
            <w:r>
              <w:rPr>
                <w:spacing w:val="-2"/>
                <w:sz w:val="20"/>
              </w:rPr>
              <w:t>urinárias</w:t>
            </w:r>
          </w:p>
        </w:tc>
        <w:tc>
          <w:tcPr>
            <w:tcW w:w="1770" w:type="dxa"/>
          </w:tcPr>
          <w:p>
            <w:pPr>
              <w:pStyle w:val="TableParagraph"/>
              <w:spacing w:line="227" w:lineRule="exact" w:before="21"/>
              <w:ind w:left="21"/>
              <w:rPr>
                <w:sz w:val="20"/>
              </w:rPr>
            </w:pPr>
            <w:r>
              <w:rPr>
                <w:spacing w:val="-5"/>
                <w:sz w:val="20"/>
              </w:rPr>
              <w:t>20</w:t>
            </w:r>
          </w:p>
        </w:tc>
        <w:tc>
          <w:tcPr>
            <w:tcW w:w="3452" w:type="dxa"/>
          </w:tcPr>
          <w:p>
            <w:pPr>
              <w:pStyle w:val="TableParagraph"/>
              <w:spacing w:line="227" w:lineRule="exact" w:before="21"/>
              <w:ind w:left="21" w:right="2"/>
              <w:rPr>
                <w:sz w:val="20"/>
              </w:rPr>
            </w:pPr>
            <w:r>
              <w:rPr>
                <w:spacing w:val="-10"/>
                <w:sz w:val="20"/>
              </w:rPr>
              <w:t>0</w:t>
            </w:r>
          </w:p>
        </w:tc>
      </w:tr>
      <w:tr>
        <w:trPr>
          <w:trHeight w:val="280" w:hRule="atLeast"/>
        </w:trPr>
        <w:tc>
          <w:tcPr>
            <w:tcW w:w="3434" w:type="dxa"/>
          </w:tcPr>
          <w:p>
            <w:pPr>
              <w:pStyle w:val="TableParagraph"/>
              <w:spacing w:before="23"/>
              <w:ind w:left="72"/>
              <w:jc w:val="left"/>
              <w:rPr>
                <w:sz w:val="20"/>
              </w:rPr>
            </w:pPr>
            <w:r>
              <w:rPr>
                <w:sz w:val="20"/>
              </w:rPr>
              <w:t>Tomografia</w:t>
            </w:r>
            <w:r>
              <w:rPr>
                <w:spacing w:val="-4"/>
                <w:sz w:val="20"/>
              </w:rPr>
              <w:t> </w:t>
            </w:r>
            <w:r>
              <w:rPr>
                <w:spacing w:val="-2"/>
                <w:sz w:val="20"/>
              </w:rPr>
              <w:t>Computadorizada</w:t>
            </w:r>
          </w:p>
        </w:tc>
        <w:tc>
          <w:tcPr>
            <w:tcW w:w="1770" w:type="dxa"/>
          </w:tcPr>
          <w:p>
            <w:pPr>
              <w:pStyle w:val="TableParagraph"/>
              <w:spacing w:line="227" w:lineRule="exact" w:before="33"/>
              <w:ind w:left="21"/>
              <w:rPr>
                <w:sz w:val="20"/>
              </w:rPr>
            </w:pPr>
            <w:r>
              <w:rPr>
                <w:spacing w:val="-5"/>
                <w:sz w:val="20"/>
              </w:rPr>
              <w:t>125</w:t>
            </w:r>
          </w:p>
        </w:tc>
        <w:tc>
          <w:tcPr>
            <w:tcW w:w="3452" w:type="dxa"/>
          </w:tcPr>
          <w:p>
            <w:pPr>
              <w:pStyle w:val="TableParagraph"/>
              <w:spacing w:before="13"/>
              <w:ind w:left="21" w:right="2"/>
              <w:rPr>
                <w:sz w:val="20"/>
              </w:rPr>
            </w:pPr>
            <w:r>
              <w:rPr>
                <w:spacing w:val="-5"/>
                <w:sz w:val="20"/>
              </w:rPr>
              <w:t>264</w:t>
            </w:r>
          </w:p>
        </w:tc>
      </w:tr>
      <w:tr>
        <w:trPr>
          <w:trHeight w:val="281" w:hRule="atLeast"/>
        </w:trPr>
        <w:tc>
          <w:tcPr>
            <w:tcW w:w="3434" w:type="dxa"/>
          </w:tcPr>
          <w:p>
            <w:pPr>
              <w:pStyle w:val="TableParagraph"/>
              <w:spacing w:before="23"/>
              <w:ind w:left="72"/>
              <w:jc w:val="left"/>
              <w:rPr>
                <w:sz w:val="20"/>
              </w:rPr>
            </w:pPr>
            <w:r>
              <w:rPr>
                <w:spacing w:val="-2"/>
                <w:sz w:val="20"/>
              </w:rPr>
              <w:t>Ultrassonografia</w:t>
            </w:r>
          </w:p>
        </w:tc>
        <w:tc>
          <w:tcPr>
            <w:tcW w:w="1770" w:type="dxa"/>
          </w:tcPr>
          <w:p>
            <w:pPr>
              <w:pStyle w:val="TableParagraph"/>
              <w:spacing w:line="227" w:lineRule="exact" w:before="33"/>
              <w:ind w:left="21"/>
              <w:rPr>
                <w:sz w:val="20"/>
              </w:rPr>
            </w:pPr>
            <w:r>
              <w:rPr>
                <w:spacing w:val="-5"/>
                <w:sz w:val="20"/>
              </w:rPr>
              <w:t>60</w:t>
            </w:r>
          </w:p>
        </w:tc>
        <w:tc>
          <w:tcPr>
            <w:tcW w:w="3452" w:type="dxa"/>
          </w:tcPr>
          <w:p>
            <w:pPr>
              <w:pStyle w:val="TableParagraph"/>
              <w:spacing w:before="13"/>
              <w:ind w:left="21" w:right="2"/>
              <w:rPr>
                <w:sz w:val="20"/>
              </w:rPr>
            </w:pPr>
            <w:r>
              <w:rPr>
                <w:spacing w:val="-5"/>
                <w:sz w:val="20"/>
              </w:rPr>
              <w:t>80</w:t>
            </w:r>
          </w:p>
        </w:tc>
      </w:tr>
      <w:tr>
        <w:trPr>
          <w:trHeight w:val="280" w:hRule="atLeast"/>
        </w:trPr>
        <w:tc>
          <w:tcPr>
            <w:tcW w:w="3434" w:type="dxa"/>
          </w:tcPr>
          <w:p>
            <w:pPr>
              <w:pStyle w:val="TableParagraph"/>
              <w:spacing w:before="23"/>
              <w:ind w:left="72"/>
              <w:jc w:val="left"/>
              <w:rPr>
                <w:sz w:val="20"/>
              </w:rPr>
            </w:pPr>
            <w:r>
              <w:rPr>
                <w:spacing w:val="-2"/>
                <w:sz w:val="20"/>
              </w:rPr>
              <w:t>Ultrassonografia/Doppler</w:t>
            </w:r>
          </w:p>
        </w:tc>
        <w:tc>
          <w:tcPr>
            <w:tcW w:w="1770" w:type="dxa"/>
          </w:tcPr>
          <w:p>
            <w:pPr>
              <w:pStyle w:val="TableParagraph"/>
              <w:spacing w:line="227" w:lineRule="exact" w:before="33"/>
              <w:ind w:left="21"/>
              <w:rPr>
                <w:sz w:val="20"/>
              </w:rPr>
            </w:pPr>
            <w:r>
              <w:rPr>
                <w:spacing w:val="-5"/>
                <w:sz w:val="20"/>
              </w:rPr>
              <w:t>80</w:t>
            </w:r>
          </w:p>
        </w:tc>
        <w:tc>
          <w:tcPr>
            <w:tcW w:w="3452" w:type="dxa"/>
          </w:tcPr>
          <w:p>
            <w:pPr>
              <w:pStyle w:val="TableParagraph"/>
              <w:spacing w:before="13"/>
              <w:ind w:left="21" w:right="2"/>
              <w:rPr>
                <w:sz w:val="20"/>
              </w:rPr>
            </w:pPr>
            <w:r>
              <w:rPr>
                <w:spacing w:val="-5"/>
                <w:sz w:val="20"/>
              </w:rPr>
              <w:t>53</w:t>
            </w:r>
          </w:p>
        </w:tc>
      </w:tr>
      <w:tr>
        <w:trPr>
          <w:trHeight w:val="281" w:hRule="atLeast"/>
        </w:trPr>
        <w:tc>
          <w:tcPr>
            <w:tcW w:w="3434" w:type="dxa"/>
          </w:tcPr>
          <w:p>
            <w:pPr>
              <w:pStyle w:val="TableParagraph"/>
              <w:jc w:val="left"/>
              <w:rPr>
                <w:sz w:val="20"/>
              </w:rPr>
            </w:pPr>
          </w:p>
        </w:tc>
        <w:tc>
          <w:tcPr>
            <w:tcW w:w="1770" w:type="dxa"/>
          </w:tcPr>
          <w:p>
            <w:pPr>
              <w:pStyle w:val="TableParagraph"/>
              <w:spacing w:before="23"/>
              <w:ind w:left="21"/>
              <w:rPr>
                <w:b/>
                <w:sz w:val="20"/>
              </w:rPr>
            </w:pPr>
            <w:r>
              <w:rPr>
                <w:b/>
                <w:spacing w:val="-5"/>
                <w:sz w:val="20"/>
              </w:rPr>
              <w:t>465</w:t>
            </w:r>
          </w:p>
        </w:tc>
        <w:tc>
          <w:tcPr>
            <w:tcW w:w="3452" w:type="dxa"/>
          </w:tcPr>
          <w:p>
            <w:pPr>
              <w:pStyle w:val="TableParagraph"/>
              <w:spacing w:before="13"/>
              <w:ind w:left="21" w:right="2"/>
              <w:rPr>
                <w:b/>
                <w:sz w:val="20"/>
              </w:rPr>
            </w:pPr>
            <w:r>
              <w:rPr>
                <w:b/>
                <w:spacing w:val="-5"/>
                <w:sz w:val="20"/>
              </w:rPr>
              <w:t>482</w:t>
            </w:r>
          </w:p>
        </w:tc>
      </w:tr>
      <w:tr>
        <w:trPr>
          <w:trHeight w:val="267" w:hRule="atLeast"/>
        </w:trPr>
        <w:tc>
          <w:tcPr>
            <w:tcW w:w="3434" w:type="dxa"/>
          </w:tcPr>
          <w:p>
            <w:pPr>
              <w:pStyle w:val="TableParagraph"/>
              <w:jc w:val="left"/>
              <w:rPr>
                <w:sz w:val="18"/>
              </w:rPr>
            </w:pPr>
          </w:p>
        </w:tc>
        <w:tc>
          <w:tcPr>
            <w:tcW w:w="1770" w:type="dxa"/>
          </w:tcPr>
          <w:p>
            <w:pPr>
              <w:pStyle w:val="TableParagraph"/>
              <w:jc w:val="left"/>
              <w:rPr>
                <w:sz w:val="18"/>
              </w:rPr>
            </w:pPr>
          </w:p>
        </w:tc>
        <w:tc>
          <w:tcPr>
            <w:tcW w:w="3452" w:type="dxa"/>
          </w:tcPr>
          <w:p>
            <w:pPr>
              <w:pStyle w:val="TableParagraph"/>
              <w:jc w:val="left"/>
              <w:rPr>
                <w:sz w:val="18"/>
              </w:rPr>
            </w:pPr>
          </w:p>
        </w:tc>
      </w:tr>
      <w:tr>
        <w:trPr>
          <w:trHeight w:val="268" w:hRule="atLeast"/>
        </w:trPr>
        <w:tc>
          <w:tcPr>
            <w:tcW w:w="3434" w:type="dxa"/>
          </w:tcPr>
          <w:p>
            <w:pPr>
              <w:pStyle w:val="TableParagraph"/>
              <w:spacing w:before="15"/>
              <w:ind w:left="72"/>
              <w:jc w:val="left"/>
              <w:rPr>
                <w:b/>
                <w:sz w:val="20"/>
              </w:rPr>
            </w:pPr>
            <w:r>
              <w:rPr>
                <w:b/>
                <w:spacing w:val="-2"/>
                <w:sz w:val="20"/>
              </w:rPr>
              <w:t>Interno</w:t>
            </w:r>
          </w:p>
        </w:tc>
        <w:tc>
          <w:tcPr>
            <w:tcW w:w="1770" w:type="dxa"/>
          </w:tcPr>
          <w:p>
            <w:pPr>
              <w:pStyle w:val="TableParagraph"/>
              <w:spacing w:before="17"/>
              <w:ind w:left="21" w:right="2"/>
              <w:rPr>
                <w:b/>
                <w:sz w:val="20"/>
              </w:rPr>
            </w:pPr>
            <w:r>
              <w:rPr>
                <w:b/>
                <w:spacing w:val="-4"/>
                <w:sz w:val="20"/>
              </w:rPr>
              <w:t>Meta</w:t>
            </w:r>
          </w:p>
        </w:tc>
        <w:tc>
          <w:tcPr>
            <w:tcW w:w="3452" w:type="dxa"/>
          </w:tcPr>
          <w:p>
            <w:pPr>
              <w:pStyle w:val="TableParagraph"/>
              <w:spacing w:line="227" w:lineRule="exact" w:before="21"/>
              <w:ind w:left="21" w:right="6"/>
              <w:rPr>
                <w:b/>
                <w:sz w:val="20"/>
              </w:rPr>
            </w:pPr>
            <w:r>
              <w:rPr>
                <w:b/>
                <w:sz w:val="20"/>
              </w:rPr>
              <w:t>Produção</w:t>
            </w:r>
            <w:r>
              <w:rPr>
                <w:b/>
                <w:spacing w:val="-5"/>
                <w:sz w:val="20"/>
              </w:rPr>
              <w:t> </w:t>
            </w:r>
            <w:r>
              <w:rPr>
                <w:b/>
                <w:spacing w:val="-2"/>
                <w:sz w:val="20"/>
              </w:rPr>
              <w:t>Novembro/2025</w:t>
            </w:r>
          </w:p>
        </w:tc>
      </w:tr>
      <w:tr>
        <w:trPr>
          <w:trHeight w:val="281" w:hRule="atLeast"/>
        </w:trPr>
        <w:tc>
          <w:tcPr>
            <w:tcW w:w="3434" w:type="dxa"/>
          </w:tcPr>
          <w:p>
            <w:pPr>
              <w:pStyle w:val="TableParagraph"/>
              <w:spacing w:before="23"/>
              <w:ind w:left="72"/>
              <w:jc w:val="left"/>
              <w:rPr>
                <w:sz w:val="20"/>
              </w:rPr>
            </w:pPr>
            <w:r>
              <w:rPr>
                <w:spacing w:val="-2"/>
                <w:sz w:val="20"/>
              </w:rPr>
              <w:t>Colonoscopia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23</w:t>
            </w:r>
          </w:p>
        </w:tc>
      </w:tr>
      <w:tr>
        <w:trPr>
          <w:trHeight w:val="281" w:hRule="atLeast"/>
        </w:trPr>
        <w:tc>
          <w:tcPr>
            <w:tcW w:w="3434" w:type="dxa"/>
          </w:tcPr>
          <w:p>
            <w:pPr>
              <w:pStyle w:val="TableParagraph"/>
              <w:spacing w:before="23"/>
              <w:ind w:left="72"/>
              <w:jc w:val="left"/>
              <w:rPr>
                <w:sz w:val="20"/>
              </w:rPr>
            </w:pPr>
            <w:r>
              <w:rPr>
                <w:sz w:val="20"/>
              </w:rPr>
              <w:t>Endoscopia</w:t>
            </w:r>
            <w:r>
              <w:rPr>
                <w:spacing w:val="-9"/>
                <w:sz w:val="20"/>
              </w:rPr>
              <w:t> </w:t>
            </w:r>
            <w:r>
              <w:rPr>
                <w:spacing w:val="-2"/>
                <w:sz w:val="20"/>
              </w:rPr>
              <w:t>Digestiva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183</w:t>
            </w:r>
          </w:p>
        </w:tc>
      </w:tr>
      <w:tr>
        <w:trPr>
          <w:trHeight w:val="281" w:hRule="atLeast"/>
        </w:trPr>
        <w:tc>
          <w:tcPr>
            <w:tcW w:w="3434" w:type="dxa"/>
          </w:tcPr>
          <w:p>
            <w:pPr>
              <w:pStyle w:val="TableParagraph"/>
              <w:spacing w:before="23"/>
              <w:ind w:left="72"/>
              <w:jc w:val="left"/>
              <w:rPr>
                <w:sz w:val="20"/>
              </w:rPr>
            </w:pPr>
            <w:r>
              <w:rPr>
                <w:sz w:val="20"/>
              </w:rPr>
              <w:t>Tomografia</w:t>
            </w:r>
            <w:r>
              <w:rPr>
                <w:spacing w:val="-4"/>
                <w:sz w:val="20"/>
              </w:rPr>
              <w:t> </w:t>
            </w:r>
            <w:r>
              <w:rPr>
                <w:spacing w:val="-2"/>
                <w:sz w:val="20"/>
              </w:rPr>
              <w:t>Computadorizada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4"/>
                <w:sz w:val="20"/>
              </w:rPr>
              <w:t>6422</w:t>
            </w:r>
          </w:p>
        </w:tc>
      </w:tr>
      <w:tr>
        <w:trPr>
          <w:trHeight w:val="280" w:hRule="atLeast"/>
        </w:trPr>
        <w:tc>
          <w:tcPr>
            <w:tcW w:w="3434" w:type="dxa"/>
          </w:tcPr>
          <w:p>
            <w:pPr>
              <w:pStyle w:val="TableParagraph"/>
              <w:spacing w:before="23"/>
              <w:ind w:left="72"/>
              <w:jc w:val="left"/>
              <w:rPr>
                <w:sz w:val="20"/>
              </w:rPr>
            </w:pPr>
            <w:r>
              <w:rPr>
                <w:spacing w:val="-2"/>
                <w:sz w:val="20"/>
              </w:rPr>
              <w:t>Ultrassonografia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130</w:t>
            </w:r>
          </w:p>
        </w:tc>
      </w:tr>
      <w:tr>
        <w:trPr>
          <w:trHeight w:val="281" w:hRule="atLeast"/>
        </w:trPr>
        <w:tc>
          <w:tcPr>
            <w:tcW w:w="3434" w:type="dxa"/>
          </w:tcPr>
          <w:p>
            <w:pPr>
              <w:pStyle w:val="TableParagraph"/>
              <w:spacing w:before="23"/>
              <w:ind w:left="72"/>
              <w:jc w:val="left"/>
              <w:rPr>
                <w:sz w:val="20"/>
              </w:rPr>
            </w:pPr>
            <w:r>
              <w:rPr>
                <w:sz w:val="20"/>
              </w:rPr>
              <w:t>Ultrassonografia</w:t>
            </w:r>
            <w:r>
              <w:rPr>
                <w:spacing w:val="-5"/>
                <w:sz w:val="20"/>
              </w:rPr>
              <w:t> </w:t>
            </w:r>
            <w:r>
              <w:rPr>
                <w:spacing w:val="-2"/>
                <w:sz w:val="20"/>
              </w:rPr>
              <w:t>Doppler</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55</w:t>
            </w:r>
          </w:p>
        </w:tc>
      </w:tr>
      <w:tr>
        <w:trPr>
          <w:trHeight w:val="281" w:hRule="atLeast"/>
        </w:trPr>
        <w:tc>
          <w:tcPr>
            <w:tcW w:w="3434" w:type="dxa"/>
          </w:tcPr>
          <w:p>
            <w:pPr>
              <w:pStyle w:val="TableParagraph"/>
              <w:spacing w:before="23"/>
              <w:ind w:left="72"/>
              <w:jc w:val="left"/>
              <w:rPr>
                <w:sz w:val="20"/>
              </w:rPr>
            </w:pPr>
            <w:r>
              <w:rPr>
                <w:sz w:val="20"/>
              </w:rPr>
              <w:t>Análises</w:t>
            </w:r>
            <w:r>
              <w:rPr>
                <w:spacing w:val="-6"/>
                <w:sz w:val="20"/>
              </w:rPr>
              <w:t> </w:t>
            </w:r>
            <w:r>
              <w:rPr>
                <w:spacing w:val="-2"/>
                <w:sz w:val="20"/>
              </w:rPr>
              <w:t>Clínicas</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Pr>
                <w:sz w:val="20"/>
              </w:rPr>
            </w:pPr>
            <w:r>
              <w:rPr>
                <w:spacing w:val="-2"/>
                <w:sz w:val="20"/>
              </w:rPr>
              <w:t>58.320</w:t>
            </w:r>
          </w:p>
        </w:tc>
      </w:tr>
      <w:tr>
        <w:trPr>
          <w:trHeight w:val="281" w:hRule="atLeast"/>
        </w:trPr>
        <w:tc>
          <w:tcPr>
            <w:tcW w:w="3434" w:type="dxa"/>
          </w:tcPr>
          <w:p>
            <w:pPr>
              <w:pStyle w:val="TableParagraph"/>
              <w:spacing w:before="23"/>
              <w:ind w:left="72"/>
              <w:jc w:val="left"/>
              <w:rPr>
                <w:sz w:val="20"/>
              </w:rPr>
            </w:pPr>
            <w:r>
              <w:rPr>
                <w:spacing w:val="-2"/>
                <w:sz w:val="20"/>
              </w:rPr>
              <w:t>Ecocardiograma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222</w:t>
            </w:r>
          </w:p>
        </w:tc>
      </w:tr>
      <w:tr>
        <w:trPr>
          <w:trHeight w:val="281" w:hRule="atLeast"/>
        </w:trPr>
        <w:tc>
          <w:tcPr>
            <w:tcW w:w="3434" w:type="dxa"/>
          </w:tcPr>
          <w:p>
            <w:pPr>
              <w:pStyle w:val="TableParagraph"/>
              <w:spacing w:before="23"/>
              <w:ind w:left="72"/>
              <w:jc w:val="left"/>
              <w:rPr>
                <w:sz w:val="20"/>
              </w:rPr>
            </w:pPr>
            <w:r>
              <w:rPr>
                <w:spacing w:val="-2"/>
                <w:sz w:val="20"/>
              </w:rPr>
              <w:t>Eletrocardiograma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824</w:t>
            </w:r>
          </w:p>
        </w:tc>
      </w:tr>
      <w:tr>
        <w:trPr>
          <w:trHeight w:val="280" w:hRule="atLeast"/>
        </w:trPr>
        <w:tc>
          <w:tcPr>
            <w:tcW w:w="3434" w:type="dxa"/>
          </w:tcPr>
          <w:p>
            <w:pPr>
              <w:pStyle w:val="TableParagraph"/>
              <w:spacing w:before="23"/>
              <w:ind w:left="72"/>
              <w:jc w:val="left"/>
              <w:rPr>
                <w:sz w:val="20"/>
              </w:rPr>
            </w:pPr>
            <w:r>
              <w:rPr>
                <w:sz w:val="20"/>
              </w:rPr>
              <w:t>Raio</w:t>
            </w:r>
            <w:r>
              <w:rPr>
                <w:spacing w:val="-1"/>
                <w:sz w:val="20"/>
              </w:rPr>
              <w:t> </w:t>
            </w:r>
            <w:r>
              <w:rPr>
                <w:spacing w:val="-10"/>
                <w:sz w:val="20"/>
              </w:rPr>
              <w:t>X</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4"/>
                <w:sz w:val="20"/>
              </w:rPr>
              <w:t>4569</w:t>
            </w:r>
          </w:p>
        </w:tc>
      </w:tr>
      <w:tr>
        <w:trPr>
          <w:trHeight w:val="281" w:hRule="atLeast"/>
        </w:trPr>
        <w:tc>
          <w:tcPr>
            <w:tcW w:w="3434" w:type="dxa"/>
          </w:tcPr>
          <w:p>
            <w:pPr>
              <w:pStyle w:val="TableParagraph"/>
              <w:spacing w:before="23"/>
              <w:ind w:left="72"/>
              <w:jc w:val="left"/>
              <w:rPr>
                <w:sz w:val="20"/>
              </w:rPr>
            </w:pPr>
            <w:r>
              <w:rPr>
                <w:spacing w:val="-2"/>
                <w:sz w:val="20"/>
              </w:rPr>
              <w:t>Broncoscopia</w:t>
            </w:r>
          </w:p>
        </w:tc>
        <w:tc>
          <w:tcPr>
            <w:tcW w:w="1770" w:type="dxa"/>
          </w:tcPr>
          <w:p>
            <w:pPr>
              <w:pStyle w:val="TableParagraph"/>
              <w:spacing w:line="227" w:lineRule="exact" w:before="33"/>
              <w:ind w:left="21"/>
              <w:rPr>
                <w:sz w:val="20"/>
              </w:rPr>
            </w:pPr>
            <w:r>
              <w:rPr>
                <w:spacing w:val="-5"/>
                <w:sz w:val="20"/>
              </w:rPr>
              <w:t>***</w:t>
            </w:r>
          </w:p>
        </w:tc>
        <w:tc>
          <w:tcPr>
            <w:tcW w:w="3452" w:type="dxa"/>
          </w:tcPr>
          <w:p>
            <w:pPr>
              <w:pStyle w:val="TableParagraph"/>
              <w:spacing w:before="13"/>
              <w:ind w:left="21" w:right="2"/>
              <w:rPr>
                <w:sz w:val="20"/>
              </w:rPr>
            </w:pPr>
            <w:r>
              <w:rPr>
                <w:spacing w:val="-5"/>
                <w:sz w:val="20"/>
              </w:rPr>
              <w:t>14</w:t>
            </w:r>
          </w:p>
        </w:tc>
      </w:tr>
      <w:tr>
        <w:trPr>
          <w:trHeight w:val="343" w:hRule="atLeast"/>
        </w:trPr>
        <w:tc>
          <w:tcPr>
            <w:tcW w:w="3434" w:type="dxa"/>
          </w:tcPr>
          <w:p>
            <w:pPr>
              <w:pStyle w:val="TableParagraph"/>
              <w:spacing w:before="55"/>
              <w:ind w:left="72"/>
              <w:jc w:val="left"/>
              <w:rPr>
                <w:b/>
                <w:sz w:val="20"/>
              </w:rPr>
            </w:pPr>
            <w:r>
              <w:rPr>
                <w:b/>
                <w:spacing w:val="-2"/>
                <w:sz w:val="20"/>
              </w:rPr>
              <w:t>Total</w:t>
            </w:r>
          </w:p>
        </w:tc>
        <w:tc>
          <w:tcPr>
            <w:tcW w:w="1770" w:type="dxa"/>
          </w:tcPr>
          <w:p>
            <w:pPr>
              <w:pStyle w:val="TableParagraph"/>
              <w:spacing w:line="227" w:lineRule="exact" w:before="95"/>
              <w:ind w:left="21"/>
              <w:rPr>
                <w:sz w:val="20"/>
              </w:rPr>
            </w:pPr>
            <w:r>
              <w:rPr>
                <w:spacing w:val="-5"/>
                <w:sz w:val="20"/>
              </w:rPr>
              <w:t>***</w:t>
            </w:r>
          </w:p>
        </w:tc>
        <w:tc>
          <w:tcPr>
            <w:tcW w:w="3452" w:type="dxa"/>
          </w:tcPr>
          <w:p>
            <w:pPr>
              <w:pStyle w:val="TableParagraph"/>
              <w:spacing w:before="18"/>
              <w:ind w:left="21" w:right="4"/>
              <w:rPr>
                <w:rFonts w:ascii="Calibri"/>
                <w:b/>
                <w:sz w:val="24"/>
              </w:rPr>
            </w:pPr>
            <w:r>
              <w:rPr>
                <w:rFonts w:ascii="Calibri"/>
                <w:b/>
                <w:spacing w:val="-2"/>
                <w:sz w:val="24"/>
              </w:rPr>
              <w:t>70.762</w:t>
            </w:r>
          </w:p>
        </w:tc>
      </w:tr>
    </w:tbl>
    <w:p>
      <w:pPr>
        <w:spacing w:before="6"/>
        <w:ind w:left="6008" w:right="0" w:firstLine="0"/>
        <w:jc w:val="left"/>
        <w:rPr>
          <w:i/>
          <w:sz w:val="24"/>
        </w:rPr>
      </w:pPr>
      <w:bookmarkStart w:name="Fonte: Sistema MV atualizado em 03/12" w:id="20"/>
      <w:bookmarkEnd w:id="20"/>
      <w:r>
        <w:rPr/>
      </w:r>
      <w:r>
        <w:rPr>
          <w:i/>
          <w:sz w:val="24"/>
        </w:rPr>
        <w:t>Fonte:</w:t>
      </w:r>
      <w:r>
        <w:rPr>
          <w:i/>
          <w:spacing w:val="-3"/>
          <w:sz w:val="24"/>
        </w:rPr>
        <w:t> </w:t>
      </w:r>
      <w:r>
        <w:rPr>
          <w:i/>
          <w:sz w:val="24"/>
        </w:rPr>
        <w:t>Sistema</w:t>
      </w:r>
      <w:r>
        <w:rPr>
          <w:i/>
          <w:spacing w:val="-3"/>
          <w:sz w:val="24"/>
        </w:rPr>
        <w:t> </w:t>
      </w:r>
      <w:r>
        <w:rPr>
          <w:i/>
          <w:sz w:val="24"/>
        </w:rPr>
        <w:t>MV</w:t>
      </w:r>
      <w:r>
        <w:rPr>
          <w:i/>
          <w:spacing w:val="-5"/>
          <w:sz w:val="24"/>
        </w:rPr>
        <w:t> </w:t>
      </w:r>
      <w:r>
        <w:rPr>
          <w:i/>
          <w:sz w:val="24"/>
        </w:rPr>
        <w:t>atualizado</w:t>
      </w:r>
      <w:r>
        <w:rPr>
          <w:i/>
          <w:spacing w:val="-2"/>
          <w:sz w:val="24"/>
        </w:rPr>
        <w:t> </w:t>
      </w:r>
      <w:r>
        <w:rPr>
          <w:i/>
          <w:sz w:val="24"/>
        </w:rPr>
        <w:t>em</w:t>
      </w:r>
      <w:r>
        <w:rPr>
          <w:i/>
          <w:spacing w:val="-3"/>
          <w:sz w:val="24"/>
        </w:rPr>
        <w:t> </w:t>
      </w:r>
      <w:r>
        <w:rPr>
          <w:i/>
          <w:spacing w:val="-2"/>
          <w:sz w:val="24"/>
        </w:rPr>
        <w:t>03/12</w:t>
      </w:r>
    </w:p>
    <w:p>
      <w:pPr>
        <w:pStyle w:val="BodyText"/>
        <w:rPr>
          <w:i/>
        </w:rPr>
      </w:pPr>
    </w:p>
    <w:p>
      <w:pPr>
        <w:pStyle w:val="BodyText"/>
        <w:spacing w:before="25"/>
        <w:rPr>
          <w:i/>
        </w:rPr>
      </w:pPr>
    </w:p>
    <w:p>
      <w:pPr>
        <w:pStyle w:val="ListParagraph"/>
        <w:numPr>
          <w:ilvl w:val="1"/>
          <w:numId w:val="2"/>
        </w:numPr>
        <w:tabs>
          <w:tab w:pos="1313" w:val="left" w:leader="none"/>
        </w:tabs>
        <w:spacing w:line="240" w:lineRule="auto" w:before="0" w:after="0"/>
        <w:ind w:left="1313" w:right="0" w:hanging="720"/>
        <w:jc w:val="left"/>
        <w:rPr>
          <w:b/>
          <w:sz w:val="24"/>
        </w:rPr>
      </w:pPr>
      <w:bookmarkStart w:name="3.3. Análise Crítica" w:id="21"/>
      <w:bookmarkEnd w:id="21"/>
      <w:r>
        <w:rPr>
          <w:rFonts w:ascii="Arial" w:hAnsi="Arial"/>
          <w:b/>
          <w:sz w:val="24"/>
        </w:rPr>
      </w:r>
      <w:r>
        <w:rPr>
          <w:b/>
          <w:sz w:val="24"/>
        </w:rPr>
        <w:t>Análise</w:t>
      </w:r>
      <w:r>
        <w:rPr>
          <w:b/>
          <w:spacing w:val="-4"/>
          <w:sz w:val="24"/>
        </w:rPr>
        <w:t> </w:t>
      </w:r>
      <w:r>
        <w:rPr>
          <w:b/>
          <w:spacing w:val="-2"/>
          <w:sz w:val="24"/>
        </w:rPr>
        <w:t>Crítica</w:t>
      </w:r>
    </w:p>
    <w:p>
      <w:pPr>
        <w:pStyle w:val="BodyText"/>
        <w:spacing w:before="140"/>
        <w:rPr>
          <w:b/>
        </w:rPr>
      </w:pPr>
    </w:p>
    <w:p>
      <w:pPr>
        <w:pStyle w:val="BodyText"/>
        <w:spacing w:line="360" w:lineRule="auto"/>
        <w:ind w:left="593" w:right="746" w:firstLine="720"/>
        <w:jc w:val="both"/>
      </w:pPr>
      <w:r>
        <w:rPr/>
        <w:t>Em novembro de 2025, o SADT manteve seu papel central no suporte diagnóstico e terapêutico do HUGO, com produção alinhada às necessidades assistenciais da instituição. Foram realizados 482 exames externos — superando a meta mensal em 3,7% — e 70.762 exames internos, volume que assegura respaldo adequado às decisões clínicas e cirúrgicas.</w:t>
      </w:r>
    </w:p>
    <w:p>
      <w:pPr>
        <w:pStyle w:val="BodyText"/>
        <w:spacing w:line="360" w:lineRule="auto"/>
        <w:ind w:left="593" w:right="745" w:firstLine="720"/>
        <w:jc w:val="both"/>
      </w:pPr>
      <w:r>
        <w:rPr/>
        <w:t>No</w:t>
      </w:r>
      <w:r>
        <w:rPr>
          <w:spacing w:val="-4"/>
        </w:rPr>
        <w:t> </w:t>
      </w:r>
      <w:r>
        <w:rPr/>
        <w:t>segmento</w:t>
      </w:r>
      <w:r>
        <w:rPr>
          <w:spacing w:val="-4"/>
        </w:rPr>
        <w:t> </w:t>
      </w:r>
      <w:r>
        <w:rPr/>
        <w:t>ambulatorial</w:t>
      </w:r>
      <w:r>
        <w:rPr>
          <w:spacing w:val="-3"/>
        </w:rPr>
        <w:t> </w:t>
      </w:r>
      <w:r>
        <w:rPr/>
        <w:t>externo,</w:t>
      </w:r>
      <w:r>
        <w:rPr>
          <w:spacing w:val="-3"/>
        </w:rPr>
        <w:t> </w:t>
      </w:r>
      <w:r>
        <w:rPr/>
        <w:t>a</w:t>
      </w:r>
      <w:r>
        <w:rPr>
          <w:spacing w:val="-6"/>
        </w:rPr>
        <w:t> </w:t>
      </w:r>
      <w:r>
        <w:rPr/>
        <w:t>Tomografia</w:t>
      </w:r>
      <w:r>
        <w:rPr>
          <w:spacing w:val="-3"/>
        </w:rPr>
        <w:t> </w:t>
      </w:r>
      <w:r>
        <w:rPr/>
        <w:t>Computadorizada</w:t>
      </w:r>
      <w:r>
        <w:rPr>
          <w:spacing w:val="-3"/>
        </w:rPr>
        <w:t> </w:t>
      </w:r>
      <w:r>
        <w:rPr/>
        <w:t>novamente</w:t>
      </w:r>
      <w:r>
        <w:rPr>
          <w:spacing w:val="-3"/>
        </w:rPr>
        <w:t> </w:t>
      </w:r>
      <w:r>
        <w:rPr/>
        <w:t>superou</w:t>
      </w:r>
      <w:r>
        <w:rPr>
          <w:spacing w:val="-4"/>
        </w:rPr>
        <w:t> </w:t>
      </w:r>
      <w:r>
        <w:rPr/>
        <w:t>a</w:t>
      </w:r>
      <w:r>
        <w:rPr>
          <w:spacing w:val="-4"/>
        </w:rPr>
        <w:t> </w:t>
      </w:r>
      <w:r>
        <w:rPr/>
        <w:t>meta de forma expressiva, alcançando 264 exames (111% do pactuado), confirmando a elevada demanda por este recurso diagnóstico. A Ultrassonografia também apresentou resultado positivo, com 80 procedimentos realizados (133% da meta). Por outro lado, colonoscopias e endoscopias digestivas permaneceram</w:t>
      </w:r>
      <w:r>
        <w:rPr>
          <w:spacing w:val="60"/>
        </w:rPr>
        <w:t> </w:t>
      </w:r>
      <w:r>
        <w:rPr/>
        <w:t>abaixo</w:t>
      </w:r>
      <w:r>
        <w:rPr>
          <w:spacing w:val="61"/>
        </w:rPr>
        <w:t> </w:t>
      </w:r>
      <w:r>
        <w:rPr/>
        <w:t>do</w:t>
      </w:r>
      <w:r>
        <w:rPr>
          <w:spacing w:val="40"/>
        </w:rPr>
        <w:t> </w:t>
      </w:r>
      <w:r>
        <w:rPr/>
        <w:t>esperado,</w:t>
      </w:r>
      <w:r>
        <w:rPr>
          <w:spacing w:val="40"/>
        </w:rPr>
        <w:t> </w:t>
      </w:r>
      <w:r>
        <w:rPr/>
        <w:t>refletindo</w:t>
      </w:r>
      <w:r>
        <w:rPr>
          <w:spacing w:val="61"/>
        </w:rPr>
        <w:t> </w:t>
      </w:r>
      <w:r>
        <w:rPr/>
        <w:t>a</w:t>
      </w:r>
      <w:r>
        <w:rPr>
          <w:spacing w:val="40"/>
        </w:rPr>
        <w:t> </w:t>
      </w:r>
      <w:r>
        <w:rPr/>
        <w:t>persistência</w:t>
      </w:r>
      <w:r>
        <w:rPr>
          <w:spacing w:val="60"/>
        </w:rPr>
        <w:t> </w:t>
      </w:r>
      <w:r>
        <w:rPr/>
        <w:t>de</w:t>
      </w:r>
      <w:r>
        <w:rPr>
          <w:spacing w:val="40"/>
        </w:rPr>
        <w:t> </w:t>
      </w:r>
      <w:r>
        <w:rPr/>
        <w:t>perdas</w:t>
      </w:r>
      <w:r>
        <w:rPr>
          <w:spacing w:val="40"/>
        </w:rPr>
        <w:t> </w:t>
      </w:r>
      <w:r>
        <w:rPr/>
        <w:t>primárias</w:t>
      </w:r>
      <w:r>
        <w:rPr>
          <w:spacing w:val="61"/>
        </w:rPr>
        <w:t> </w:t>
      </w:r>
      <w:r>
        <w:rPr/>
        <w:t>entre</w:t>
      </w:r>
      <w:r>
        <w:rPr>
          <w:spacing w:val="40"/>
        </w:rPr>
        <w:t> </w:t>
      </w:r>
      <w:r>
        <w:rPr/>
        <w:t>pacientes</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spacing w:line="360" w:lineRule="auto"/>
        <w:ind w:left="593" w:right="766"/>
        <w:jc w:val="both"/>
      </w:pPr>
      <w:r>
        <w:rPr/>
        <w:t>agendados pela rede e</w:t>
      </w:r>
      <w:r>
        <w:rPr>
          <w:spacing w:val="-1"/>
        </w:rPr>
        <w:t> </w:t>
      </w:r>
      <w:r>
        <w:rPr/>
        <w:t>a</w:t>
      </w:r>
      <w:r>
        <w:rPr>
          <w:spacing w:val="-1"/>
        </w:rPr>
        <w:t> </w:t>
      </w:r>
      <w:r>
        <w:rPr/>
        <w:t>adesão efetiva. A endoscopia de vias urinárias seguiu sem</w:t>
      </w:r>
      <w:r>
        <w:rPr>
          <w:spacing w:val="-1"/>
        </w:rPr>
        <w:t> </w:t>
      </w:r>
      <w:r>
        <w:rPr/>
        <w:t>produção em</w:t>
      </w:r>
      <w:r>
        <w:rPr>
          <w:spacing w:val="-1"/>
        </w:rPr>
        <w:t> </w:t>
      </w:r>
      <w:r>
        <w:rPr/>
        <w:t>razão da indisponibilidade do equipamento específico.</w:t>
      </w:r>
    </w:p>
    <w:p>
      <w:pPr>
        <w:pStyle w:val="BodyText"/>
        <w:spacing w:before="108"/>
      </w:pPr>
    </w:p>
    <w:p>
      <w:pPr>
        <w:pStyle w:val="BodyText"/>
        <w:spacing w:line="360" w:lineRule="auto"/>
        <w:ind w:left="593" w:right="749" w:firstLine="720"/>
        <w:jc w:val="both"/>
      </w:pPr>
      <w:r>
        <w:rPr/>
        <w:t>A produção interna reafirmou o SADT como pilar de sustentação diagnóstica do hospital, garantindo agilidade no suporte aos pacientes internados. Destacam-se as Análises Clínicas (58.320 exames), fundamentais para monitoramento terapêutico e acompanhamento diário; a Tomografia Computadorizada (6.422 exames), consolidada como principal ferramenta diagnóstica de urgência; o Raio</w:t>
      </w:r>
      <w:r>
        <w:rPr>
          <w:spacing w:val="-1"/>
        </w:rPr>
        <w:t> </w:t>
      </w:r>
      <w:r>
        <w:rPr/>
        <w:t>X</w:t>
      </w:r>
      <w:r>
        <w:rPr>
          <w:spacing w:val="-2"/>
        </w:rPr>
        <w:t> </w:t>
      </w:r>
      <w:r>
        <w:rPr/>
        <w:t>(4.569)</w:t>
      </w:r>
      <w:r>
        <w:rPr>
          <w:spacing w:val="-1"/>
        </w:rPr>
        <w:t> </w:t>
      </w:r>
      <w:r>
        <w:rPr/>
        <w:t>e</w:t>
      </w:r>
      <w:r>
        <w:rPr>
          <w:spacing w:val="-3"/>
        </w:rPr>
        <w:t> </w:t>
      </w:r>
      <w:r>
        <w:rPr/>
        <w:t>os</w:t>
      </w:r>
      <w:r>
        <w:rPr>
          <w:spacing w:val="-2"/>
        </w:rPr>
        <w:t> </w:t>
      </w:r>
      <w:r>
        <w:rPr/>
        <w:t>Eletrocardiogramas (824),</w:t>
      </w:r>
      <w:r>
        <w:rPr>
          <w:spacing w:val="-2"/>
        </w:rPr>
        <w:t> </w:t>
      </w:r>
      <w:r>
        <w:rPr/>
        <w:t>que</w:t>
      </w:r>
      <w:r>
        <w:rPr>
          <w:spacing w:val="-1"/>
        </w:rPr>
        <w:t> </w:t>
      </w:r>
      <w:r>
        <w:rPr/>
        <w:t>ilustram</w:t>
      </w:r>
      <w:r>
        <w:rPr>
          <w:spacing w:val="-1"/>
        </w:rPr>
        <w:t> </w:t>
      </w:r>
      <w:r>
        <w:rPr/>
        <w:t>a</w:t>
      </w:r>
      <w:r>
        <w:rPr>
          <w:spacing w:val="-3"/>
        </w:rPr>
        <w:t> </w:t>
      </w:r>
      <w:r>
        <w:rPr/>
        <w:t>demanda</w:t>
      </w:r>
      <w:r>
        <w:rPr>
          <w:spacing w:val="-1"/>
        </w:rPr>
        <w:t> </w:t>
      </w:r>
      <w:r>
        <w:rPr/>
        <w:t>contínua</w:t>
      </w:r>
      <w:r>
        <w:rPr>
          <w:spacing w:val="-1"/>
        </w:rPr>
        <w:t> </w:t>
      </w:r>
      <w:r>
        <w:rPr/>
        <w:t>de</w:t>
      </w:r>
      <w:r>
        <w:rPr>
          <w:spacing w:val="-3"/>
        </w:rPr>
        <w:t> </w:t>
      </w:r>
      <w:r>
        <w:rPr/>
        <w:t>exames de</w:t>
      </w:r>
      <w:r>
        <w:rPr>
          <w:spacing w:val="-3"/>
        </w:rPr>
        <w:t> </w:t>
      </w:r>
      <w:r>
        <w:rPr/>
        <w:t>rotina</w:t>
      </w:r>
      <w:r>
        <w:rPr>
          <w:spacing w:val="-1"/>
        </w:rPr>
        <w:t> </w:t>
      </w:r>
      <w:r>
        <w:rPr/>
        <w:t>e suporte às avaliações pré e pós-operatórias; além da Endoscopia Digestiva (183) e Colonoscopia (23), que mantiveram oferta regular voltada à resolutividade interna e ao acompanhamento de pacientes </w:t>
      </w:r>
      <w:r>
        <w:rPr>
          <w:spacing w:val="-2"/>
        </w:rPr>
        <w:t>críticos.</w:t>
      </w:r>
    </w:p>
    <w:p>
      <w:pPr>
        <w:pStyle w:val="BodyText"/>
        <w:spacing w:line="360" w:lineRule="auto"/>
        <w:ind w:left="593" w:right="750"/>
        <w:jc w:val="both"/>
      </w:pPr>
      <w:r>
        <w:rPr/>
        <w:t>A estratégia de priorização de exames para pacientes internos e egressos, implementada em outubro, segue vigente e apresenta resultados positivos. Essa medida visa:</w:t>
      </w:r>
    </w:p>
    <w:p>
      <w:pPr>
        <w:pStyle w:val="ListParagraph"/>
        <w:numPr>
          <w:ilvl w:val="0"/>
          <w:numId w:val="5"/>
        </w:numPr>
        <w:tabs>
          <w:tab w:pos="1312" w:val="left" w:leader="none"/>
        </w:tabs>
        <w:spacing w:line="240" w:lineRule="auto" w:before="1" w:after="0"/>
        <w:ind w:left="1312" w:right="0" w:hanging="359"/>
        <w:jc w:val="both"/>
        <w:rPr>
          <w:sz w:val="24"/>
        </w:rPr>
      </w:pPr>
      <w:r>
        <w:rPr>
          <w:sz w:val="24"/>
        </w:rPr>
        <w:t>Assegurar</w:t>
      </w:r>
      <w:r>
        <w:rPr>
          <w:spacing w:val="-6"/>
          <w:sz w:val="24"/>
        </w:rPr>
        <w:t> </w:t>
      </w:r>
      <w:r>
        <w:rPr>
          <w:sz w:val="24"/>
        </w:rPr>
        <w:t>continuidade</w:t>
      </w:r>
      <w:r>
        <w:rPr>
          <w:spacing w:val="-2"/>
          <w:sz w:val="24"/>
        </w:rPr>
        <w:t> </w:t>
      </w:r>
      <w:r>
        <w:rPr>
          <w:sz w:val="24"/>
        </w:rPr>
        <w:t>do</w:t>
      </w:r>
      <w:r>
        <w:rPr>
          <w:spacing w:val="-3"/>
          <w:sz w:val="24"/>
        </w:rPr>
        <w:t> </w:t>
      </w:r>
      <w:r>
        <w:rPr>
          <w:sz w:val="24"/>
        </w:rPr>
        <w:t>cuidado</w:t>
      </w:r>
      <w:r>
        <w:rPr>
          <w:spacing w:val="-2"/>
          <w:sz w:val="24"/>
        </w:rPr>
        <w:t> </w:t>
      </w:r>
      <w:r>
        <w:rPr>
          <w:sz w:val="24"/>
        </w:rPr>
        <w:t>e</w:t>
      </w:r>
      <w:r>
        <w:rPr>
          <w:spacing w:val="-4"/>
          <w:sz w:val="24"/>
        </w:rPr>
        <w:t> </w:t>
      </w:r>
      <w:r>
        <w:rPr>
          <w:sz w:val="24"/>
        </w:rPr>
        <w:t>reduzir</w:t>
      </w:r>
      <w:r>
        <w:rPr>
          <w:spacing w:val="-3"/>
          <w:sz w:val="24"/>
        </w:rPr>
        <w:t> </w:t>
      </w:r>
      <w:r>
        <w:rPr>
          <w:sz w:val="24"/>
        </w:rPr>
        <w:t>o</w:t>
      </w:r>
      <w:r>
        <w:rPr>
          <w:spacing w:val="-3"/>
          <w:sz w:val="24"/>
        </w:rPr>
        <w:t> </w:t>
      </w:r>
      <w:r>
        <w:rPr>
          <w:sz w:val="24"/>
        </w:rPr>
        <w:t>tempo</w:t>
      </w:r>
      <w:r>
        <w:rPr>
          <w:spacing w:val="-2"/>
          <w:sz w:val="24"/>
        </w:rPr>
        <w:t> </w:t>
      </w:r>
      <w:r>
        <w:rPr>
          <w:sz w:val="24"/>
        </w:rPr>
        <w:t>de</w:t>
      </w:r>
      <w:r>
        <w:rPr>
          <w:spacing w:val="-4"/>
          <w:sz w:val="24"/>
        </w:rPr>
        <w:t> </w:t>
      </w:r>
      <w:r>
        <w:rPr>
          <w:sz w:val="24"/>
        </w:rPr>
        <w:t>espera</w:t>
      </w:r>
      <w:r>
        <w:rPr>
          <w:spacing w:val="-2"/>
          <w:sz w:val="24"/>
        </w:rPr>
        <w:t> </w:t>
      </w:r>
      <w:r>
        <w:rPr>
          <w:sz w:val="24"/>
        </w:rPr>
        <w:t>por</w:t>
      </w:r>
      <w:r>
        <w:rPr>
          <w:spacing w:val="-3"/>
          <w:sz w:val="24"/>
        </w:rPr>
        <w:t> </w:t>
      </w:r>
      <w:r>
        <w:rPr>
          <w:spacing w:val="-2"/>
          <w:sz w:val="24"/>
        </w:rPr>
        <w:t>diagnóstico;</w:t>
      </w:r>
    </w:p>
    <w:p>
      <w:pPr>
        <w:pStyle w:val="ListParagraph"/>
        <w:numPr>
          <w:ilvl w:val="0"/>
          <w:numId w:val="5"/>
        </w:numPr>
        <w:tabs>
          <w:tab w:pos="1313" w:val="left" w:leader="none"/>
        </w:tabs>
        <w:spacing w:line="352" w:lineRule="auto" w:before="146" w:after="0"/>
        <w:ind w:left="1313" w:right="746" w:hanging="360"/>
        <w:jc w:val="both"/>
        <w:rPr>
          <w:sz w:val="24"/>
        </w:rPr>
      </w:pPr>
      <w:r>
        <w:rPr>
          <w:sz w:val="24"/>
        </w:rPr>
        <w:t>Diminuir o tempo de internação, mitigando atrasos decorrentes da dependência de exames </w:t>
      </w:r>
      <w:r>
        <w:rPr>
          <w:spacing w:val="-2"/>
          <w:sz w:val="24"/>
        </w:rPr>
        <w:t>complementares;</w:t>
      </w:r>
    </w:p>
    <w:p>
      <w:pPr>
        <w:pStyle w:val="ListParagraph"/>
        <w:numPr>
          <w:ilvl w:val="0"/>
          <w:numId w:val="5"/>
        </w:numPr>
        <w:tabs>
          <w:tab w:pos="1313" w:val="left" w:leader="none"/>
        </w:tabs>
        <w:spacing w:line="352" w:lineRule="auto" w:before="8" w:after="0"/>
        <w:ind w:left="1313" w:right="751" w:hanging="360"/>
        <w:jc w:val="both"/>
        <w:rPr>
          <w:sz w:val="24"/>
        </w:rPr>
      </w:pPr>
      <w:r>
        <w:rPr>
          <w:sz w:val="24"/>
        </w:rPr>
        <w:t>Fortalecer a integração entre as equipes clínica, cirúrgica e diagnóstica, promovendo agilidade e segurança nas decisões assistenciais.</w:t>
      </w:r>
    </w:p>
    <w:p>
      <w:pPr>
        <w:pStyle w:val="BodyText"/>
        <w:spacing w:line="360" w:lineRule="auto" w:before="9"/>
        <w:ind w:left="593" w:right="750" w:firstLine="720"/>
        <w:jc w:val="both"/>
      </w:pPr>
      <w:r>
        <w:rPr/>
        <w:t>O desempenho de novembro confirma a consolidação do modelo de priorização interna adotado</w:t>
      </w:r>
      <w:r>
        <w:rPr>
          <w:spacing w:val="-3"/>
        </w:rPr>
        <w:t> </w:t>
      </w:r>
      <w:r>
        <w:rPr/>
        <w:t>pelo</w:t>
      </w:r>
      <w:r>
        <w:rPr>
          <w:spacing w:val="-4"/>
        </w:rPr>
        <w:t> </w:t>
      </w:r>
      <w:r>
        <w:rPr/>
        <w:t>setor.</w:t>
      </w:r>
      <w:r>
        <w:rPr>
          <w:spacing w:val="-4"/>
        </w:rPr>
        <w:t> </w:t>
      </w:r>
      <w:r>
        <w:rPr/>
        <w:t>Embora</w:t>
      </w:r>
      <w:r>
        <w:rPr>
          <w:spacing w:val="-3"/>
        </w:rPr>
        <w:t> </w:t>
      </w:r>
      <w:r>
        <w:rPr/>
        <w:t>persistam</w:t>
      </w:r>
      <w:r>
        <w:rPr>
          <w:spacing w:val="-3"/>
        </w:rPr>
        <w:t> </w:t>
      </w:r>
      <w:r>
        <w:rPr/>
        <w:t>desafios</w:t>
      </w:r>
      <w:r>
        <w:rPr>
          <w:spacing w:val="-4"/>
        </w:rPr>
        <w:t> </w:t>
      </w:r>
      <w:r>
        <w:rPr/>
        <w:t>no</w:t>
      </w:r>
      <w:r>
        <w:rPr>
          <w:spacing w:val="-4"/>
        </w:rPr>
        <w:t> </w:t>
      </w:r>
      <w:r>
        <w:rPr/>
        <w:t>aproveitamento</w:t>
      </w:r>
      <w:r>
        <w:rPr>
          <w:spacing w:val="-1"/>
        </w:rPr>
        <w:t> </w:t>
      </w:r>
      <w:r>
        <w:rPr/>
        <w:t>de</w:t>
      </w:r>
      <w:r>
        <w:rPr>
          <w:spacing w:val="-5"/>
        </w:rPr>
        <w:t> </w:t>
      </w:r>
      <w:r>
        <w:rPr/>
        <w:t>agendas</w:t>
      </w:r>
      <w:r>
        <w:rPr>
          <w:spacing w:val="-4"/>
        </w:rPr>
        <w:t> </w:t>
      </w:r>
      <w:r>
        <w:rPr/>
        <w:t>externas</w:t>
      </w:r>
      <w:r>
        <w:rPr>
          <w:spacing w:val="-2"/>
        </w:rPr>
        <w:t> </w:t>
      </w:r>
      <w:r>
        <w:rPr/>
        <w:t>e</w:t>
      </w:r>
      <w:r>
        <w:rPr>
          <w:spacing w:val="-5"/>
        </w:rPr>
        <w:t> </w:t>
      </w:r>
      <w:r>
        <w:rPr/>
        <w:t>na</w:t>
      </w:r>
      <w:r>
        <w:rPr>
          <w:spacing w:val="-3"/>
        </w:rPr>
        <w:t> </w:t>
      </w:r>
      <w:r>
        <w:rPr/>
        <w:t>adesão</w:t>
      </w:r>
      <w:r>
        <w:rPr>
          <w:spacing w:val="-4"/>
        </w:rPr>
        <w:t> </w:t>
      </w:r>
      <w:r>
        <w:rPr/>
        <w:t>dos pacientes ambulatoriais, o SADT segue demonstrando capacidade de resposta às demandas hospitalares, contribuindo para a resolutividade assistencial e o suporte às metas institucionais de eficiência e giro de leitos.</w:t>
      </w:r>
    </w:p>
    <w:p>
      <w:pPr>
        <w:pStyle w:val="BodyText"/>
      </w:pPr>
    </w:p>
    <w:p>
      <w:pPr>
        <w:pStyle w:val="BodyText"/>
        <w:spacing w:before="141"/>
      </w:pPr>
    </w:p>
    <w:p>
      <w:pPr>
        <w:pStyle w:val="ListParagraph"/>
        <w:numPr>
          <w:ilvl w:val="1"/>
          <w:numId w:val="2"/>
        </w:numPr>
        <w:tabs>
          <w:tab w:pos="1313" w:val="left" w:leader="none"/>
        </w:tabs>
        <w:spacing w:line="240" w:lineRule="auto" w:before="0" w:after="0"/>
        <w:ind w:left="1313" w:right="0" w:hanging="720"/>
        <w:jc w:val="left"/>
        <w:rPr>
          <w:b/>
          <w:sz w:val="24"/>
        </w:rPr>
      </w:pPr>
      <w:bookmarkStart w:name="3.4. Atendimento de urgência" w:id="22"/>
      <w:bookmarkEnd w:id="22"/>
      <w:r>
        <w:rPr>
          <w:rFonts w:ascii="Arial" w:hAnsi="Arial"/>
          <w:b/>
          <w:sz w:val="24"/>
        </w:rPr>
      </w:r>
      <w:r>
        <w:rPr>
          <w:b/>
          <w:sz w:val="24"/>
        </w:rPr>
        <w:t>Atendimento</w:t>
      </w:r>
      <w:r>
        <w:rPr>
          <w:b/>
          <w:spacing w:val="-1"/>
          <w:sz w:val="24"/>
        </w:rPr>
        <w:t> </w:t>
      </w:r>
      <w:r>
        <w:rPr>
          <w:b/>
          <w:sz w:val="24"/>
        </w:rPr>
        <w:t>de</w:t>
      </w:r>
      <w:r>
        <w:rPr>
          <w:b/>
          <w:spacing w:val="-4"/>
          <w:sz w:val="24"/>
        </w:rPr>
        <w:t> </w:t>
      </w:r>
      <w:r>
        <w:rPr>
          <w:b/>
          <w:spacing w:val="-2"/>
          <w:sz w:val="24"/>
        </w:rPr>
        <w:t>urgência</w:t>
      </w:r>
    </w:p>
    <w:p>
      <w:pPr>
        <w:pStyle w:val="BodyText"/>
        <w:rPr>
          <w:b/>
        </w:rPr>
      </w:pPr>
    </w:p>
    <w:p>
      <w:pPr>
        <w:pStyle w:val="BodyText"/>
        <w:spacing w:line="360" w:lineRule="auto" w:before="1"/>
        <w:ind w:left="593" w:right="747" w:firstLine="720"/>
        <w:jc w:val="both"/>
      </w:pPr>
      <w:r>
        <w:rPr/>
        <w:t>Em novembro de 2025, o HUGO registrou 2.826 atendimentos de urgência, volume ligeiramente inferior ao mês anterior, possivelmente associado a variações sazonais do período. A demanda regulada respondeu por 83% do total (2.351 atendimentos), enquanto a demanda espontânea totalizou 475 casos. Permanece em andamento, junto à Secretaria, a revisão e otimização do sistema MV, com o objetivo de corrigir inconsistências identificadas no registro de classificações de risco e aprimorar o processo de triagem e priorização dos atendimentos.</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pPr>
    </w:p>
    <w:p>
      <w:pPr>
        <w:pStyle w:val="BodyText"/>
      </w:pPr>
    </w:p>
    <w:p>
      <w:pPr>
        <w:pStyle w:val="BodyText"/>
      </w:pPr>
    </w:p>
    <w:p>
      <w:pPr>
        <w:pStyle w:val="BodyText"/>
        <w:spacing w:before="201"/>
      </w:pPr>
    </w:p>
    <w:p>
      <w:pPr>
        <w:spacing w:before="0" w:after="22"/>
        <w:ind w:left="593" w:right="0" w:firstLine="0"/>
        <w:jc w:val="left"/>
        <w:rPr>
          <w:b/>
          <w:sz w:val="24"/>
        </w:rPr>
      </w:pPr>
      <w:r>
        <w:rPr>
          <w:b/>
          <w:sz w:val="24"/>
        </w:rPr>
        <w:t>Tabela</w:t>
      </w:r>
      <w:r>
        <w:rPr>
          <w:b/>
          <w:spacing w:val="-2"/>
          <w:sz w:val="24"/>
        </w:rPr>
        <w:t> </w:t>
      </w:r>
      <w:r>
        <w:rPr>
          <w:b/>
          <w:sz w:val="24"/>
        </w:rPr>
        <w:t>5</w:t>
      </w:r>
      <w:r>
        <w:rPr>
          <w:b/>
          <w:spacing w:val="-2"/>
          <w:sz w:val="24"/>
        </w:rPr>
        <w:t> </w:t>
      </w:r>
      <w:r>
        <w:rPr>
          <w:b/>
          <w:sz w:val="24"/>
        </w:rPr>
        <w:t>–</w:t>
      </w:r>
      <w:r>
        <w:rPr>
          <w:b/>
          <w:spacing w:val="-2"/>
          <w:sz w:val="24"/>
        </w:rPr>
        <w:t> </w:t>
      </w:r>
      <w:r>
        <w:rPr>
          <w:b/>
          <w:sz w:val="24"/>
        </w:rPr>
        <w:t>Atendimento</w:t>
      </w:r>
      <w:r>
        <w:rPr>
          <w:b/>
          <w:spacing w:val="-2"/>
          <w:sz w:val="24"/>
        </w:rPr>
        <w:t> </w:t>
      </w:r>
      <w:r>
        <w:rPr>
          <w:b/>
          <w:sz w:val="24"/>
        </w:rPr>
        <w:t>de</w:t>
      </w:r>
      <w:r>
        <w:rPr>
          <w:b/>
          <w:spacing w:val="-3"/>
          <w:sz w:val="24"/>
        </w:rPr>
        <w:t> </w:t>
      </w:r>
      <w:r>
        <w:rPr>
          <w:b/>
          <w:sz w:val="24"/>
        </w:rPr>
        <w:t>urgência</w:t>
      </w:r>
      <w:r>
        <w:rPr>
          <w:b/>
          <w:spacing w:val="-2"/>
          <w:sz w:val="24"/>
        </w:rPr>
        <w:t> </w:t>
      </w:r>
      <w:r>
        <w:rPr>
          <w:b/>
          <w:sz w:val="24"/>
        </w:rPr>
        <w:t>e</w:t>
      </w:r>
      <w:r>
        <w:rPr>
          <w:b/>
          <w:spacing w:val="-1"/>
          <w:sz w:val="24"/>
        </w:rPr>
        <w:t> </w:t>
      </w:r>
      <w:r>
        <w:rPr>
          <w:b/>
          <w:spacing w:val="-2"/>
          <w:sz w:val="24"/>
        </w:rPr>
        <w:t>emergência</w:t>
      </w:r>
    </w:p>
    <w:tbl>
      <w:tblPr>
        <w:tblW w:w="0" w:type="auto"/>
        <w:jc w:val="left"/>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08"/>
        <w:gridCol w:w="2410"/>
        <w:gridCol w:w="3172"/>
      </w:tblGrid>
      <w:tr>
        <w:trPr>
          <w:trHeight w:val="271" w:hRule="atLeast"/>
        </w:trPr>
        <w:tc>
          <w:tcPr>
            <w:tcW w:w="4308" w:type="dxa"/>
          </w:tcPr>
          <w:p>
            <w:pPr>
              <w:pStyle w:val="TableParagraph"/>
              <w:spacing w:before="21"/>
              <w:ind w:left="71"/>
              <w:jc w:val="left"/>
              <w:rPr>
                <w:b/>
                <w:sz w:val="20"/>
              </w:rPr>
            </w:pPr>
            <w:r>
              <w:rPr>
                <w:b/>
                <w:sz w:val="20"/>
              </w:rPr>
              <w:t>Classificação</w:t>
            </w:r>
            <w:r>
              <w:rPr>
                <w:b/>
                <w:spacing w:val="-6"/>
                <w:sz w:val="20"/>
              </w:rPr>
              <w:t> </w:t>
            </w:r>
            <w:r>
              <w:rPr>
                <w:b/>
                <w:sz w:val="20"/>
              </w:rPr>
              <w:t>de</w:t>
            </w:r>
            <w:r>
              <w:rPr>
                <w:b/>
                <w:spacing w:val="-5"/>
                <w:sz w:val="20"/>
              </w:rPr>
              <w:t> </w:t>
            </w:r>
            <w:r>
              <w:rPr>
                <w:b/>
                <w:spacing w:val="-4"/>
                <w:sz w:val="20"/>
              </w:rPr>
              <w:t>Risco</w:t>
            </w:r>
          </w:p>
        </w:tc>
        <w:tc>
          <w:tcPr>
            <w:tcW w:w="2410" w:type="dxa"/>
          </w:tcPr>
          <w:p>
            <w:pPr>
              <w:pStyle w:val="TableParagraph"/>
              <w:spacing w:line="225" w:lineRule="exact" w:before="27"/>
              <w:ind w:left="16" w:right="2"/>
              <w:rPr>
                <w:b/>
                <w:sz w:val="20"/>
              </w:rPr>
            </w:pPr>
            <w:r>
              <w:rPr>
                <w:b/>
                <w:spacing w:val="-4"/>
                <w:sz w:val="20"/>
              </w:rPr>
              <w:t>Meta</w:t>
            </w:r>
          </w:p>
        </w:tc>
        <w:tc>
          <w:tcPr>
            <w:tcW w:w="3172" w:type="dxa"/>
          </w:tcPr>
          <w:p>
            <w:pPr>
              <w:pStyle w:val="TableParagraph"/>
              <w:spacing w:line="225" w:lineRule="exact" w:before="27"/>
              <w:ind w:left="16" w:right="6"/>
              <w:rPr>
                <w:b/>
                <w:sz w:val="20"/>
              </w:rPr>
            </w:pPr>
            <w:r>
              <w:rPr>
                <w:b/>
                <w:sz w:val="20"/>
              </w:rPr>
              <w:t>Produção</w:t>
            </w:r>
            <w:r>
              <w:rPr>
                <w:b/>
                <w:spacing w:val="-5"/>
                <w:sz w:val="20"/>
              </w:rPr>
              <w:t> </w:t>
            </w:r>
            <w:r>
              <w:rPr>
                <w:b/>
                <w:spacing w:val="-2"/>
                <w:sz w:val="20"/>
              </w:rPr>
              <w:t>Novembro/2025</w:t>
            </w:r>
          </w:p>
        </w:tc>
      </w:tr>
      <w:tr>
        <w:trPr>
          <w:trHeight w:val="282" w:hRule="atLeast"/>
        </w:trPr>
        <w:tc>
          <w:tcPr>
            <w:tcW w:w="4308" w:type="dxa"/>
            <w:shd w:val="clear" w:color="auto" w:fill="FF2828"/>
          </w:tcPr>
          <w:p>
            <w:pPr>
              <w:pStyle w:val="TableParagraph"/>
              <w:spacing w:before="25"/>
              <w:ind w:left="71"/>
              <w:jc w:val="left"/>
              <w:rPr>
                <w:sz w:val="20"/>
              </w:rPr>
            </w:pPr>
            <w:r>
              <w:rPr>
                <w:sz w:val="20"/>
              </w:rPr>
              <w:t>AACR</w:t>
            </w:r>
            <w:r>
              <w:rPr>
                <w:spacing w:val="-2"/>
                <w:sz w:val="20"/>
              </w:rPr>
              <w:t> Vermelho</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63</w:t>
            </w:r>
          </w:p>
        </w:tc>
      </w:tr>
      <w:tr>
        <w:trPr>
          <w:trHeight w:val="280" w:hRule="atLeast"/>
        </w:trPr>
        <w:tc>
          <w:tcPr>
            <w:tcW w:w="4308" w:type="dxa"/>
            <w:shd w:val="clear" w:color="auto" w:fill="F69636"/>
          </w:tcPr>
          <w:p>
            <w:pPr>
              <w:pStyle w:val="TableParagraph"/>
              <w:spacing w:before="25"/>
              <w:ind w:left="71"/>
              <w:jc w:val="left"/>
              <w:rPr>
                <w:sz w:val="20"/>
              </w:rPr>
            </w:pPr>
            <w:r>
              <w:rPr>
                <w:sz w:val="20"/>
              </w:rPr>
              <w:t>AACR</w:t>
            </w:r>
            <w:r>
              <w:rPr>
                <w:spacing w:val="-4"/>
                <w:sz w:val="20"/>
              </w:rPr>
              <w:t> </w:t>
            </w:r>
            <w:r>
              <w:rPr>
                <w:spacing w:val="-2"/>
                <w:sz w:val="20"/>
              </w:rPr>
              <w:t>Laranja</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541</w:t>
            </w:r>
          </w:p>
        </w:tc>
      </w:tr>
      <w:tr>
        <w:trPr>
          <w:trHeight w:val="282" w:hRule="atLeast"/>
        </w:trPr>
        <w:tc>
          <w:tcPr>
            <w:tcW w:w="4308" w:type="dxa"/>
            <w:shd w:val="clear" w:color="auto" w:fill="FFFF00"/>
          </w:tcPr>
          <w:p>
            <w:pPr>
              <w:pStyle w:val="TableParagraph"/>
              <w:spacing w:before="25"/>
              <w:ind w:left="71"/>
              <w:jc w:val="left"/>
              <w:rPr>
                <w:sz w:val="20"/>
              </w:rPr>
            </w:pPr>
            <w:r>
              <w:rPr>
                <w:sz w:val="20"/>
              </w:rPr>
              <w:t>AACR</w:t>
            </w:r>
            <w:r>
              <w:rPr>
                <w:spacing w:val="-2"/>
                <w:sz w:val="20"/>
              </w:rPr>
              <w:t> Amarelo</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ight="2"/>
              <w:rPr>
                <w:sz w:val="20"/>
              </w:rPr>
            </w:pPr>
            <w:r>
              <w:rPr>
                <w:spacing w:val="-4"/>
                <w:sz w:val="20"/>
              </w:rPr>
              <w:t>1795</w:t>
            </w:r>
          </w:p>
        </w:tc>
      </w:tr>
      <w:tr>
        <w:trPr>
          <w:trHeight w:val="280" w:hRule="atLeast"/>
        </w:trPr>
        <w:tc>
          <w:tcPr>
            <w:tcW w:w="4308" w:type="dxa"/>
            <w:shd w:val="clear" w:color="auto" w:fill="00AF4F"/>
          </w:tcPr>
          <w:p>
            <w:pPr>
              <w:pStyle w:val="TableParagraph"/>
              <w:spacing w:before="25"/>
              <w:ind w:left="71"/>
              <w:jc w:val="left"/>
              <w:rPr>
                <w:sz w:val="20"/>
              </w:rPr>
            </w:pPr>
            <w:r>
              <w:rPr>
                <w:sz w:val="20"/>
              </w:rPr>
              <w:t>AACR</w:t>
            </w:r>
            <w:r>
              <w:rPr>
                <w:spacing w:val="-2"/>
                <w:sz w:val="20"/>
              </w:rPr>
              <w:t> Verde</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182</w:t>
            </w:r>
          </w:p>
        </w:tc>
      </w:tr>
      <w:tr>
        <w:trPr>
          <w:trHeight w:val="282" w:hRule="atLeast"/>
        </w:trPr>
        <w:tc>
          <w:tcPr>
            <w:tcW w:w="4308" w:type="dxa"/>
            <w:shd w:val="clear" w:color="auto" w:fill="00AFEF"/>
          </w:tcPr>
          <w:p>
            <w:pPr>
              <w:pStyle w:val="TableParagraph"/>
              <w:spacing w:before="25"/>
              <w:ind w:left="71"/>
              <w:jc w:val="left"/>
              <w:rPr>
                <w:sz w:val="20"/>
              </w:rPr>
            </w:pPr>
            <w:r>
              <w:rPr>
                <w:sz w:val="20"/>
              </w:rPr>
              <w:t>AACR</w:t>
            </w:r>
            <w:r>
              <w:rPr>
                <w:spacing w:val="-2"/>
                <w:sz w:val="20"/>
              </w:rPr>
              <w:t> </w:t>
            </w:r>
            <w:r>
              <w:rPr>
                <w:spacing w:val="-4"/>
                <w:sz w:val="20"/>
              </w:rPr>
              <w:t>Azul</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14</w:t>
            </w:r>
          </w:p>
        </w:tc>
      </w:tr>
      <w:tr>
        <w:trPr>
          <w:trHeight w:val="280" w:hRule="atLeast"/>
        </w:trPr>
        <w:tc>
          <w:tcPr>
            <w:tcW w:w="4308" w:type="dxa"/>
          </w:tcPr>
          <w:p>
            <w:pPr>
              <w:pStyle w:val="TableParagraph"/>
              <w:spacing w:before="25"/>
              <w:ind w:left="71"/>
              <w:jc w:val="left"/>
              <w:rPr>
                <w:sz w:val="20"/>
              </w:rPr>
            </w:pPr>
            <w:r>
              <w:rPr>
                <w:sz w:val="20"/>
              </w:rPr>
              <w:t>Sem</w:t>
            </w:r>
            <w:r>
              <w:rPr>
                <w:spacing w:val="-1"/>
                <w:sz w:val="20"/>
              </w:rPr>
              <w:t> </w:t>
            </w:r>
            <w:r>
              <w:rPr>
                <w:spacing w:val="-2"/>
                <w:sz w:val="20"/>
              </w:rPr>
              <w:t>classificação</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231</w:t>
            </w:r>
          </w:p>
        </w:tc>
      </w:tr>
      <w:tr>
        <w:trPr>
          <w:trHeight w:val="282" w:hRule="atLeast"/>
        </w:trPr>
        <w:tc>
          <w:tcPr>
            <w:tcW w:w="4308" w:type="dxa"/>
          </w:tcPr>
          <w:p>
            <w:pPr>
              <w:pStyle w:val="TableParagraph"/>
              <w:spacing w:before="25"/>
              <w:ind w:left="71"/>
              <w:jc w:val="left"/>
              <w:rPr>
                <w:b/>
                <w:sz w:val="20"/>
              </w:rPr>
            </w:pPr>
            <w:r>
              <w:rPr>
                <w:b/>
                <w:spacing w:val="-2"/>
                <w:sz w:val="20"/>
              </w:rPr>
              <w:t>Total</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ight="2"/>
              <w:rPr>
                <w:b/>
                <w:sz w:val="20"/>
              </w:rPr>
            </w:pPr>
            <w:r>
              <w:rPr>
                <w:b/>
                <w:color w:val="1F1E34"/>
                <w:spacing w:val="-4"/>
                <w:sz w:val="20"/>
              </w:rPr>
              <w:t>2826</w:t>
            </w:r>
          </w:p>
        </w:tc>
      </w:tr>
      <w:tr>
        <w:trPr>
          <w:trHeight w:val="260" w:hRule="atLeast"/>
        </w:trPr>
        <w:tc>
          <w:tcPr>
            <w:tcW w:w="9890" w:type="dxa"/>
            <w:gridSpan w:val="3"/>
            <w:tcBorders>
              <w:left w:val="nil"/>
              <w:right w:val="nil"/>
            </w:tcBorders>
          </w:tcPr>
          <w:p>
            <w:pPr>
              <w:pStyle w:val="TableParagraph"/>
              <w:jc w:val="left"/>
              <w:rPr>
                <w:sz w:val="18"/>
              </w:rPr>
            </w:pPr>
          </w:p>
        </w:tc>
      </w:tr>
      <w:tr>
        <w:trPr>
          <w:trHeight w:val="273" w:hRule="atLeast"/>
        </w:trPr>
        <w:tc>
          <w:tcPr>
            <w:tcW w:w="4308" w:type="dxa"/>
          </w:tcPr>
          <w:p>
            <w:pPr>
              <w:pStyle w:val="TableParagraph"/>
              <w:spacing w:before="21"/>
              <w:ind w:left="71"/>
              <w:jc w:val="left"/>
              <w:rPr>
                <w:b/>
                <w:sz w:val="20"/>
              </w:rPr>
            </w:pPr>
            <w:r>
              <w:rPr>
                <w:b/>
                <w:sz w:val="20"/>
              </w:rPr>
              <w:t>Atendimento</w:t>
            </w:r>
            <w:r>
              <w:rPr>
                <w:b/>
                <w:spacing w:val="-3"/>
                <w:sz w:val="20"/>
              </w:rPr>
              <w:t> </w:t>
            </w:r>
            <w:r>
              <w:rPr>
                <w:b/>
                <w:sz w:val="20"/>
              </w:rPr>
              <w:t>de</w:t>
            </w:r>
            <w:r>
              <w:rPr>
                <w:b/>
                <w:spacing w:val="-4"/>
                <w:sz w:val="20"/>
              </w:rPr>
              <w:t> </w:t>
            </w:r>
            <w:r>
              <w:rPr>
                <w:b/>
                <w:sz w:val="20"/>
              </w:rPr>
              <w:t>Urgência</w:t>
            </w:r>
            <w:r>
              <w:rPr>
                <w:b/>
                <w:spacing w:val="-2"/>
                <w:sz w:val="20"/>
              </w:rPr>
              <w:t> </w:t>
            </w:r>
            <w:r>
              <w:rPr>
                <w:b/>
                <w:sz w:val="20"/>
              </w:rPr>
              <w:t>e</w:t>
            </w:r>
            <w:r>
              <w:rPr>
                <w:b/>
                <w:spacing w:val="-1"/>
                <w:sz w:val="20"/>
              </w:rPr>
              <w:t> </w:t>
            </w:r>
            <w:r>
              <w:rPr>
                <w:b/>
                <w:spacing w:val="-2"/>
                <w:sz w:val="20"/>
              </w:rPr>
              <w:t>Emergência</w:t>
            </w:r>
          </w:p>
        </w:tc>
        <w:tc>
          <w:tcPr>
            <w:tcW w:w="2410" w:type="dxa"/>
          </w:tcPr>
          <w:p>
            <w:pPr>
              <w:pStyle w:val="TableParagraph"/>
              <w:spacing w:before="21"/>
              <w:ind w:left="16" w:right="2"/>
              <w:rPr>
                <w:b/>
                <w:sz w:val="20"/>
              </w:rPr>
            </w:pPr>
            <w:r>
              <w:rPr>
                <w:b/>
                <w:spacing w:val="-4"/>
                <w:sz w:val="20"/>
              </w:rPr>
              <w:t>Meta</w:t>
            </w:r>
          </w:p>
        </w:tc>
        <w:tc>
          <w:tcPr>
            <w:tcW w:w="3172" w:type="dxa"/>
          </w:tcPr>
          <w:p>
            <w:pPr>
              <w:pStyle w:val="TableParagraph"/>
              <w:spacing w:before="21"/>
              <w:ind w:left="16" w:right="6"/>
              <w:rPr>
                <w:b/>
                <w:sz w:val="20"/>
              </w:rPr>
            </w:pPr>
            <w:r>
              <w:rPr>
                <w:b/>
                <w:sz w:val="20"/>
              </w:rPr>
              <w:t>Produção</w:t>
            </w:r>
            <w:r>
              <w:rPr>
                <w:b/>
                <w:spacing w:val="-5"/>
                <w:sz w:val="20"/>
              </w:rPr>
              <w:t> </w:t>
            </w:r>
            <w:r>
              <w:rPr>
                <w:b/>
                <w:spacing w:val="-2"/>
                <w:sz w:val="20"/>
              </w:rPr>
              <w:t>Novembro/2025</w:t>
            </w:r>
          </w:p>
        </w:tc>
      </w:tr>
      <w:tr>
        <w:trPr>
          <w:trHeight w:val="280" w:hRule="atLeast"/>
        </w:trPr>
        <w:tc>
          <w:tcPr>
            <w:tcW w:w="4308" w:type="dxa"/>
          </w:tcPr>
          <w:p>
            <w:pPr>
              <w:pStyle w:val="TableParagraph"/>
              <w:spacing w:before="25"/>
              <w:ind w:left="71"/>
              <w:jc w:val="left"/>
              <w:rPr>
                <w:sz w:val="20"/>
              </w:rPr>
            </w:pPr>
            <w:r>
              <w:rPr>
                <w:sz w:val="20"/>
              </w:rPr>
              <w:t>Demanda</w:t>
            </w:r>
            <w:r>
              <w:rPr>
                <w:spacing w:val="-4"/>
                <w:sz w:val="20"/>
              </w:rPr>
              <w:t> </w:t>
            </w:r>
            <w:r>
              <w:rPr>
                <w:spacing w:val="-2"/>
                <w:sz w:val="20"/>
              </w:rPr>
              <w:t>espontânea</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475</w:t>
            </w:r>
          </w:p>
        </w:tc>
      </w:tr>
      <w:tr>
        <w:trPr>
          <w:trHeight w:val="281" w:hRule="atLeast"/>
        </w:trPr>
        <w:tc>
          <w:tcPr>
            <w:tcW w:w="4308" w:type="dxa"/>
          </w:tcPr>
          <w:p>
            <w:pPr>
              <w:pStyle w:val="TableParagraph"/>
              <w:spacing w:before="25"/>
              <w:ind w:left="71"/>
              <w:jc w:val="left"/>
              <w:rPr>
                <w:sz w:val="20"/>
              </w:rPr>
            </w:pPr>
            <w:r>
              <w:rPr>
                <w:sz w:val="20"/>
              </w:rPr>
              <w:t>Demanda</w:t>
            </w:r>
            <w:r>
              <w:rPr>
                <w:spacing w:val="-4"/>
                <w:sz w:val="20"/>
              </w:rPr>
              <w:t> </w:t>
            </w:r>
            <w:r>
              <w:rPr>
                <w:spacing w:val="-2"/>
                <w:sz w:val="20"/>
              </w:rPr>
              <w:t>regulada</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Pr>
                <w:sz w:val="20"/>
              </w:rPr>
            </w:pPr>
            <w:r>
              <w:rPr>
                <w:spacing w:val="-2"/>
                <w:sz w:val="20"/>
              </w:rPr>
              <w:t>2.351</w:t>
            </w:r>
          </w:p>
        </w:tc>
      </w:tr>
      <w:tr>
        <w:trPr>
          <w:trHeight w:val="280" w:hRule="atLeast"/>
        </w:trPr>
        <w:tc>
          <w:tcPr>
            <w:tcW w:w="4308" w:type="dxa"/>
          </w:tcPr>
          <w:p>
            <w:pPr>
              <w:pStyle w:val="TableParagraph"/>
              <w:spacing w:before="25"/>
              <w:ind w:left="71"/>
              <w:jc w:val="left"/>
              <w:rPr>
                <w:b/>
                <w:sz w:val="20"/>
              </w:rPr>
            </w:pPr>
            <w:r>
              <w:rPr>
                <w:b/>
                <w:spacing w:val="-2"/>
                <w:sz w:val="20"/>
              </w:rPr>
              <w:t>Total</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Pr>
                <w:b/>
                <w:sz w:val="20"/>
              </w:rPr>
            </w:pPr>
            <w:r>
              <w:rPr>
                <w:b/>
                <w:spacing w:val="-2"/>
                <w:sz w:val="20"/>
              </w:rPr>
              <w:t>2.826</w:t>
            </w:r>
          </w:p>
        </w:tc>
      </w:tr>
      <w:tr>
        <w:trPr>
          <w:trHeight w:val="273" w:hRule="atLeast"/>
        </w:trPr>
        <w:tc>
          <w:tcPr>
            <w:tcW w:w="9890" w:type="dxa"/>
            <w:gridSpan w:val="3"/>
            <w:tcBorders>
              <w:left w:val="nil"/>
              <w:right w:val="nil"/>
            </w:tcBorders>
          </w:tcPr>
          <w:p>
            <w:pPr>
              <w:pStyle w:val="TableParagraph"/>
              <w:jc w:val="left"/>
              <w:rPr>
                <w:sz w:val="20"/>
              </w:rPr>
            </w:pPr>
          </w:p>
        </w:tc>
      </w:tr>
      <w:tr>
        <w:trPr>
          <w:trHeight w:val="272" w:hRule="atLeast"/>
        </w:trPr>
        <w:tc>
          <w:tcPr>
            <w:tcW w:w="4308" w:type="dxa"/>
          </w:tcPr>
          <w:p>
            <w:pPr>
              <w:pStyle w:val="TableParagraph"/>
              <w:spacing w:before="21"/>
              <w:ind w:left="71"/>
              <w:jc w:val="left"/>
              <w:rPr>
                <w:b/>
                <w:sz w:val="20"/>
              </w:rPr>
            </w:pPr>
            <w:r>
              <w:rPr>
                <w:b/>
                <w:sz w:val="20"/>
              </w:rPr>
              <w:t>Atendimento</w:t>
            </w:r>
            <w:r>
              <w:rPr>
                <w:b/>
                <w:spacing w:val="-3"/>
                <w:sz w:val="20"/>
              </w:rPr>
              <w:t> </w:t>
            </w:r>
            <w:r>
              <w:rPr>
                <w:b/>
                <w:sz w:val="20"/>
              </w:rPr>
              <w:t>da</w:t>
            </w:r>
            <w:r>
              <w:rPr>
                <w:b/>
                <w:spacing w:val="-2"/>
                <w:sz w:val="20"/>
              </w:rPr>
              <w:t> </w:t>
            </w:r>
            <w:r>
              <w:rPr>
                <w:b/>
                <w:sz w:val="20"/>
              </w:rPr>
              <w:t>Porta</w:t>
            </w:r>
            <w:r>
              <w:rPr>
                <w:b/>
                <w:spacing w:val="-2"/>
                <w:sz w:val="20"/>
              </w:rPr>
              <w:t> </w:t>
            </w:r>
            <w:r>
              <w:rPr>
                <w:b/>
                <w:sz w:val="20"/>
              </w:rPr>
              <w:t>de</w:t>
            </w:r>
            <w:r>
              <w:rPr>
                <w:b/>
                <w:spacing w:val="-3"/>
                <w:sz w:val="20"/>
              </w:rPr>
              <w:t> </w:t>
            </w:r>
            <w:r>
              <w:rPr>
                <w:b/>
                <w:spacing w:val="-2"/>
                <w:sz w:val="20"/>
              </w:rPr>
              <w:t>Entrada</w:t>
            </w:r>
          </w:p>
        </w:tc>
        <w:tc>
          <w:tcPr>
            <w:tcW w:w="2410" w:type="dxa"/>
          </w:tcPr>
          <w:p>
            <w:pPr>
              <w:pStyle w:val="TableParagraph"/>
              <w:spacing w:line="225" w:lineRule="exact" w:before="27"/>
              <w:ind w:left="16" w:right="2"/>
              <w:rPr>
                <w:b/>
                <w:sz w:val="20"/>
              </w:rPr>
            </w:pPr>
            <w:r>
              <w:rPr>
                <w:b/>
                <w:spacing w:val="-4"/>
                <w:sz w:val="20"/>
              </w:rPr>
              <w:t>Meta</w:t>
            </w:r>
          </w:p>
        </w:tc>
        <w:tc>
          <w:tcPr>
            <w:tcW w:w="3172" w:type="dxa"/>
          </w:tcPr>
          <w:p>
            <w:pPr>
              <w:pStyle w:val="TableParagraph"/>
              <w:spacing w:line="225" w:lineRule="exact" w:before="27"/>
              <w:ind w:left="16" w:right="6"/>
              <w:rPr>
                <w:b/>
                <w:sz w:val="20"/>
              </w:rPr>
            </w:pPr>
            <w:r>
              <w:rPr>
                <w:b/>
                <w:sz w:val="20"/>
              </w:rPr>
              <w:t>Produção</w:t>
            </w:r>
            <w:r>
              <w:rPr>
                <w:b/>
                <w:spacing w:val="-5"/>
                <w:sz w:val="20"/>
              </w:rPr>
              <w:t> </w:t>
            </w:r>
            <w:r>
              <w:rPr>
                <w:b/>
                <w:spacing w:val="-2"/>
                <w:sz w:val="20"/>
              </w:rPr>
              <w:t>Novembro/2025</w:t>
            </w:r>
          </w:p>
        </w:tc>
      </w:tr>
      <w:tr>
        <w:trPr>
          <w:trHeight w:val="273" w:hRule="atLeast"/>
        </w:trPr>
        <w:tc>
          <w:tcPr>
            <w:tcW w:w="4308" w:type="dxa"/>
          </w:tcPr>
          <w:p>
            <w:pPr>
              <w:pStyle w:val="TableParagraph"/>
              <w:spacing w:before="21"/>
              <w:ind w:left="71"/>
              <w:jc w:val="left"/>
              <w:rPr>
                <w:sz w:val="20"/>
              </w:rPr>
            </w:pPr>
            <w:r>
              <w:rPr>
                <w:sz w:val="20"/>
              </w:rPr>
              <w:t>Cirurgia</w:t>
            </w:r>
            <w:r>
              <w:rPr>
                <w:spacing w:val="-3"/>
                <w:sz w:val="20"/>
              </w:rPr>
              <w:t> </w:t>
            </w:r>
            <w:r>
              <w:rPr>
                <w:sz w:val="20"/>
              </w:rPr>
              <w:t>Buco</w:t>
            </w:r>
            <w:r>
              <w:rPr>
                <w:spacing w:val="-3"/>
                <w:sz w:val="20"/>
              </w:rPr>
              <w:t> </w:t>
            </w:r>
            <w:r>
              <w:rPr>
                <w:sz w:val="20"/>
              </w:rPr>
              <w:t>Maxilo</w:t>
            </w:r>
            <w:r>
              <w:rPr>
                <w:spacing w:val="-3"/>
                <w:sz w:val="20"/>
              </w:rPr>
              <w:t> </w:t>
            </w:r>
            <w:r>
              <w:rPr>
                <w:spacing w:val="-2"/>
                <w:sz w:val="20"/>
              </w:rPr>
              <w:t>Facial</w:t>
            </w:r>
          </w:p>
        </w:tc>
        <w:tc>
          <w:tcPr>
            <w:tcW w:w="2410" w:type="dxa"/>
          </w:tcPr>
          <w:p>
            <w:pPr>
              <w:pStyle w:val="TableParagraph"/>
              <w:spacing w:line="227" w:lineRule="exact" w:before="27"/>
              <w:ind w:left="16"/>
              <w:rPr>
                <w:sz w:val="20"/>
              </w:rPr>
            </w:pPr>
            <w:r>
              <w:rPr>
                <w:spacing w:val="-5"/>
                <w:sz w:val="20"/>
              </w:rPr>
              <w:t>***</w:t>
            </w:r>
          </w:p>
        </w:tc>
        <w:tc>
          <w:tcPr>
            <w:tcW w:w="3172" w:type="dxa"/>
          </w:tcPr>
          <w:p>
            <w:pPr>
              <w:pStyle w:val="TableParagraph"/>
              <w:spacing w:line="227" w:lineRule="exact" w:before="27"/>
              <w:ind w:left="16" w:right="2"/>
              <w:rPr>
                <w:sz w:val="20"/>
              </w:rPr>
            </w:pPr>
            <w:r>
              <w:rPr>
                <w:spacing w:val="-10"/>
                <w:sz w:val="20"/>
              </w:rPr>
              <w:t>4</w:t>
            </w:r>
          </w:p>
        </w:tc>
      </w:tr>
      <w:tr>
        <w:trPr>
          <w:trHeight w:val="280" w:hRule="atLeast"/>
        </w:trPr>
        <w:tc>
          <w:tcPr>
            <w:tcW w:w="4308" w:type="dxa"/>
          </w:tcPr>
          <w:p>
            <w:pPr>
              <w:pStyle w:val="TableParagraph"/>
              <w:spacing w:before="25"/>
              <w:ind w:left="71"/>
              <w:jc w:val="left"/>
              <w:rPr>
                <w:sz w:val="20"/>
              </w:rPr>
            </w:pPr>
            <w:r>
              <w:rPr>
                <w:sz w:val="20"/>
              </w:rPr>
              <w:t>Cirurgia</w:t>
            </w:r>
            <w:r>
              <w:rPr>
                <w:spacing w:val="-4"/>
                <w:sz w:val="20"/>
              </w:rPr>
              <w:t> </w:t>
            </w:r>
            <w:r>
              <w:rPr>
                <w:spacing w:val="-2"/>
                <w:sz w:val="20"/>
              </w:rPr>
              <w:t>Geral</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969</w:t>
            </w:r>
          </w:p>
        </w:tc>
      </w:tr>
      <w:tr>
        <w:trPr>
          <w:trHeight w:val="273" w:hRule="atLeast"/>
        </w:trPr>
        <w:tc>
          <w:tcPr>
            <w:tcW w:w="4308" w:type="dxa"/>
          </w:tcPr>
          <w:p>
            <w:pPr>
              <w:pStyle w:val="TableParagraph"/>
              <w:spacing w:before="21"/>
              <w:ind w:left="71"/>
              <w:jc w:val="left"/>
              <w:rPr>
                <w:sz w:val="20"/>
              </w:rPr>
            </w:pPr>
            <w:r>
              <w:rPr>
                <w:sz w:val="20"/>
              </w:rPr>
              <w:t>Cirurgia</w:t>
            </w:r>
            <w:r>
              <w:rPr>
                <w:spacing w:val="-4"/>
                <w:sz w:val="20"/>
              </w:rPr>
              <w:t> </w:t>
            </w:r>
            <w:r>
              <w:rPr>
                <w:spacing w:val="-2"/>
                <w:sz w:val="20"/>
              </w:rPr>
              <w:t>Torácica</w:t>
            </w:r>
          </w:p>
        </w:tc>
        <w:tc>
          <w:tcPr>
            <w:tcW w:w="2410" w:type="dxa"/>
          </w:tcPr>
          <w:p>
            <w:pPr>
              <w:pStyle w:val="TableParagraph"/>
              <w:spacing w:line="227" w:lineRule="exact" w:before="27"/>
              <w:ind w:left="16"/>
              <w:rPr>
                <w:sz w:val="20"/>
              </w:rPr>
            </w:pPr>
            <w:r>
              <w:rPr>
                <w:spacing w:val="-5"/>
                <w:sz w:val="20"/>
              </w:rPr>
              <w:t>***</w:t>
            </w:r>
          </w:p>
        </w:tc>
        <w:tc>
          <w:tcPr>
            <w:tcW w:w="3172" w:type="dxa"/>
          </w:tcPr>
          <w:p>
            <w:pPr>
              <w:pStyle w:val="TableParagraph"/>
              <w:spacing w:line="227" w:lineRule="exact" w:before="27"/>
              <w:ind w:left="16" w:right="2"/>
              <w:rPr>
                <w:sz w:val="20"/>
              </w:rPr>
            </w:pPr>
            <w:r>
              <w:rPr>
                <w:spacing w:val="-10"/>
                <w:sz w:val="20"/>
              </w:rPr>
              <w:t>0</w:t>
            </w:r>
          </w:p>
        </w:tc>
      </w:tr>
      <w:tr>
        <w:trPr>
          <w:trHeight w:val="280" w:hRule="atLeast"/>
        </w:trPr>
        <w:tc>
          <w:tcPr>
            <w:tcW w:w="4308" w:type="dxa"/>
          </w:tcPr>
          <w:p>
            <w:pPr>
              <w:pStyle w:val="TableParagraph"/>
              <w:spacing w:before="25"/>
              <w:ind w:left="71"/>
              <w:jc w:val="left"/>
              <w:rPr>
                <w:sz w:val="20"/>
              </w:rPr>
            </w:pPr>
            <w:r>
              <w:rPr>
                <w:sz w:val="20"/>
              </w:rPr>
              <w:t>Clínica</w:t>
            </w:r>
            <w:r>
              <w:rPr>
                <w:spacing w:val="-3"/>
                <w:sz w:val="20"/>
              </w:rPr>
              <w:t> </w:t>
            </w:r>
            <w:r>
              <w:rPr>
                <w:spacing w:val="-2"/>
                <w:sz w:val="20"/>
              </w:rPr>
              <w:t>Médica</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Pr>
                <w:sz w:val="20"/>
              </w:rPr>
            </w:pPr>
            <w:r>
              <w:rPr>
                <w:spacing w:val="-2"/>
                <w:sz w:val="20"/>
              </w:rPr>
              <w:t>1.195</w:t>
            </w:r>
          </w:p>
        </w:tc>
      </w:tr>
      <w:tr>
        <w:trPr>
          <w:trHeight w:val="282" w:hRule="atLeast"/>
        </w:trPr>
        <w:tc>
          <w:tcPr>
            <w:tcW w:w="4308" w:type="dxa"/>
          </w:tcPr>
          <w:p>
            <w:pPr>
              <w:pStyle w:val="TableParagraph"/>
              <w:spacing w:before="25"/>
              <w:ind w:left="71"/>
              <w:jc w:val="left"/>
              <w:rPr>
                <w:sz w:val="20"/>
              </w:rPr>
            </w:pPr>
            <w:r>
              <w:rPr>
                <w:sz w:val="20"/>
              </w:rPr>
              <w:t>Ortopedia</w:t>
            </w:r>
            <w:r>
              <w:rPr>
                <w:spacing w:val="-3"/>
                <w:sz w:val="20"/>
              </w:rPr>
              <w:t> </w:t>
            </w:r>
            <w:r>
              <w:rPr>
                <w:sz w:val="20"/>
              </w:rPr>
              <w:t>e</w:t>
            </w:r>
            <w:r>
              <w:rPr>
                <w:spacing w:val="-3"/>
                <w:sz w:val="20"/>
              </w:rPr>
              <w:t> </w:t>
            </w:r>
            <w:r>
              <w:rPr>
                <w:spacing w:val="-2"/>
                <w:sz w:val="20"/>
              </w:rPr>
              <w:t>Traumatologia</w:t>
            </w:r>
          </w:p>
        </w:tc>
        <w:tc>
          <w:tcPr>
            <w:tcW w:w="2410" w:type="dxa"/>
          </w:tcPr>
          <w:p>
            <w:pPr>
              <w:pStyle w:val="TableParagraph"/>
              <w:spacing w:line="227" w:lineRule="exact" w:before="35"/>
              <w:ind w:left="16"/>
              <w:rPr>
                <w:sz w:val="20"/>
              </w:rPr>
            </w:pPr>
            <w:r>
              <w:rPr>
                <w:spacing w:val="-5"/>
                <w:sz w:val="20"/>
              </w:rPr>
              <w:t>***</w:t>
            </w:r>
          </w:p>
        </w:tc>
        <w:tc>
          <w:tcPr>
            <w:tcW w:w="3172" w:type="dxa"/>
          </w:tcPr>
          <w:p>
            <w:pPr>
              <w:pStyle w:val="TableParagraph"/>
              <w:spacing w:before="15"/>
              <w:ind w:left="16" w:right="2"/>
              <w:rPr>
                <w:sz w:val="20"/>
              </w:rPr>
            </w:pPr>
            <w:r>
              <w:rPr>
                <w:spacing w:val="-5"/>
                <w:sz w:val="20"/>
              </w:rPr>
              <w:t>356</w:t>
            </w:r>
          </w:p>
        </w:tc>
      </w:tr>
      <w:tr>
        <w:trPr>
          <w:trHeight w:val="272" w:hRule="atLeast"/>
        </w:trPr>
        <w:tc>
          <w:tcPr>
            <w:tcW w:w="4308" w:type="dxa"/>
          </w:tcPr>
          <w:p>
            <w:pPr>
              <w:pStyle w:val="TableParagraph"/>
              <w:spacing w:before="21"/>
              <w:ind w:left="71"/>
              <w:jc w:val="left"/>
              <w:rPr>
                <w:sz w:val="20"/>
              </w:rPr>
            </w:pPr>
            <w:r>
              <w:rPr>
                <w:spacing w:val="-2"/>
                <w:sz w:val="20"/>
              </w:rPr>
              <w:t>Neurocirurgia</w:t>
            </w:r>
          </w:p>
        </w:tc>
        <w:tc>
          <w:tcPr>
            <w:tcW w:w="2410" w:type="dxa"/>
          </w:tcPr>
          <w:p>
            <w:pPr>
              <w:pStyle w:val="TableParagraph"/>
              <w:spacing w:line="225" w:lineRule="exact" w:before="27"/>
              <w:ind w:left="16"/>
              <w:rPr>
                <w:sz w:val="20"/>
              </w:rPr>
            </w:pPr>
            <w:r>
              <w:rPr>
                <w:spacing w:val="-5"/>
                <w:sz w:val="20"/>
              </w:rPr>
              <w:t>***</w:t>
            </w:r>
          </w:p>
        </w:tc>
        <w:tc>
          <w:tcPr>
            <w:tcW w:w="3172" w:type="dxa"/>
          </w:tcPr>
          <w:p>
            <w:pPr>
              <w:pStyle w:val="TableParagraph"/>
              <w:spacing w:line="225" w:lineRule="exact" w:before="27"/>
              <w:ind w:left="16" w:right="2"/>
              <w:rPr>
                <w:sz w:val="20"/>
              </w:rPr>
            </w:pPr>
            <w:r>
              <w:rPr>
                <w:spacing w:val="-5"/>
                <w:sz w:val="20"/>
              </w:rPr>
              <w:t>301</w:t>
            </w:r>
          </w:p>
        </w:tc>
      </w:tr>
      <w:tr>
        <w:trPr>
          <w:trHeight w:val="273" w:hRule="atLeast"/>
        </w:trPr>
        <w:tc>
          <w:tcPr>
            <w:tcW w:w="4308" w:type="dxa"/>
          </w:tcPr>
          <w:p>
            <w:pPr>
              <w:pStyle w:val="TableParagraph"/>
              <w:spacing w:before="21"/>
              <w:ind w:left="71"/>
              <w:jc w:val="left"/>
              <w:rPr>
                <w:sz w:val="20"/>
              </w:rPr>
            </w:pPr>
            <w:r>
              <w:rPr>
                <w:spacing w:val="-2"/>
                <w:sz w:val="20"/>
              </w:rPr>
              <w:t>Otorrinolaringologia</w:t>
            </w:r>
          </w:p>
        </w:tc>
        <w:tc>
          <w:tcPr>
            <w:tcW w:w="2410" w:type="dxa"/>
          </w:tcPr>
          <w:p>
            <w:pPr>
              <w:pStyle w:val="TableParagraph"/>
              <w:spacing w:line="227" w:lineRule="exact" w:before="27"/>
              <w:ind w:left="16"/>
              <w:rPr>
                <w:sz w:val="20"/>
              </w:rPr>
            </w:pPr>
            <w:r>
              <w:rPr>
                <w:spacing w:val="-5"/>
                <w:sz w:val="20"/>
              </w:rPr>
              <w:t>***</w:t>
            </w:r>
          </w:p>
        </w:tc>
        <w:tc>
          <w:tcPr>
            <w:tcW w:w="3172" w:type="dxa"/>
          </w:tcPr>
          <w:p>
            <w:pPr>
              <w:pStyle w:val="TableParagraph"/>
              <w:spacing w:line="227" w:lineRule="exact" w:before="27"/>
              <w:ind w:left="16" w:right="2"/>
              <w:rPr>
                <w:sz w:val="20"/>
              </w:rPr>
            </w:pPr>
            <w:r>
              <w:rPr>
                <w:spacing w:val="-10"/>
                <w:sz w:val="20"/>
              </w:rPr>
              <w:t>0</w:t>
            </w:r>
          </w:p>
        </w:tc>
      </w:tr>
      <w:tr>
        <w:trPr>
          <w:trHeight w:val="271" w:hRule="atLeast"/>
        </w:trPr>
        <w:tc>
          <w:tcPr>
            <w:tcW w:w="4308" w:type="dxa"/>
          </w:tcPr>
          <w:p>
            <w:pPr>
              <w:pStyle w:val="TableParagraph"/>
              <w:spacing w:before="21"/>
              <w:ind w:left="71"/>
              <w:jc w:val="left"/>
              <w:rPr>
                <w:sz w:val="20"/>
              </w:rPr>
            </w:pPr>
            <w:r>
              <w:rPr>
                <w:spacing w:val="-2"/>
                <w:sz w:val="20"/>
              </w:rPr>
              <w:t>Neurologia</w:t>
            </w:r>
          </w:p>
        </w:tc>
        <w:tc>
          <w:tcPr>
            <w:tcW w:w="2410" w:type="dxa"/>
          </w:tcPr>
          <w:p>
            <w:pPr>
              <w:pStyle w:val="TableParagraph"/>
              <w:spacing w:line="225" w:lineRule="exact" w:before="27"/>
              <w:ind w:left="16"/>
              <w:rPr>
                <w:sz w:val="20"/>
              </w:rPr>
            </w:pPr>
            <w:r>
              <w:rPr>
                <w:spacing w:val="-5"/>
                <w:sz w:val="20"/>
              </w:rPr>
              <w:t>***</w:t>
            </w:r>
          </w:p>
        </w:tc>
        <w:tc>
          <w:tcPr>
            <w:tcW w:w="3172" w:type="dxa"/>
          </w:tcPr>
          <w:p>
            <w:pPr>
              <w:pStyle w:val="TableParagraph"/>
              <w:spacing w:line="225" w:lineRule="exact" w:before="27"/>
              <w:ind w:left="16" w:right="2"/>
              <w:rPr>
                <w:sz w:val="20"/>
              </w:rPr>
            </w:pPr>
            <w:r>
              <w:rPr>
                <w:spacing w:val="-10"/>
                <w:sz w:val="20"/>
              </w:rPr>
              <w:t>1</w:t>
            </w:r>
          </w:p>
        </w:tc>
      </w:tr>
      <w:tr>
        <w:trPr>
          <w:trHeight w:val="274" w:hRule="atLeast"/>
        </w:trPr>
        <w:tc>
          <w:tcPr>
            <w:tcW w:w="4308" w:type="dxa"/>
          </w:tcPr>
          <w:p>
            <w:pPr>
              <w:pStyle w:val="TableParagraph"/>
              <w:spacing w:before="21"/>
              <w:ind w:left="71"/>
              <w:jc w:val="left"/>
              <w:rPr>
                <w:sz w:val="20"/>
              </w:rPr>
            </w:pPr>
            <w:r>
              <w:rPr>
                <w:sz w:val="20"/>
              </w:rPr>
              <w:t>Angiologia</w:t>
            </w:r>
            <w:r>
              <w:rPr>
                <w:spacing w:val="-3"/>
                <w:sz w:val="20"/>
              </w:rPr>
              <w:t> </w:t>
            </w:r>
            <w:r>
              <w:rPr>
                <w:sz w:val="20"/>
              </w:rPr>
              <w:t>e</w:t>
            </w:r>
            <w:r>
              <w:rPr>
                <w:spacing w:val="-4"/>
                <w:sz w:val="20"/>
              </w:rPr>
              <w:t> </w:t>
            </w:r>
            <w:r>
              <w:rPr>
                <w:sz w:val="20"/>
              </w:rPr>
              <w:t>Cirurgia</w:t>
            </w:r>
            <w:r>
              <w:rPr>
                <w:spacing w:val="-3"/>
                <w:sz w:val="20"/>
              </w:rPr>
              <w:t> </w:t>
            </w:r>
            <w:r>
              <w:rPr>
                <w:spacing w:val="-2"/>
                <w:sz w:val="20"/>
              </w:rPr>
              <w:t>Vascular</w:t>
            </w:r>
          </w:p>
        </w:tc>
        <w:tc>
          <w:tcPr>
            <w:tcW w:w="2410" w:type="dxa"/>
          </w:tcPr>
          <w:p>
            <w:pPr>
              <w:pStyle w:val="TableParagraph"/>
              <w:spacing w:line="227" w:lineRule="exact" w:before="27"/>
              <w:ind w:left="16"/>
              <w:rPr>
                <w:sz w:val="20"/>
              </w:rPr>
            </w:pPr>
            <w:r>
              <w:rPr>
                <w:spacing w:val="-5"/>
                <w:sz w:val="20"/>
              </w:rPr>
              <w:t>***</w:t>
            </w:r>
          </w:p>
        </w:tc>
        <w:tc>
          <w:tcPr>
            <w:tcW w:w="3172" w:type="dxa"/>
          </w:tcPr>
          <w:p>
            <w:pPr>
              <w:pStyle w:val="TableParagraph"/>
              <w:spacing w:line="227" w:lineRule="exact" w:before="27"/>
              <w:ind w:left="16" w:right="2"/>
              <w:rPr>
                <w:sz w:val="20"/>
              </w:rPr>
            </w:pPr>
            <w:r>
              <w:rPr>
                <w:spacing w:val="-10"/>
                <w:sz w:val="20"/>
              </w:rPr>
              <w:t>0</w:t>
            </w:r>
          </w:p>
        </w:tc>
      </w:tr>
      <w:tr>
        <w:trPr>
          <w:trHeight w:val="271" w:hRule="atLeast"/>
        </w:trPr>
        <w:tc>
          <w:tcPr>
            <w:tcW w:w="4308" w:type="dxa"/>
          </w:tcPr>
          <w:p>
            <w:pPr>
              <w:pStyle w:val="TableParagraph"/>
              <w:spacing w:before="21"/>
              <w:ind w:left="71"/>
              <w:jc w:val="left"/>
              <w:rPr>
                <w:b/>
                <w:sz w:val="20"/>
              </w:rPr>
            </w:pPr>
            <w:r>
              <w:rPr>
                <w:b/>
                <w:spacing w:val="-2"/>
                <w:sz w:val="20"/>
              </w:rPr>
              <w:t>Total</w:t>
            </w:r>
          </w:p>
        </w:tc>
        <w:tc>
          <w:tcPr>
            <w:tcW w:w="2410" w:type="dxa"/>
          </w:tcPr>
          <w:p>
            <w:pPr>
              <w:pStyle w:val="TableParagraph"/>
              <w:jc w:val="left"/>
              <w:rPr>
                <w:sz w:val="20"/>
              </w:rPr>
            </w:pPr>
          </w:p>
        </w:tc>
        <w:tc>
          <w:tcPr>
            <w:tcW w:w="3172" w:type="dxa"/>
          </w:tcPr>
          <w:p>
            <w:pPr>
              <w:pStyle w:val="TableParagraph"/>
              <w:spacing w:line="225" w:lineRule="exact" w:before="27"/>
              <w:ind w:left="16"/>
              <w:rPr>
                <w:b/>
                <w:sz w:val="20"/>
              </w:rPr>
            </w:pPr>
            <w:r>
              <w:rPr>
                <w:b/>
                <w:spacing w:val="-2"/>
                <w:sz w:val="20"/>
              </w:rPr>
              <w:t>2.826</w:t>
            </w:r>
          </w:p>
        </w:tc>
      </w:tr>
      <w:tr>
        <w:trPr>
          <w:trHeight w:val="273" w:hRule="atLeast"/>
        </w:trPr>
        <w:tc>
          <w:tcPr>
            <w:tcW w:w="4308" w:type="dxa"/>
          </w:tcPr>
          <w:p>
            <w:pPr>
              <w:pStyle w:val="TableParagraph"/>
              <w:spacing w:before="21"/>
              <w:ind w:left="71"/>
              <w:jc w:val="left"/>
              <w:rPr>
                <w:b/>
                <w:sz w:val="20"/>
              </w:rPr>
            </w:pPr>
            <w:r>
              <w:rPr>
                <w:b/>
                <w:sz w:val="20"/>
              </w:rPr>
              <w:t>Projeto</w:t>
            </w:r>
            <w:r>
              <w:rPr>
                <w:b/>
                <w:spacing w:val="-6"/>
                <w:sz w:val="20"/>
              </w:rPr>
              <w:t> </w:t>
            </w:r>
            <w:r>
              <w:rPr>
                <w:b/>
                <w:spacing w:val="-2"/>
                <w:sz w:val="20"/>
              </w:rPr>
              <w:t>Angels</w:t>
            </w:r>
          </w:p>
        </w:tc>
        <w:tc>
          <w:tcPr>
            <w:tcW w:w="2410" w:type="dxa"/>
          </w:tcPr>
          <w:p>
            <w:pPr>
              <w:pStyle w:val="TableParagraph"/>
              <w:spacing w:line="227" w:lineRule="exact" w:before="27"/>
              <w:ind w:left="16" w:right="2"/>
              <w:rPr>
                <w:b/>
                <w:sz w:val="20"/>
              </w:rPr>
            </w:pPr>
            <w:r>
              <w:rPr>
                <w:b/>
                <w:spacing w:val="-4"/>
                <w:sz w:val="20"/>
              </w:rPr>
              <w:t>Meta</w:t>
            </w:r>
          </w:p>
        </w:tc>
        <w:tc>
          <w:tcPr>
            <w:tcW w:w="3172" w:type="dxa"/>
          </w:tcPr>
          <w:p>
            <w:pPr>
              <w:pStyle w:val="TableParagraph"/>
              <w:spacing w:line="227" w:lineRule="exact" w:before="27"/>
              <w:ind w:left="16" w:right="6"/>
              <w:rPr>
                <w:b/>
                <w:sz w:val="20"/>
              </w:rPr>
            </w:pPr>
            <w:r>
              <w:rPr>
                <w:b/>
                <w:sz w:val="20"/>
              </w:rPr>
              <w:t>Produção</w:t>
            </w:r>
            <w:r>
              <w:rPr>
                <w:b/>
                <w:spacing w:val="-5"/>
                <w:sz w:val="20"/>
              </w:rPr>
              <w:t> </w:t>
            </w:r>
            <w:r>
              <w:rPr>
                <w:b/>
                <w:spacing w:val="-2"/>
                <w:sz w:val="20"/>
              </w:rPr>
              <w:t>Novembro/2025</w:t>
            </w:r>
          </w:p>
        </w:tc>
      </w:tr>
      <w:tr>
        <w:trPr>
          <w:trHeight w:val="280" w:hRule="atLeast"/>
        </w:trPr>
        <w:tc>
          <w:tcPr>
            <w:tcW w:w="4308" w:type="dxa"/>
          </w:tcPr>
          <w:p>
            <w:pPr>
              <w:pStyle w:val="TableParagraph"/>
              <w:spacing w:before="25"/>
              <w:ind w:left="71"/>
              <w:jc w:val="left"/>
              <w:rPr>
                <w:sz w:val="20"/>
              </w:rPr>
            </w:pPr>
            <w:r>
              <w:rPr>
                <w:sz w:val="20"/>
              </w:rPr>
              <w:t>Atendimentos</w:t>
            </w:r>
            <w:r>
              <w:rPr>
                <w:spacing w:val="-8"/>
                <w:sz w:val="20"/>
              </w:rPr>
              <w:t> </w:t>
            </w:r>
            <w:r>
              <w:rPr>
                <w:spacing w:val="-5"/>
                <w:sz w:val="20"/>
              </w:rPr>
              <w:t>AVC</w:t>
            </w:r>
          </w:p>
        </w:tc>
        <w:tc>
          <w:tcPr>
            <w:tcW w:w="2410" w:type="dxa"/>
          </w:tcPr>
          <w:p>
            <w:pPr>
              <w:pStyle w:val="TableParagraph"/>
              <w:spacing w:line="225" w:lineRule="exact" w:before="35"/>
              <w:ind w:left="16"/>
              <w:rPr>
                <w:sz w:val="20"/>
              </w:rPr>
            </w:pPr>
            <w:r>
              <w:rPr>
                <w:spacing w:val="-5"/>
                <w:sz w:val="20"/>
              </w:rPr>
              <w:t>***</w:t>
            </w:r>
          </w:p>
        </w:tc>
        <w:tc>
          <w:tcPr>
            <w:tcW w:w="3172" w:type="dxa"/>
          </w:tcPr>
          <w:p>
            <w:pPr>
              <w:pStyle w:val="TableParagraph"/>
              <w:spacing w:before="15"/>
              <w:ind w:left="16" w:right="2"/>
              <w:rPr>
                <w:b/>
                <w:sz w:val="20"/>
              </w:rPr>
            </w:pPr>
            <w:r>
              <w:rPr>
                <w:b/>
                <w:spacing w:val="-5"/>
                <w:sz w:val="20"/>
              </w:rPr>
              <w:t>376</w:t>
            </w:r>
          </w:p>
        </w:tc>
      </w:tr>
    </w:tbl>
    <w:p>
      <w:pPr>
        <w:spacing w:before="10"/>
        <w:ind w:left="6506" w:right="0" w:firstLine="0"/>
        <w:jc w:val="left"/>
        <w:rPr>
          <w:i/>
          <w:sz w:val="24"/>
        </w:rPr>
      </w:pPr>
      <w:bookmarkStart w:name="Fonte: Sistema MV atualizado em 05/12." w:id="23"/>
      <w:bookmarkEnd w:id="23"/>
      <w:r>
        <w:rPr/>
      </w:r>
      <w:r>
        <w:rPr>
          <w:i/>
          <w:sz w:val="24"/>
        </w:rPr>
        <w:t>Fonte:</w:t>
      </w:r>
      <w:r>
        <w:rPr>
          <w:i/>
          <w:spacing w:val="-5"/>
          <w:sz w:val="24"/>
        </w:rPr>
        <w:t> </w:t>
      </w:r>
      <w:r>
        <w:rPr>
          <w:i/>
          <w:sz w:val="24"/>
        </w:rPr>
        <w:t>Sistema</w:t>
      </w:r>
      <w:r>
        <w:rPr>
          <w:i/>
          <w:spacing w:val="-3"/>
          <w:sz w:val="24"/>
        </w:rPr>
        <w:t> </w:t>
      </w:r>
      <w:r>
        <w:rPr>
          <w:i/>
          <w:sz w:val="24"/>
        </w:rPr>
        <w:t>MV</w:t>
      </w:r>
      <w:r>
        <w:rPr>
          <w:i/>
          <w:spacing w:val="-5"/>
          <w:sz w:val="24"/>
        </w:rPr>
        <w:t> </w:t>
      </w:r>
      <w:r>
        <w:rPr>
          <w:i/>
          <w:sz w:val="24"/>
        </w:rPr>
        <w:t>atualizado</w:t>
      </w:r>
      <w:r>
        <w:rPr>
          <w:i/>
          <w:spacing w:val="-2"/>
          <w:sz w:val="24"/>
        </w:rPr>
        <w:t> </w:t>
      </w:r>
      <w:r>
        <w:rPr>
          <w:i/>
          <w:sz w:val="24"/>
        </w:rPr>
        <w:t>em</w:t>
      </w:r>
      <w:r>
        <w:rPr>
          <w:i/>
          <w:spacing w:val="-3"/>
          <w:sz w:val="24"/>
        </w:rPr>
        <w:t> </w:t>
      </w:r>
      <w:r>
        <w:rPr>
          <w:i/>
          <w:spacing w:val="-2"/>
          <w:sz w:val="24"/>
        </w:rPr>
        <w:t>05/12.</w:t>
      </w:r>
    </w:p>
    <w:p>
      <w:pPr>
        <w:pStyle w:val="ListParagraph"/>
        <w:numPr>
          <w:ilvl w:val="1"/>
          <w:numId w:val="2"/>
        </w:numPr>
        <w:tabs>
          <w:tab w:pos="1313" w:val="left" w:leader="none"/>
        </w:tabs>
        <w:spacing w:line="240" w:lineRule="auto" w:before="23" w:after="0"/>
        <w:ind w:left="1313" w:right="0" w:hanging="720"/>
        <w:jc w:val="left"/>
        <w:rPr>
          <w:b/>
          <w:sz w:val="24"/>
        </w:rPr>
      </w:pPr>
      <w:bookmarkStart w:name="3.5. Análise Crítica" w:id="24"/>
      <w:bookmarkEnd w:id="24"/>
      <w:r>
        <w:rPr>
          <w:rFonts w:ascii="Arial" w:hAnsi="Arial"/>
          <w:b/>
          <w:sz w:val="24"/>
        </w:rPr>
      </w:r>
      <w:r>
        <w:rPr>
          <w:b/>
          <w:sz w:val="24"/>
        </w:rPr>
        <w:t>Análise</w:t>
      </w:r>
      <w:r>
        <w:rPr>
          <w:b/>
          <w:spacing w:val="-4"/>
          <w:sz w:val="24"/>
        </w:rPr>
        <w:t> </w:t>
      </w:r>
      <w:r>
        <w:rPr>
          <w:b/>
          <w:spacing w:val="-2"/>
          <w:sz w:val="24"/>
        </w:rPr>
        <w:t>Crítica</w:t>
      </w:r>
    </w:p>
    <w:p>
      <w:pPr>
        <w:pStyle w:val="BodyText"/>
        <w:spacing w:before="1"/>
        <w:rPr>
          <w:b/>
        </w:rPr>
      </w:pPr>
    </w:p>
    <w:p>
      <w:pPr>
        <w:pStyle w:val="BodyText"/>
        <w:spacing w:line="360" w:lineRule="auto" w:before="1"/>
        <w:ind w:left="593" w:right="754" w:firstLine="720"/>
        <w:jc w:val="both"/>
      </w:pPr>
      <w:r>
        <w:rPr/>
        <w:t>O setor de Urgência e Emergência do HUGO manteve, em novembro, o perfil de alta complexidade característico da instituição, com predominância de atendimentos clínicos e cirúrgicos graves. O pronto-socorro segue como porta de entrada estratégica da rede estadual, absorvendo pacientes críticos que demandam suporte intensivo e resposta imediata das equipes assistenciais.</w:t>
      </w:r>
    </w:p>
    <w:p>
      <w:pPr>
        <w:pStyle w:val="BodyText"/>
        <w:spacing w:line="360" w:lineRule="auto"/>
        <w:ind w:left="593" w:right="750" w:firstLine="720"/>
        <w:jc w:val="both"/>
      </w:pPr>
      <w:r>
        <w:rPr/>
        <w:t>No período, foram realizados 2.826 atendimentos, volume 5,2% inferior a outubro. A análise por classificação de risco revela redução nos casos de maior gravidade: os atendimentos classificados como</w:t>
      </w:r>
      <w:r>
        <w:rPr>
          <w:spacing w:val="-2"/>
        </w:rPr>
        <w:t> </w:t>
      </w:r>
      <w:r>
        <w:rPr/>
        <w:t>vermelho recuaram</w:t>
      </w:r>
      <w:r>
        <w:rPr>
          <w:spacing w:val="-2"/>
        </w:rPr>
        <w:t> </w:t>
      </w:r>
      <w:r>
        <w:rPr/>
        <w:t>33,7%</w:t>
      </w:r>
      <w:r>
        <w:rPr>
          <w:spacing w:val="-2"/>
        </w:rPr>
        <w:t> </w:t>
      </w:r>
      <w:r>
        <w:rPr/>
        <w:t>(de</w:t>
      </w:r>
      <w:r>
        <w:rPr>
          <w:spacing w:val="-2"/>
        </w:rPr>
        <w:t> </w:t>
      </w:r>
      <w:r>
        <w:rPr/>
        <w:t>95</w:t>
      </w:r>
      <w:r>
        <w:rPr>
          <w:spacing w:val="-3"/>
        </w:rPr>
        <w:t> </w:t>
      </w:r>
      <w:r>
        <w:rPr/>
        <w:t>para</w:t>
      </w:r>
      <w:r>
        <w:rPr>
          <w:spacing w:val="-2"/>
        </w:rPr>
        <w:t> </w:t>
      </w:r>
      <w:r>
        <w:rPr/>
        <w:t>63)</w:t>
      </w:r>
      <w:r>
        <w:rPr>
          <w:spacing w:val="-2"/>
        </w:rPr>
        <w:t> </w:t>
      </w:r>
      <w:r>
        <w:rPr/>
        <w:t>e</w:t>
      </w:r>
      <w:r>
        <w:rPr>
          <w:spacing w:val="-3"/>
        </w:rPr>
        <w:t> </w:t>
      </w:r>
      <w:r>
        <w:rPr/>
        <w:t>os</w:t>
      </w:r>
      <w:r>
        <w:rPr>
          <w:spacing w:val="-1"/>
        </w:rPr>
        <w:t> </w:t>
      </w:r>
      <w:r>
        <w:rPr/>
        <w:t>laranja</w:t>
      </w:r>
      <w:r>
        <w:rPr>
          <w:spacing w:val="-2"/>
        </w:rPr>
        <w:t> </w:t>
      </w:r>
      <w:r>
        <w:rPr/>
        <w:t>reduziram 15,2%</w:t>
      </w:r>
      <w:r>
        <w:rPr>
          <w:spacing w:val="-2"/>
        </w:rPr>
        <w:t> </w:t>
      </w:r>
      <w:r>
        <w:rPr/>
        <w:t>(de</w:t>
      </w:r>
      <w:r>
        <w:rPr>
          <w:spacing w:val="-2"/>
        </w:rPr>
        <w:t> </w:t>
      </w:r>
      <w:r>
        <w:rPr/>
        <w:t>638</w:t>
      </w:r>
      <w:r>
        <w:rPr>
          <w:spacing w:val="-3"/>
        </w:rPr>
        <w:t> </w:t>
      </w:r>
      <w:r>
        <w:rPr/>
        <w:t>para</w:t>
      </w:r>
      <w:r>
        <w:rPr>
          <w:spacing w:val="-2"/>
        </w:rPr>
        <w:t> </w:t>
      </w:r>
      <w:r>
        <w:rPr/>
        <w:t>541).</w:t>
      </w:r>
      <w:r>
        <w:rPr>
          <w:spacing w:val="-2"/>
        </w:rPr>
        <w:t> </w:t>
      </w:r>
      <w:r>
        <w:rPr/>
        <w:t>Essa variação pode estar associada a fatores sazonais ou a flutuações na demanda da rede, merecendo acompanhamento nos próximos meses.</w:t>
      </w:r>
    </w:p>
    <w:p>
      <w:pPr>
        <w:pStyle w:val="BodyText"/>
        <w:spacing w:after="0" w:line="360" w:lineRule="auto"/>
        <w:jc w:val="both"/>
        <w:sectPr>
          <w:pgSz w:w="11910" w:h="16840"/>
          <w:pgMar w:header="358" w:footer="560" w:top="1580" w:bottom="780" w:left="708" w:right="0"/>
        </w:sectPr>
      </w:pPr>
    </w:p>
    <w:p>
      <w:pPr>
        <w:pStyle w:val="BodyText"/>
      </w:pPr>
    </w:p>
    <w:p>
      <w:pPr>
        <w:pStyle w:val="BodyText"/>
      </w:pPr>
    </w:p>
    <w:p>
      <w:pPr>
        <w:pStyle w:val="BodyText"/>
      </w:pPr>
    </w:p>
    <w:p>
      <w:pPr>
        <w:pStyle w:val="BodyText"/>
        <w:spacing w:before="131"/>
      </w:pPr>
    </w:p>
    <w:p>
      <w:pPr>
        <w:pStyle w:val="BodyText"/>
        <w:spacing w:line="360" w:lineRule="auto"/>
        <w:ind w:left="593" w:right="747" w:firstLine="720"/>
        <w:jc w:val="both"/>
      </w:pPr>
      <w:r>
        <w:rPr/>
        <w:t>Quanto à distribuição por especialidade, a Clínica Médica respondeu pelo maior volume</w:t>
      </w:r>
      <w:r>
        <w:rPr>
          <w:spacing w:val="40"/>
        </w:rPr>
        <w:t> </w:t>
      </w:r>
      <w:r>
        <w:rPr/>
        <w:t>(1.195 atendimentos), seguida pela Cirurgia Geral (969) e Ortopedia e Traumatologia (356). Destaca- se o expressivo aumento nos atendimentos de Neurocirurgia, que saltaram de 7 para 301 casos — resultado que pode refletir ajustes no registro de especialidades ou incremento real da demanda neurocirúrgica no período. O Projeto Angels manteve estabilidade, com 376 atendimentos de AVC, reafirmando a atuação contínua do HUGO como centro de referência estadual para doenças </w:t>
      </w:r>
      <w:r>
        <w:rPr>
          <w:spacing w:val="-2"/>
        </w:rPr>
        <w:t>cerebrovasculares.</w:t>
      </w:r>
    </w:p>
    <w:p>
      <w:pPr>
        <w:pStyle w:val="BodyText"/>
        <w:spacing w:line="360" w:lineRule="auto"/>
        <w:ind w:left="593" w:right="746" w:firstLine="720"/>
        <w:jc w:val="both"/>
      </w:pPr>
      <w:r>
        <w:rPr/>
        <w:t>No eixo cirúrgico, permanecem como principais causas de atendimento os politraumatismos, traumatismos cranioencefálicos (TCE), hemorragias intracranianas, lesões expansivas e emergências vasculares agudas — situações que requerem disponibilidade contínua de equipe médica, centro cirúrgico e recursos de alta complexidade.</w:t>
      </w:r>
    </w:p>
    <w:p>
      <w:pPr>
        <w:pStyle w:val="BodyText"/>
        <w:spacing w:line="360" w:lineRule="auto"/>
        <w:ind w:left="593" w:right="752" w:firstLine="720"/>
        <w:jc w:val="both"/>
      </w:pPr>
      <w:r>
        <w:rPr/>
        <w:t>No eixo clínico, destacam-se os casos de hemorragia digestiva alta, choque séptico, acidentes vasculares cerebrais (isquêmicos e hemorrágicos) e outras afecções neurológicas graves, reafirmando</w:t>
      </w:r>
      <w:r>
        <w:rPr>
          <w:spacing w:val="40"/>
        </w:rPr>
        <w:t> </w:t>
      </w:r>
      <w:r>
        <w:rPr/>
        <w:t>a vocação do HUGO como referência estadual em urgência e emergência.</w:t>
      </w:r>
    </w:p>
    <w:p>
      <w:pPr>
        <w:pStyle w:val="BodyText"/>
        <w:spacing w:line="360" w:lineRule="auto"/>
        <w:ind w:left="593" w:right="755"/>
        <w:jc w:val="both"/>
      </w:pPr>
      <w:r>
        <w:rPr/>
        <w:t>Apesar da manutenção da assistência qualificada, persistem desafios estruturais e operacionais </w:t>
      </w:r>
      <w:r>
        <w:rPr>
          <w:spacing w:val="-2"/>
        </w:rPr>
        <w:t>significativos:</w:t>
      </w:r>
    </w:p>
    <w:p>
      <w:pPr>
        <w:pStyle w:val="ListParagraph"/>
        <w:numPr>
          <w:ilvl w:val="0"/>
          <w:numId w:val="6"/>
        </w:numPr>
        <w:tabs>
          <w:tab w:pos="1312" w:val="left" w:leader="none"/>
        </w:tabs>
        <w:spacing w:line="240" w:lineRule="auto" w:before="1" w:after="0"/>
        <w:ind w:left="1312" w:right="0" w:hanging="359"/>
        <w:jc w:val="both"/>
        <w:rPr>
          <w:sz w:val="24"/>
        </w:rPr>
      </w:pPr>
      <w:r>
        <w:rPr>
          <w:sz w:val="24"/>
        </w:rPr>
        <w:t>Superlotação</w:t>
      </w:r>
      <w:r>
        <w:rPr>
          <w:spacing w:val="-7"/>
          <w:sz w:val="24"/>
        </w:rPr>
        <w:t> </w:t>
      </w:r>
      <w:r>
        <w:rPr>
          <w:sz w:val="24"/>
        </w:rPr>
        <w:t>crônica</w:t>
      </w:r>
      <w:r>
        <w:rPr>
          <w:spacing w:val="-4"/>
          <w:sz w:val="24"/>
        </w:rPr>
        <w:t> </w:t>
      </w:r>
      <w:r>
        <w:rPr>
          <w:sz w:val="24"/>
        </w:rPr>
        <w:t>do</w:t>
      </w:r>
      <w:r>
        <w:rPr>
          <w:spacing w:val="-5"/>
          <w:sz w:val="24"/>
        </w:rPr>
        <w:t> </w:t>
      </w:r>
      <w:r>
        <w:rPr>
          <w:sz w:val="24"/>
        </w:rPr>
        <w:t>pronto-socorro,</w:t>
      </w:r>
      <w:r>
        <w:rPr>
          <w:spacing w:val="-4"/>
          <w:sz w:val="24"/>
        </w:rPr>
        <w:t> </w:t>
      </w:r>
      <w:r>
        <w:rPr>
          <w:sz w:val="24"/>
        </w:rPr>
        <w:t>operando</w:t>
      </w:r>
      <w:r>
        <w:rPr>
          <w:spacing w:val="-6"/>
          <w:sz w:val="24"/>
        </w:rPr>
        <w:t> </w:t>
      </w:r>
      <w:r>
        <w:rPr>
          <w:sz w:val="24"/>
        </w:rPr>
        <w:t>acima</w:t>
      </w:r>
      <w:r>
        <w:rPr>
          <w:spacing w:val="-4"/>
          <w:sz w:val="24"/>
        </w:rPr>
        <w:t> </w:t>
      </w:r>
      <w:r>
        <w:rPr>
          <w:sz w:val="24"/>
        </w:rPr>
        <w:t>da</w:t>
      </w:r>
      <w:r>
        <w:rPr>
          <w:spacing w:val="-4"/>
          <w:sz w:val="24"/>
        </w:rPr>
        <w:t> </w:t>
      </w:r>
      <w:r>
        <w:rPr>
          <w:sz w:val="24"/>
        </w:rPr>
        <w:t>capacidade</w:t>
      </w:r>
      <w:r>
        <w:rPr>
          <w:spacing w:val="-2"/>
          <w:sz w:val="24"/>
        </w:rPr>
        <w:t> </w:t>
      </w:r>
      <w:r>
        <w:rPr>
          <w:sz w:val="24"/>
        </w:rPr>
        <w:t>física</w:t>
      </w:r>
      <w:r>
        <w:rPr>
          <w:spacing w:val="-6"/>
          <w:sz w:val="24"/>
        </w:rPr>
        <w:t> </w:t>
      </w:r>
      <w:r>
        <w:rPr>
          <w:spacing w:val="-2"/>
          <w:sz w:val="24"/>
        </w:rPr>
        <w:t>instalada;</w:t>
      </w:r>
    </w:p>
    <w:p>
      <w:pPr>
        <w:pStyle w:val="ListParagraph"/>
        <w:numPr>
          <w:ilvl w:val="0"/>
          <w:numId w:val="6"/>
        </w:numPr>
        <w:tabs>
          <w:tab w:pos="1313" w:val="left" w:leader="none"/>
        </w:tabs>
        <w:spacing w:line="352" w:lineRule="auto" w:before="146" w:after="0"/>
        <w:ind w:left="1313" w:right="757" w:hanging="360"/>
        <w:jc w:val="both"/>
        <w:rPr>
          <w:sz w:val="24"/>
        </w:rPr>
      </w:pPr>
      <w:r>
        <w:rPr>
          <w:sz w:val="24"/>
        </w:rPr>
        <w:t>Retenção de pacientes graves em observação prolongada, em razão da limitação de leitos clínicos e de UTI disponíveis;</w:t>
      </w:r>
    </w:p>
    <w:p>
      <w:pPr>
        <w:pStyle w:val="ListParagraph"/>
        <w:numPr>
          <w:ilvl w:val="0"/>
          <w:numId w:val="6"/>
        </w:numPr>
        <w:tabs>
          <w:tab w:pos="1313" w:val="left" w:leader="none"/>
        </w:tabs>
        <w:spacing w:line="352" w:lineRule="auto" w:before="8" w:after="0"/>
        <w:ind w:left="1313" w:right="752" w:hanging="360"/>
        <w:jc w:val="both"/>
        <w:rPr>
          <w:sz w:val="24"/>
        </w:rPr>
      </w:pPr>
      <w:r>
        <w:rPr>
          <w:sz w:val="24"/>
        </w:rPr>
        <w:t>Perfil de pacientes de alta complexidade, frequentemente em ventilação mecânica ou uso de drogas vasoativas, excedendo a capacidade operacional da estrutura atual.</w:t>
      </w:r>
    </w:p>
    <w:p>
      <w:pPr>
        <w:pStyle w:val="BodyText"/>
        <w:spacing w:line="360" w:lineRule="auto" w:before="9"/>
        <w:ind w:left="593" w:right="750" w:firstLine="720"/>
        <w:jc w:val="both"/>
      </w:pPr>
      <w:r>
        <w:rPr/>
        <w:t>A taxa de ocupação hospitalar apresentou nova redução, passando de 108,07% para 105,33%, indicando progressivo alívio da pressão assistencial ao longo do segundo semestre. Ainda assim, o fluxo de pacientes segue demandando atenção contínua, com impactos sobre o giro de leitos, a regulação estadual e o tempo de permanência na unidade de emergência.</w:t>
      </w:r>
    </w:p>
    <w:p>
      <w:pPr>
        <w:pStyle w:val="BodyText"/>
        <w:spacing w:line="360" w:lineRule="auto" w:before="1"/>
        <w:ind w:left="593" w:right="746" w:firstLine="720"/>
        <w:jc w:val="both"/>
      </w:pPr>
      <w:r>
        <w:rPr/>
        <w:t>Os resultados de novembro reafirmam o papel central do pronto-socorro como principal ponto de pressão do sistema hospitalar, concentrando volume de casos acima de sua capacidade física e </w:t>
      </w:r>
      <w:r>
        <w:rPr>
          <w:spacing w:val="-2"/>
        </w:rPr>
        <w:t>funcional.</w:t>
      </w:r>
    </w:p>
    <w:p>
      <w:pPr>
        <w:pStyle w:val="BodyText"/>
        <w:spacing w:line="360" w:lineRule="auto"/>
        <w:ind w:left="593" w:right="747" w:firstLine="720"/>
        <w:jc w:val="both"/>
      </w:pPr>
      <w:r>
        <w:rPr/>
        <w:t>A integração entre Regulação, NIR, equipes clínicas e cirúrgicas, associada à otimização do sistema MV e à gestão em tempo real dos leitos de retaguarda, permanece essencial para mitigar a superlotação, garantir a continuidade assistencial com segurança e aprimorar a previsibilidade do</w:t>
      </w:r>
      <w:r>
        <w:rPr>
          <w:spacing w:val="40"/>
        </w:rPr>
        <w:t> </w:t>
      </w:r>
      <w:r>
        <w:rPr/>
        <w:t>fluxo hospitalar.</w:t>
      </w:r>
    </w:p>
    <w:p>
      <w:pPr>
        <w:pStyle w:val="BodyText"/>
        <w:spacing w:after="0" w:line="360" w:lineRule="auto"/>
        <w:jc w:val="both"/>
        <w:sectPr>
          <w:pgSz w:w="11910" w:h="16840"/>
          <w:pgMar w:header="358" w:footer="560" w:top="1580" w:bottom="740" w:left="708" w:right="0"/>
        </w:sectPr>
      </w:pPr>
    </w:p>
    <w:p>
      <w:pPr>
        <w:pStyle w:val="BodyText"/>
      </w:pPr>
    </w:p>
    <w:p>
      <w:pPr>
        <w:pStyle w:val="BodyText"/>
      </w:pPr>
    </w:p>
    <w:p>
      <w:pPr>
        <w:pStyle w:val="BodyText"/>
      </w:pPr>
    </w:p>
    <w:p>
      <w:pPr>
        <w:pStyle w:val="BodyText"/>
      </w:pPr>
    </w:p>
    <w:p>
      <w:pPr>
        <w:pStyle w:val="BodyText"/>
      </w:pPr>
    </w:p>
    <w:p>
      <w:pPr>
        <w:pStyle w:val="BodyText"/>
        <w:spacing w:before="24"/>
      </w:pPr>
    </w:p>
    <w:p>
      <w:pPr>
        <w:pStyle w:val="Heading1"/>
        <w:numPr>
          <w:ilvl w:val="0"/>
          <w:numId w:val="2"/>
        </w:numPr>
        <w:tabs>
          <w:tab w:pos="1431" w:val="left" w:leader="none"/>
        </w:tabs>
        <w:spacing w:line="240" w:lineRule="auto" w:before="0" w:after="0"/>
        <w:ind w:left="1431" w:right="0" w:hanging="719"/>
        <w:jc w:val="left"/>
      </w:pPr>
      <w:bookmarkStart w:name="4. Indicadores de desempenho" w:id="25"/>
      <w:bookmarkEnd w:id="25"/>
      <w:r>
        <w:rPr>
          <w:rFonts w:ascii="Arial"/>
        </w:rPr>
      </w:r>
      <w:bookmarkStart w:name="_bookmark3" w:id="26"/>
      <w:bookmarkEnd w:id="26"/>
      <w:r>
        <w:rPr>
          <w:rFonts w:ascii="Arial"/>
        </w:rPr>
      </w:r>
      <w:r>
        <w:rPr/>
        <w:t>Indicadores</w:t>
      </w:r>
      <w:r>
        <w:rPr>
          <w:spacing w:val="-5"/>
        </w:rPr>
        <w:t> </w:t>
      </w:r>
      <w:r>
        <w:rPr/>
        <w:t>de</w:t>
      </w:r>
      <w:r>
        <w:rPr>
          <w:spacing w:val="-4"/>
        </w:rPr>
        <w:t> </w:t>
      </w:r>
      <w:r>
        <w:rPr>
          <w:spacing w:val="-2"/>
        </w:rPr>
        <w:t>desempenho</w:t>
      </w:r>
    </w:p>
    <w:p>
      <w:pPr>
        <w:pStyle w:val="BodyText"/>
        <w:spacing w:before="2"/>
        <w:rPr>
          <w:b/>
        </w:rPr>
      </w:pPr>
    </w:p>
    <w:p>
      <w:pPr>
        <w:pStyle w:val="BodyText"/>
        <w:spacing w:line="360" w:lineRule="auto"/>
        <w:ind w:left="593" w:right="744" w:firstLine="720"/>
        <w:jc w:val="both"/>
      </w:pPr>
      <w:r>
        <w:rPr/>
        <w:t>O Termo de Colaboração estabelece que 10% do valor orçamentário global é destinado à parcela variável de desempenho, vinculada diretamente ao cumprimento de metas assistenciais, operacionais e de qualidade dos serviços prestados.</w:t>
      </w:r>
    </w:p>
    <w:p>
      <w:pPr>
        <w:pStyle w:val="BodyText"/>
        <w:spacing w:line="360" w:lineRule="auto" w:before="2"/>
        <w:ind w:left="593" w:right="750" w:firstLine="720"/>
        <w:jc w:val="both"/>
      </w:pPr>
      <w:r>
        <w:rPr/>
        <w:t>A definição dos indicadores segue o perfil assistencial de cada unidade hospitalar. No caso do HUGO,</w:t>
      </w:r>
      <w:r>
        <w:rPr>
          <w:spacing w:val="-4"/>
        </w:rPr>
        <w:t> </w:t>
      </w:r>
      <w:r>
        <w:rPr/>
        <w:t>os</w:t>
      </w:r>
      <w:r>
        <w:rPr>
          <w:spacing w:val="-4"/>
        </w:rPr>
        <w:t> </w:t>
      </w:r>
      <w:r>
        <w:rPr/>
        <w:t>indicadores</w:t>
      </w:r>
      <w:r>
        <w:rPr>
          <w:spacing w:val="-2"/>
        </w:rPr>
        <w:t> </w:t>
      </w:r>
      <w:r>
        <w:rPr/>
        <w:t>pactuados</w:t>
      </w:r>
      <w:r>
        <w:rPr>
          <w:spacing w:val="-2"/>
        </w:rPr>
        <w:t> </w:t>
      </w:r>
      <w:r>
        <w:rPr/>
        <w:t>e</w:t>
      </w:r>
      <w:r>
        <w:rPr>
          <w:spacing w:val="-5"/>
        </w:rPr>
        <w:t> </w:t>
      </w:r>
      <w:r>
        <w:rPr/>
        <w:t>seus</w:t>
      </w:r>
      <w:r>
        <w:rPr>
          <w:spacing w:val="-4"/>
        </w:rPr>
        <w:t> </w:t>
      </w:r>
      <w:r>
        <w:rPr/>
        <w:t>respectivos</w:t>
      </w:r>
      <w:r>
        <w:rPr>
          <w:spacing w:val="-2"/>
        </w:rPr>
        <w:t> </w:t>
      </w:r>
      <w:r>
        <w:rPr/>
        <w:t>resultados</w:t>
      </w:r>
      <w:r>
        <w:rPr>
          <w:spacing w:val="-2"/>
        </w:rPr>
        <w:t> </w:t>
      </w:r>
      <w:r>
        <w:rPr/>
        <w:t>estão</w:t>
      </w:r>
      <w:r>
        <w:rPr>
          <w:spacing w:val="-3"/>
        </w:rPr>
        <w:t> </w:t>
      </w:r>
      <w:r>
        <w:rPr/>
        <w:t>apresentados</w:t>
      </w:r>
      <w:r>
        <w:rPr>
          <w:spacing w:val="-4"/>
        </w:rPr>
        <w:t> </w:t>
      </w:r>
      <w:r>
        <w:rPr/>
        <w:t>nas</w:t>
      </w:r>
      <w:r>
        <w:rPr>
          <w:spacing w:val="-4"/>
        </w:rPr>
        <w:t> </w:t>
      </w:r>
      <w:r>
        <w:rPr/>
        <w:t>tabelas</w:t>
      </w:r>
      <w:r>
        <w:rPr>
          <w:spacing w:val="-2"/>
        </w:rPr>
        <w:t> </w:t>
      </w:r>
      <w:r>
        <w:rPr/>
        <w:t>a</w:t>
      </w:r>
      <w:r>
        <w:rPr>
          <w:spacing w:val="-5"/>
        </w:rPr>
        <w:t> </w:t>
      </w:r>
      <w:r>
        <w:rPr/>
        <w:t>seguir, que subsidiam a mensuração do desempenho institucional e a liberação dos recursos financeiros </w:t>
      </w:r>
      <w:r>
        <w:rPr>
          <w:spacing w:val="-2"/>
        </w:rPr>
        <w:t>correspondentes.</w:t>
      </w:r>
    </w:p>
    <w:p>
      <w:pPr>
        <w:pStyle w:val="BodyText"/>
        <w:spacing w:before="138"/>
      </w:pPr>
    </w:p>
    <w:p>
      <w:pPr>
        <w:spacing w:before="0" w:after="22"/>
        <w:ind w:left="593" w:right="0" w:firstLine="0"/>
        <w:jc w:val="left"/>
        <w:rPr>
          <w:b/>
          <w:sz w:val="24"/>
        </w:rPr>
      </w:pPr>
      <w:r>
        <w:rPr>
          <w:b/>
          <w:sz w:val="24"/>
        </w:rPr>
        <w:t>Tabela</w:t>
      </w:r>
      <w:r>
        <w:rPr>
          <w:b/>
          <w:spacing w:val="-3"/>
          <w:sz w:val="24"/>
        </w:rPr>
        <w:t> </w:t>
      </w:r>
      <w:r>
        <w:rPr>
          <w:b/>
          <w:sz w:val="24"/>
        </w:rPr>
        <w:t>6</w:t>
      </w:r>
      <w:r>
        <w:rPr>
          <w:b/>
          <w:spacing w:val="-2"/>
          <w:sz w:val="24"/>
        </w:rPr>
        <w:t> </w:t>
      </w:r>
      <w:r>
        <w:rPr>
          <w:b/>
          <w:sz w:val="24"/>
        </w:rPr>
        <w:t>–</w:t>
      </w:r>
      <w:r>
        <w:rPr>
          <w:b/>
          <w:spacing w:val="-3"/>
          <w:sz w:val="24"/>
        </w:rPr>
        <w:t> </w:t>
      </w:r>
      <w:r>
        <w:rPr>
          <w:b/>
          <w:sz w:val="24"/>
        </w:rPr>
        <w:t>Indicadores de</w:t>
      </w:r>
      <w:r>
        <w:rPr>
          <w:b/>
          <w:spacing w:val="-3"/>
          <w:sz w:val="24"/>
        </w:rPr>
        <w:t> </w:t>
      </w:r>
      <w:r>
        <w:rPr>
          <w:b/>
          <w:spacing w:val="-2"/>
          <w:sz w:val="24"/>
        </w:rPr>
        <w:t>Desempenho</w:t>
      </w:r>
    </w:p>
    <w:tbl>
      <w:tblPr>
        <w:tblW w:w="0" w:type="auto"/>
        <w:jc w:val="left"/>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6"/>
        <w:gridCol w:w="838"/>
        <w:gridCol w:w="3826"/>
      </w:tblGrid>
      <w:tr>
        <w:trPr>
          <w:trHeight w:val="232" w:hRule="atLeast"/>
        </w:trPr>
        <w:tc>
          <w:tcPr>
            <w:tcW w:w="5386" w:type="dxa"/>
          </w:tcPr>
          <w:p>
            <w:pPr>
              <w:pStyle w:val="TableParagraph"/>
              <w:spacing w:line="211" w:lineRule="exact" w:before="1"/>
              <w:ind w:left="62"/>
              <w:jc w:val="left"/>
              <w:rPr>
                <w:b/>
                <w:sz w:val="20"/>
              </w:rPr>
            </w:pPr>
            <w:r>
              <w:rPr>
                <w:b/>
                <w:sz w:val="20"/>
              </w:rPr>
              <w:t>Indicadores</w:t>
            </w:r>
            <w:r>
              <w:rPr>
                <w:b/>
                <w:spacing w:val="-5"/>
                <w:sz w:val="20"/>
              </w:rPr>
              <w:t> </w:t>
            </w:r>
            <w:r>
              <w:rPr>
                <w:b/>
                <w:sz w:val="20"/>
              </w:rPr>
              <w:t>de</w:t>
            </w:r>
            <w:r>
              <w:rPr>
                <w:b/>
                <w:spacing w:val="-4"/>
                <w:sz w:val="20"/>
              </w:rPr>
              <w:t> </w:t>
            </w:r>
            <w:r>
              <w:rPr>
                <w:b/>
                <w:spacing w:val="-2"/>
                <w:sz w:val="20"/>
              </w:rPr>
              <w:t>Desempenho</w:t>
            </w:r>
          </w:p>
        </w:tc>
        <w:tc>
          <w:tcPr>
            <w:tcW w:w="838" w:type="dxa"/>
          </w:tcPr>
          <w:p>
            <w:pPr>
              <w:pStyle w:val="TableParagraph"/>
              <w:spacing w:line="211" w:lineRule="exact" w:before="1"/>
              <w:ind w:left="16" w:right="2"/>
              <w:rPr>
                <w:b/>
                <w:sz w:val="20"/>
              </w:rPr>
            </w:pPr>
            <w:r>
              <w:rPr>
                <w:b/>
                <w:spacing w:val="-4"/>
                <w:sz w:val="20"/>
              </w:rPr>
              <w:t>Meta</w:t>
            </w:r>
          </w:p>
        </w:tc>
        <w:tc>
          <w:tcPr>
            <w:tcW w:w="3826" w:type="dxa"/>
          </w:tcPr>
          <w:p>
            <w:pPr>
              <w:pStyle w:val="TableParagraph"/>
              <w:spacing w:line="211" w:lineRule="exact" w:before="1"/>
              <w:ind w:left="16" w:right="4"/>
              <w:rPr>
                <w:b/>
                <w:sz w:val="20"/>
              </w:rPr>
            </w:pPr>
            <w:r>
              <w:rPr>
                <w:b/>
                <w:sz w:val="20"/>
              </w:rPr>
              <w:t>Produção</w:t>
            </w:r>
            <w:r>
              <w:rPr>
                <w:b/>
                <w:spacing w:val="-5"/>
                <w:sz w:val="20"/>
              </w:rPr>
              <w:t> </w:t>
            </w:r>
            <w:r>
              <w:rPr>
                <w:b/>
                <w:spacing w:val="-2"/>
                <w:sz w:val="20"/>
              </w:rPr>
              <w:t>Novembro/25</w:t>
            </w:r>
          </w:p>
        </w:tc>
      </w:tr>
      <w:tr>
        <w:trPr>
          <w:trHeight w:val="230" w:hRule="atLeast"/>
        </w:trPr>
        <w:tc>
          <w:tcPr>
            <w:tcW w:w="5386" w:type="dxa"/>
            <w:tcBorders>
              <w:right w:val="single" w:sz="6" w:space="0" w:color="000000"/>
            </w:tcBorders>
          </w:tcPr>
          <w:p>
            <w:pPr>
              <w:pStyle w:val="TableParagraph"/>
              <w:spacing w:line="210" w:lineRule="exact"/>
              <w:ind w:left="62"/>
              <w:jc w:val="left"/>
              <w:rPr>
                <w:b/>
                <w:sz w:val="20"/>
              </w:rPr>
            </w:pPr>
            <w:r>
              <w:rPr>
                <w:b/>
                <w:sz w:val="20"/>
              </w:rPr>
              <w:t>1.</w:t>
            </w:r>
            <w:r>
              <w:rPr>
                <w:b/>
                <w:spacing w:val="-3"/>
                <w:sz w:val="20"/>
              </w:rPr>
              <w:t> </w:t>
            </w:r>
            <w:r>
              <w:rPr>
                <w:b/>
                <w:sz w:val="20"/>
              </w:rPr>
              <w:t>Taxa</w:t>
            </w:r>
            <w:r>
              <w:rPr>
                <w:b/>
                <w:spacing w:val="-2"/>
                <w:sz w:val="20"/>
              </w:rPr>
              <w:t> </w:t>
            </w:r>
            <w:r>
              <w:rPr>
                <w:b/>
                <w:sz w:val="20"/>
              </w:rPr>
              <w:t>de</w:t>
            </w:r>
            <w:r>
              <w:rPr>
                <w:b/>
                <w:spacing w:val="-3"/>
                <w:sz w:val="20"/>
              </w:rPr>
              <w:t> </w:t>
            </w:r>
            <w:r>
              <w:rPr>
                <w:b/>
                <w:sz w:val="20"/>
              </w:rPr>
              <w:t>Ocupação</w:t>
            </w:r>
            <w:r>
              <w:rPr>
                <w:b/>
                <w:spacing w:val="-2"/>
                <w:sz w:val="20"/>
              </w:rPr>
              <w:t> </w:t>
            </w:r>
            <w:r>
              <w:rPr>
                <w:b/>
                <w:sz w:val="20"/>
              </w:rPr>
              <w:t>Hospitalar</w:t>
            </w:r>
            <w:r>
              <w:rPr>
                <w:b/>
                <w:spacing w:val="-1"/>
                <w:sz w:val="20"/>
              </w:rPr>
              <w:t> </w:t>
            </w:r>
            <w:r>
              <w:rPr>
                <w:b/>
                <w:spacing w:val="-2"/>
                <w:sz w:val="20"/>
              </w:rPr>
              <w:t>(TOH)</w:t>
            </w:r>
          </w:p>
        </w:tc>
        <w:tc>
          <w:tcPr>
            <w:tcW w:w="838" w:type="dxa"/>
            <w:vMerge w:val="restart"/>
            <w:tcBorders>
              <w:left w:val="single" w:sz="6" w:space="0" w:color="000000"/>
            </w:tcBorders>
          </w:tcPr>
          <w:p>
            <w:pPr>
              <w:pStyle w:val="TableParagraph"/>
              <w:spacing w:before="11"/>
              <w:jc w:val="left"/>
              <w:rPr>
                <w:b/>
                <w:sz w:val="20"/>
              </w:rPr>
            </w:pPr>
          </w:p>
          <w:p>
            <w:pPr>
              <w:pStyle w:val="TableParagraph"/>
              <w:ind w:left="139"/>
              <w:jc w:val="left"/>
              <w:rPr>
                <w:b/>
                <w:sz w:val="20"/>
              </w:rPr>
            </w:pPr>
            <w:r>
              <w:rPr>
                <w:b/>
                <w:sz w:val="20"/>
              </w:rPr>
              <w:t>≥ </w:t>
            </w:r>
            <w:r>
              <w:rPr>
                <w:b/>
                <w:spacing w:val="-5"/>
                <w:sz w:val="20"/>
              </w:rPr>
              <w:t>90%</w:t>
            </w:r>
          </w:p>
        </w:tc>
        <w:tc>
          <w:tcPr>
            <w:tcW w:w="3826" w:type="dxa"/>
          </w:tcPr>
          <w:p>
            <w:pPr>
              <w:pStyle w:val="TableParagraph"/>
              <w:spacing w:line="210" w:lineRule="exact"/>
              <w:ind w:left="16" w:right="2"/>
              <w:rPr>
                <w:b/>
                <w:sz w:val="20"/>
              </w:rPr>
            </w:pPr>
            <w:r>
              <w:rPr>
                <w:b/>
                <w:spacing w:val="-2"/>
                <w:sz w:val="20"/>
              </w:rPr>
              <w:t>105,33%</w:t>
            </w:r>
          </w:p>
        </w:tc>
      </w:tr>
      <w:tr>
        <w:trPr>
          <w:trHeight w:val="231" w:hRule="atLeast"/>
        </w:trPr>
        <w:tc>
          <w:tcPr>
            <w:tcW w:w="5386" w:type="dxa"/>
            <w:tcBorders>
              <w:right w:val="single" w:sz="6" w:space="0" w:color="000000"/>
            </w:tcBorders>
          </w:tcPr>
          <w:p>
            <w:pPr>
              <w:pStyle w:val="TableParagraph"/>
              <w:spacing w:line="211" w:lineRule="exact" w:before="1"/>
              <w:ind w:left="62"/>
              <w:jc w:val="left"/>
              <w:rPr>
                <w:sz w:val="20"/>
              </w:rPr>
            </w:pPr>
            <w:r>
              <w:rPr>
                <w:sz w:val="20"/>
              </w:rPr>
              <w:t>Total</w:t>
            </w:r>
            <w:r>
              <w:rPr>
                <w:spacing w:val="-3"/>
                <w:sz w:val="20"/>
              </w:rPr>
              <w:t> </w:t>
            </w:r>
            <w:r>
              <w:rPr>
                <w:sz w:val="20"/>
              </w:rPr>
              <w:t>de</w:t>
            </w:r>
            <w:r>
              <w:rPr>
                <w:spacing w:val="-3"/>
                <w:sz w:val="20"/>
              </w:rPr>
              <w:t> </w:t>
            </w:r>
            <w:r>
              <w:rPr>
                <w:sz w:val="20"/>
              </w:rPr>
              <w:t>pacientes-dia</w:t>
            </w:r>
            <w:r>
              <w:rPr>
                <w:spacing w:val="-1"/>
                <w:sz w:val="20"/>
              </w:rPr>
              <w:t> </w:t>
            </w:r>
            <w:r>
              <w:rPr>
                <w:sz w:val="20"/>
              </w:rPr>
              <w:t>no</w:t>
            </w:r>
            <w:r>
              <w:rPr>
                <w:spacing w:val="-2"/>
                <w:sz w:val="20"/>
              </w:rPr>
              <w:t> período</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ight="2"/>
              <w:rPr>
                <w:sz w:val="20"/>
              </w:rPr>
            </w:pPr>
            <w:r>
              <w:rPr>
                <w:spacing w:val="-2"/>
                <w:sz w:val="20"/>
              </w:rPr>
              <w:t>10.053</w:t>
            </w:r>
          </w:p>
        </w:tc>
      </w:tr>
      <w:tr>
        <w:trPr>
          <w:trHeight w:val="230" w:hRule="atLeast"/>
        </w:trPr>
        <w:tc>
          <w:tcPr>
            <w:tcW w:w="5386" w:type="dxa"/>
            <w:tcBorders>
              <w:right w:val="single" w:sz="6" w:space="0" w:color="000000"/>
            </w:tcBorders>
          </w:tcPr>
          <w:p>
            <w:pPr>
              <w:pStyle w:val="TableParagraph"/>
              <w:spacing w:line="210" w:lineRule="exact"/>
              <w:ind w:left="62"/>
              <w:jc w:val="left"/>
              <w:rPr>
                <w:sz w:val="20"/>
              </w:rPr>
            </w:pPr>
            <w:r>
              <w:rPr>
                <w:sz w:val="20"/>
              </w:rPr>
              <w:t>Total</w:t>
            </w:r>
            <w:r>
              <w:rPr>
                <w:spacing w:val="-5"/>
                <w:sz w:val="20"/>
              </w:rPr>
              <w:t> </w:t>
            </w:r>
            <w:r>
              <w:rPr>
                <w:sz w:val="20"/>
              </w:rPr>
              <w:t>de</w:t>
            </w:r>
            <w:r>
              <w:rPr>
                <w:spacing w:val="-4"/>
                <w:sz w:val="20"/>
              </w:rPr>
              <w:t> </w:t>
            </w:r>
            <w:r>
              <w:rPr>
                <w:sz w:val="20"/>
              </w:rPr>
              <w:t>leitos-dia</w:t>
            </w:r>
            <w:r>
              <w:rPr>
                <w:spacing w:val="-3"/>
                <w:sz w:val="20"/>
              </w:rPr>
              <w:t> </w:t>
            </w:r>
            <w:r>
              <w:rPr>
                <w:sz w:val="20"/>
              </w:rPr>
              <w:t>operacionais</w:t>
            </w:r>
            <w:r>
              <w:rPr>
                <w:spacing w:val="-2"/>
                <w:sz w:val="20"/>
              </w:rPr>
              <w:t> </w:t>
            </w:r>
            <w:r>
              <w:rPr>
                <w:sz w:val="20"/>
              </w:rPr>
              <w:t>no</w:t>
            </w:r>
            <w:r>
              <w:rPr>
                <w:spacing w:val="-2"/>
                <w:sz w:val="20"/>
              </w:rPr>
              <w:t> período</w:t>
            </w:r>
          </w:p>
        </w:tc>
        <w:tc>
          <w:tcPr>
            <w:tcW w:w="838" w:type="dxa"/>
            <w:vMerge/>
            <w:tcBorders>
              <w:top w:val="nil"/>
              <w:left w:val="single" w:sz="6" w:space="0" w:color="000000"/>
            </w:tcBorders>
          </w:tcPr>
          <w:p>
            <w:pPr>
              <w:rPr>
                <w:sz w:val="2"/>
                <w:szCs w:val="2"/>
              </w:rPr>
            </w:pPr>
          </w:p>
        </w:tc>
        <w:tc>
          <w:tcPr>
            <w:tcW w:w="3826" w:type="dxa"/>
          </w:tcPr>
          <w:p>
            <w:pPr>
              <w:pStyle w:val="TableParagraph"/>
              <w:spacing w:line="210" w:lineRule="exact"/>
              <w:ind w:left="16" w:right="2"/>
              <w:rPr>
                <w:sz w:val="20"/>
              </w:rPr>
            </w:pPr>
            <w:r>
              <w:rPr>
                <w:spacing w:val="-2"/>
                <w:sz w:val="20"/>
              </w:rPr>
              <w:t>9.544</w:t>
            </w:r>
          </w:p>
        </w:tc>
      </w:tr>
      <w:tr>
        <w:trPr>
          <w:trHeight w:val="462" w:hRule="atLeast"/>
        </w:trPr>
        <w:tc>
          <w:tcPr>
            <w:tcW w:w="5386" w:type="dxa"/>
            <w:tcBorders>
              <w:right w:val="single" w:sz="6" w:space="0" w:color="000000"/>
            </w:tcBorders>
          </w:tcPr>
          <w:p>
            <w:pPr>
              <w:pStyle w:val="TableParagraph"/>
              <w:spacing w:line="230" w:lineRule="atLeast"/>
              <w:ind w:left="62"/>
              <w:jc w:val="left"/>
              <w:rPr>
                <w:b/>
                <w:sz w:val="20"/>
              </w:rPr>
            </w:pPr>
            <w:r>
              <w:rPr>
                <w:b/>
                <w:sz w:val="20"/>
              </w:rPr>
              <w:t>2.</w:t>
            </w:r>
            <w:r>
              <w:rPr>
                <w:b/>
                <w:spacing w:val="-8"/>
                <w:sz w:val="20"/>
              </w:rPr>
              <w:t> </w:t>
            </w:r>
            <w:r>
              <w:rPr>
                <w:b/>
                <w:sz w:val="20"/>
              </w:rPr>
              <w:t>Taxa</w:t>
            </w:r>
            <w:r>
              <w:rPr>
                <w:b/>
                <w:spacing w:val="-8"/>
                <w:sz w:val="20"/>
              </w:rPr>
              <w:t> </w:t>
            </w:r>
            <w:r>
              <w:rPr>
                <w:b/>
                <w:sz w:val="20"/>
              </w:rPr>
              <w:t>Média/Tempo</w:t>
            </w:r>
            <w:r>
              <w:rPr>
                <w:b/>
                <w:spacing w:val="-8"/>
                <w:sz w:val="20"/>
              </w:rPr>
              <w:t> </w:t>
            </w:r>
            <w:r>
              <w:rPr>
                <w:b/>
                <w:sz w:val="20"/>
              </w:rPr>
              <w:t>Médio</w:t>
            </w:r>
            <w:r>
              <w:rPr>
                <w:b/>
                <w:spacing w:val="-7"/>
                <w:sz w:val="20"/>
              </w:rPr>
              <w:t> </w:t>
            </w:r>
            <w:r>
              <w:rPr>
                <w:b/>
                <w:sz w:val="20"/>
              </w:rPr>
              <w:t>de</w:t>
            </w:r>
            <w:r>
              <w:rPr>
                <w:b/>
                <w:spacing w:val="-8"/>
                <w:sz w:val="20"/>
              </w:rPr>
              <w:t> </w:t>
            </w:r>
            <w:r>
              <w:rPr>
                <w:b/>
                <w:sz w:val="20"/>
              </w:rPr>
              <w:t>Permanência</w:t>
            </w:r>
            <w:r>
              <w:rPr>
                <w:b/>
                <w:spacing w:val="-7"/>
                <w:sz w:val="20"/>
              </w:rPr>
              <w:t> </w:t>
            </w:r>
            <w:r>
              <w:rPr>
                <w:b/>
                <w:sz w:val="20"/>
              </w:rPr>
              <w:t>Hospitalar </w:t>
            </w:r>
            <w:r>
              <w:rPr>
                <w:b/>
                <w:spacing w:val="-4"/>
                <w:sz w:val="20"/>
              </w:rPr>
              <w:t>(TMP)</w:t>
            </w:r>
          </w:p>
        </w:tc>
        <w:tc>
          <w:tcPr>
            <w:tcW w:w="838" w:type="dxa"/>
            <w:vMerge w:val="restart"/>
            <w:tcBorders>
              <w:left w:val="single" w:sz="6" w:space="0" w:color="000000"/>
            </w:tcBorders>
          </w:tcPr>
          <w:p>
            <w:pPr>
              <w:pStyle w:val="TableParagraph"/>
              <w:spacing w:before="127"/>
              <w:jc w:val="left"/>
              <w:rPr>
                <w:b/>
                <w:sz w:val="20"/>
              </w:rPr>
            </w:pPr>
          </w:p>
          <w:p>
            <w:pPr>
              <w:pStyle w:val="TableParagraph"/>
              <w:ind w:left="11"/>
              <w:rPr>
                <w:b/>
                <w:sz w:val="20"/>
              </w:rPr>
            </w:pPr>
            <w:r>
              <w:rPr>
                <w:b/>
                <w:spacing w:val="-5"/>
                <w:sz w:val="20"/>
              </w:rPr>
              <w:t>≤7</w:t>
            </w:r>
          </w:p>
        </w:tc>
        <w:tc>
          <w:tcPr>
            <w:tcW w:w="3826" w:type="dxa"/>
          </w:tcPr>
          <w:p>
            <w:pPr>
              <w:pStyle w:val="TableParagraph"/>
              <w:spacing w:before="105"/>
              <w:ind w:left="16" w:right="2"/>
              <w:rPr>
                <w:b/>
                <w:sz w:val="20"/>
              </w:rPr>
            </w:pPr>
            <w:r>
              <w:rPr>
                <w:b/>
                <w:spacing w:val="-4"/>
                <w:sz w:val="20"/>
              </w:rPr>
              <w:t>8,04</w:t>
            </w:r>
          </w:p>
        </w:tc>
      </w:tr>
      <w:tr>
        <w:trPr>
          <w:trHeight w:val="231" w:hRule="atLeast"/>
        </w:trPr>
        <w:tc>
          <w:tcPr>
            <w:tcW w:w="5386" w:type="dxa"/>
            <w:tcBorders>
              <w:right w:val="single" w:sz="6" w:space="0" w:color="000000"/>
            </w:tcBorders>
          </w:tcPr>
          <w:p>
            <w:pPr>
              <w:pStyle w:val="TableParagraph"/>
              <w:spacing w:line="211" w:lineRule="exact" w:before="1"/>
              <w:ind w:left="62"/>
              <w:jc w:val="left"/>
              <w:rPr>
                <w:sz w:val="20"/>
              </w:rPr>
            </w:pPr>
            <w:r>
              <w:rPr>
                <w:sz w:val="20"/>
              </w:rPr>
              <w:t>Total</w:t>
            </w:r>
            <w:r>
              <w:rPr>
                <w:spacing w:val="-3"/>
                <w:sz w:val="20"/>
              </w:rPr>
              <w:t> </w:t>
            </w:r>
            <w:r>
              <w:rPr>
                <w:sz w:val="20"/>
              </w:rPr>
              <w:t>de</w:t>
            </w:r>
            <w:r>
              <w:rPr>
                <w:spacing w:val="-3"/>
                <w:sz w:val="20"/>
              </w:rPr>
              <w:t> </w:t>
            </w:r>
            <w:r>
              <w:rPr>
                <w:sz w:val="20"/>
              </w:rPr>
              <w:t>pacientes-dia</w:t>
            </w:r>
            <w:r>
              <w:rPr>
                <w:spacing w:val="-1"/>
                <w:sz w:val="20"/>
              </w:rPr>
              <w:t> </w:t>
            </w:r>
            <w:r>
              <w:rPr>
                <w:sz w:val="20"/>
              </w:rPr>
              <w:t>no</w:t>
            </w:r>
            <w:r>
              <w:rPr>
                <w:spacing w:val="-2"/>
                <w:sz w:val="20"/>
              </w:rPr>
              <w:t> período</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ight="2"/>
              <w:rPr>
                <w:sz w:val="20"/>
              </w:rPr>
            </w:pPr>
            <w:r>
              <w:rPr>
                <w:spacing w:val="-2"/>
                <w:sz w:val="20"/>
              </w:rPr>
              <w:t>10.053</w:t>
            </w:r>
          </w:p>
        </w:tc>
      </w:tr>
      <w:tr>
        <w:trPr>
          <w:trHeight w:val="230" w:hRule="atLeast"/>
        </w:trPr>
        <w:tc>
          <w:tcPr>
            <w:tcW w:w="5386" w:type="dxa"/>
            <w:tcBorders>
              <w:right w:val="single" w:sz="6" w:space="0" w:color="000000"/>
            </w:tcBorders>
          </w:tcPr>
          <w:p>
            <w:pPr>
              <w:pStyle w:val="TableParagraph"/>
              <w:spacing w:line="210" w:lineRule="exact"/>
              <w:ind w:left="62"/>
              <w:jc w:val="left"/>
              <w:rPr>
                <w:sz w:val="20"/>
              </w:rPr>
            </w:pPr>
            <w:r>
              <w:rPr>
                <w:sz w:val="20"/>
              </w:rPr>
              <w:t>Total</w:t>
            </w:r>
            <w:r>
              <w:rPr>
                <w:spacing w:val="-5"/>
                <w:sz w:val="20"/>
              </w:rPr>
              <w:t> </w:t>
            </w:r>
            <w:r>
              <w:rPr>
                <w:sz w:val="20"/>
              </w:rPr>
              <w:t>de</w:t>
            </w:r>
            <w:r>
              <w:rPr>
                <w:spacing w:val="-4"/>
                <w:sz w:val="20"/>
              </w:rPr>
              <w:t> </w:t>
            </w:r>
            <w:r>
              <w:rPr>
                <w:sz w:val="20"/>
              </w:rPr>
              <w:t>saídas</w:t>
            </w:r>
            <w:r>
              <w:rPr>
                <w:spacing w:val="-2"/>
                <w:sz w:val="20"/>
              </w:rPr>
              <w:t> </w:t>
            </w:r>
            <w:r>
              <w:rPr>
                <w:sz w:val="20"/>
              </w:rPr>
              <w:t>hospitalares</w:t>
            </w:r>
            <w:r>
              <w:rPr>
                <w:spacing w:val="-2"/>
                <w:sz w:val="20"/>
              </w:rPr>
              <w:t> </w:t>
            </w:r>
            <w:r>
              <w:rPr>
                <w:sz w:val="20"/>
              </w:rPr>
              <w:t>no</w:t>
            </w:r>
            <w:r>
              <w:rPr>
                <w:spacing w:val="-2"/>
                <w:sz w:val="20"/>
              </w:rPr>
              <w:t> período</w:t>
            </w:r>
          </w:p>
        </w:tc>
        <w:tc>
          <w:tcPr>
            <w:tcW w:w="838" w:type="dxa"/>
            <w:vMerge/>
            <w:tcBorders>
              <w:top w:val="nil"/>
              <w:left w:val="single" w:sz="6" w:space="0" w:color="000000"/>
            </w:tcBorders>
          </w:tcPr>
          <w:p>
            <w:pPr>
              <w:rPr>
                <w:sz w:val="2"/>
                <w:szCs w:val="2"/>
              </w:rPr>
            </w:pPr>
          </w:p>
        </w:tc>
        <w:tc>
          <w:tcPr>
            <w:tcW w:w="3826" w:type="dxa"/>
          </w:tcPr>
          <w:p>
            <w:pPr>
              <w:pStyle w:val="TableParagraph"/>
              <w:spacing w:line="210" w:lineRule="exact"/>
              <w:ind w:left="16" w:right="2"/>
              <w:rPr>
                <w:sz w:val="20"/>
              </w:rPr>
            </w:pPr>
            <w:r>
              <w:rPr>
                <w:spacing w:val="-2"/>
                <w:sz w:val="20"/>
              </w:rPr>
              <w:t>1.250</w:t>
            </w:r>
          </w:p>
        </w:tc>
      </w:tr>
      <w:tr>
        <w:trPr>
          <w:trHeight w:val="232" w:hRule="atLeast"/>
        </w:trPr>
        <w:tc>
          <w:tcPr>
            <w:tcW w:w="5386" w:type="dxa"/>
            <w:tcBorders>
              <w:right w:val="single" w:sz="6" w:space="0" w:color="000000"/>
            </w:tcBorders>
          </w:tcPr>
          <w:p>
            <w:pPr>
              <w:pStyle w:val="TableParagraph"/>
              <w:spacing w:line="211" w:lineRule="exact" w:before="1"/>
              <w:ind w:left="62"/>
              <w:jc w:val="left"/>
              <w:rPr>
                <w:b/>
                <w:sz w:val="20"/>
              </w:rPr>
            </w:pPr>
            <w:r>
              <w:rPr>
                <w:b/>
                <w:sz w:val="20"/>
              </w:rPr>
              <w:t>3.</w:t>
            </w:r>
            <w:r>
              <w:rPr>
                <w:b/>
                <w:spacing w:val="-3"/>
                <w:sz w:val="20"/>
              </w:rPr>
              <w:t> </w:t>
            </w:r>
            <w:r>
              <w:rPr>
                <w:b/>
                <w:sz w:val="20"/>
              </w:rPr>
              <w:t>Índice</w:t>
            </w:r>
            <w:r>
              <w:rPr>
                <w:b/>
                <w:spacing w:val="-4"/>
                <w:sz w:val="20"/>
              </w:rPr>
              <w:t> </w:t>
            </w:r>
            <w:r>
              <w:rPr>
                <w:b/>
                <w:sz w:val="20"/>
              </w:rPr>
              <w:t>de</w:t>
            </w:r>
            <w:r>
              <w:rPr>
                <w:b/>
                <w:spacing w:val="-3"/>
                <w:sz w:val="20"/>
              </w:rPr>
              <w:t> </w:t>
            </w:r>
            <w:r>
              <w:rPr>
                <w:b/>
                <w:sz w:val="20"/>
              </w:rPr>
              <w:t>Intervalo</w:t>
            </w:r>
            <w:r>
              <w:rPr>
                <w:b/>
                <w:spacing w:val="-2"/>
                <w:sz w:val="20"/>
              </w:rPr>
              <w:t> </w:t>
            </w:r>
            <w:r>
              <w:rPr>
                <w:b/>
                <w:sz w:val="20"/>
              </w:rPr>
              <w:t>de</w:t>
            </w:r>
            <w:r>
              <w:rPr>
                <w:b/>
                <w:spacing w:val="-4"/>
                <w:sz w:val="20"/>
              </w:rPr>
              <w:t> </w:t>
            </w:r>
            <w:r>
              <w:rPr>
                <w:b/>
                <w:sz w:val="20"/>
              </w:rPr>
              <w:t>Substituição</w:t>
            </w:r>
            <w:r>
              <w:rPr>
                <w:b/>
                <w:spacing w:val="-1"/>
                <w:sz w:val="20"/>
              </w:rPr>
              <w:t> </w:t>
            </w:r>
            <w:r>
              <w:rPr>
                <w:b/>
                <w:spacing w:val="-2"/>
                <w:sz w:val="20"/>
              </w:rPr>
              <w:t>(horas)</w:t>
            </w:r>
          </w:p>
        </w:tc>
        <w:tc>
          <w:tcPr>
            <w:tcW w:w="838" w:type="dxa"/>
            <w:vMerge w:val="restart"/>
            <w:tcBorders>
              <w:left w:val="single" w:sz="6" w:space="0" w:color="000000"/>
            </w:tcBorders>
          </w:tcPr>
          <w:p>
            <w:pPr>
              <w:pStyle w:val="TableParagraph"/>
              <w:spacing w:before="11"/>
              <w:jc w:val="left"/>
              <w:rPr>
                <w:b/>
                <w:sz w:val="20"/>
              </w:rPr>
            </w:pPr>
          </w:p>
          <w:p>
            <w:pPr>
              <w:pStyle w:val="TableParagraph"/>
              <w:ind w:left="263"/>
              <w:jc w:val="left"/>
              <w:rPr>
                <w:b/>
                <w:sz w:val="20"/>
              </w:rPr>
            </w:pPr>
            <w:r>
              <w:rPr>
                <w:b/>
                <w:spacing w:val="-5"/>
                <w:sz w:val="20"/>
              </w:rPr>
              <w:t>≤24</w:t>
            </w:r>
          </w:p>
        </w:tc>
        <w:tc>
          <w:tcPr>
            <w:tcW w:w="3826" w:type="dxa"/>
          </w:tcPr>
          <w:p>
            <w:pPr>
              <w:pStyle w:val="TableParagraph"/>
              <w:spacing w:line="211" w:lineRule="exact" w:before="1"/>
              <w:ind w:left="16" w:right="2"/>
              <w:rPr>
                <w:b/>
                <w:sz w:val="20"/>
              </w:rPr>
            </w:pPr>
            <w:r>
              <w:rPr>
                <w:b/>
                <w:spacing w:val="-2"/>
                <w:sz w:val="20"/>
              </w:rPr>
              <w:t>14,88</w:t>
            </w:r>
          </w:p>
        </w:tc>
      </w:tr>
      <w:tr>
        <w:trPr>
          <w:trHeight w:val="230" w:hRule="atLeast"/>
        </w:trPr>
        <w:tc>
          <w:tcPr>
            <w:tcW w:w="5386" w:type="dxa"/>
            <w:tcBorders>
              <w:right w:val="single" w:sz="6" w:space="0" w:color="000000"/>
            </w:tcBorders>
          </w:tcPr>
          <w:p>
            <w:pPr>
              <w:pStyle w:val="TableParagraph"/>
              <w:spacing w:line="210" w:lineRule="exact"/>
              <w:ind w:left="62"/>
              <w:jc w:val="left"/>
              <w:rPr>
                <w:sz w:val="20"/>
              </w:rPr>
            </w:pPr>
            <w:r>
              <w:rPr>
                <w:sz w:val="20"/>
              </w:rPr>
              <w:t>Taxa</w:t>
            </w:r>
            <w:r>
              <w:rPr>
                <w:spacing w:val="-3"/>
                <w:sz w:val="20"/>
              </w:rPr>
              <w:t> </w:t>
            </w:r>
            <w:r>
              <w:rPr>
                <w:sz w:val="20"/>
              </w:rPr>
              <w:t>de</w:t>
            </w:r>
            <w:r>
              <w:rPr>
                <w:spacing w:val="-5"/>
                <w:sz w:val="20"/>
              </w:rPr>
              <w:t> </w:t>
            </w:r>
            <w:r>
              <w:rPr>
                <w:sz w:val="20"/>
              </w:rPr>
              <w:t>ocupação </w:t>
            </w:r>
            <w:r>
              <w:rPr>
                <w:spacing w:val="-2"/>
                <w:sz w:val="20"/>
              </w:rPr>
              <w:t>hospitalar</w:t>
            </w:r>
          </w:p>
        </w:tc>
        <w:tc>
          <w:tcPr>
            <w:tcW w:w="838" w:type="dxa"/>
            <w:vMerge/>
            <w:tcBorders>
              <w:top w:val="nil"/>
              <w:left w:val="single" w:sz="6" w:space="0" w:color="000000"/>
            </w:tcBorders>
          </w:tcPr>
          <w:p>
            <w:pPr>
              <w:rPr>
                <w:sz w:val="2"/>
                <w:szCs w:val="2"/>
              </w:rPr>
            </w:pPr>
          </w:p>
        </w:tc>
        <w:tc>
          <w:tcPr>
            <w:tcW w:w="3826" w:type="dxa"/>
          </w:tcPr>
          <w:p>
            <w:pPr>
              <w:pStyle w:val="TableParagraph"/>
              <w:spacing w:line="210" w:lineRule="exact"/>
              <w:ind w:left="16"/>
              <w:rPr>
                <w:sz w:val="20"/>
              </w:rPr>
            </w:pPr>
            <w:r>
              <w:rPr>
                <w:spacing w:val="-2"/>
                <w:sz w:val="20"/>
              </w:rPr>
              <w:t>92,84%</w:t>
            </w:r>
          </w:p>
        </w:tc>
      </w:tr>
      <w:tr>
        <w:trPr>
          <w:trHeight w:val="232" w:hRule="atLeast"/>
        </w:trPr>
        <w:tc>
          <w:tcPr>
            <w:tcW w:w="5386" w:type="dxa"/>
            <w:tcBorders>
              <w:right w:val="single" w:sz="6" w:space="0" w:color="000000"/>
            </w:tcBorders>
          </w:tcPr>
          <w:p>
            <w:pPr>
              <w:pStyle w:val="TableParagraph"/>
              <w:spacing w:line="211" w:lineRule="exact" w:before="1"/>
              <w:ind w:left="62"/>
              <w:jc w:val="left"/>
              <w:rPr>
                <w:sz w:val="20"/>
              </w:rPr>
            </w:pPr>
            <w:r>
              <w:rPr>
                <w:sz w:val="20"/>
              </w:rPr>
              <w:t>Tempo</w:t>
            </w:r>
            <w:r>
              <w:rPr>
                <w:spacing w:val="-2"/>
                <w:sz w:val="20"/>
              </w:rPr>
              <w:t> </w:t>
            </w:r>
            <w:r>
              <w:rPr>
                <w:sz w:val="20"/>
              </w:rPr>
              <w:t>médio</w:t>
            </w:r>
            <w:r>
              <w:rPr>
                <w:spacing w:val="-2"/>
                <w:sz w:val="20"/>
              </w:rPr>
              <w:t> </w:t>
            </w:r>
            <w:r>
              <w:rPr>
                <w:sz w:val="20"/>
              </w:rPr>
              <w:t>de</w:t>
            </w:r>
            <w:r>
              <w:rPr>
                <w:spacing w:val="-2"/>
                <w:sz w:val="20"/>
              </w:rPr>
              <w:t> permanência</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ight="2"/>
              <w:rPr>
                <w:sz w:val="20"/>
              </w:rPr>
            </w:pPr>
            <w:r>
              <w:rPr>
                <w:spacing w:val="-4"/>
                <w:sz w:val="20"/>
              </w:rPr>
              <w:t>8,04</w:t>
            </w:r>
          </w:p>
        </w:tc>
      </w:tr>
      <w:tr>
        <w:trPr>
          <w:trHeight w:val="230" w:hRule="atLeast"/>
        </w:trPr>
        <w:tc>
          <w:tcPr>
            <w:tcW w:w="5386" w:type="dxa"/>
            <w:tcBorders>
              <w:right w:val="single" w:sz="6" w:space="0" w:color="000000"/>
            </w:tcBorders>
          </w:tcPr>
          <w:p>
            <w:pPr>
              <w:pStyle w:val="TableParagraph"/>
              <w:spacing w:line="210" w:lineRule="exact"/>
              <w:ind w:left="62"/>
              <w:jc w:val="left"/>
              <w:rPr>
                <w:b/>
                <w:sz w:val="20"/>
              </w:rPr>
            </w:pPr>
            <w:r>
              <w:rPr>
                <w:b/>
                <w:sz w:val="20"/>
              </w:rPr>
              <w:t>4.</w:t>
            </w:r>
            <w:r>
              <w:rPr>
                <w:b/>
                <w:spacing w:val="-4"/>
                <w:sz w:val="20"/>
              </w:rPr>
              <w:t> </w:t>
            </w:r>
            <w:r>
              <w:rPr>
                <w:b/>
                <w:sz w:val="20"/>
              </w:rPr>
              <w:t>Taxa</w:t>
            </w:r>
            <w:r>
              <w:rPr>
                <w:b/>
                <w:spacing w:val="-2"/>
                <w:sz w:val="20"/>
              </w:rPr>
              <w:t> </w:t>
            </w:r>
            <w:r>
              <w:rPr>
                <w:b/>
                <w:sz w:val="20"/>
              </w:rPr>
              <w:t>de</w:t>
            </w:r>
            <w:r>
              <w:rPr>
                <w:b/>
                <w:spacing w:val="-3"/>
                <w:sz w:val="20"/>
              </w:rPr>
              <w:t> </w:t>
            </w:r>
            <w:r>
              <w:rPr>
                <w:b/>
                <w:sz w:val="20"/>
              </w:rPr>
              <w:t>Readmissão</w:t>
            </w:r>
            <w:r>
              <w:rPr>
                <w:b/>
                <w:spacing w:val="-1"/>
                <w:sz w:val="20"/>
              </w:rPr>
              <w:t> </w:t>
            </w:r>
            <w:r>
              <w:rPr>
                <w:b/>
                <w:sz w:val="20"/>
              </w:rPr>
              <w:t>Hospitalar</w:t>
            </w:r>
            <w:r>
              <w:rPr>
                <w:b/>
                <w:spacing w:val="-3"/>
                <w:sz w:val="20"/>
              </w:rPr>
              <w:t> </w:t>
            </w:r>
            <w:r>
              <w:rPr>
                <w:b/>
                <w:sz w:val="20"/>
              </w:rPr>
              <w:t>(em</w:t>
            </w:r>
            <w:r>
              <w:rPr>
                <w:b/>
                <w:spacing w:val="-1"/>
                <w:sz w:val="20"/>
              </w:rPr>
              <w:t> </w:t>
            </w:r>
            <w:r>
              <w:rPr>
                <w:b/>
                <w:sz w:val="20"/>
              </w:rPr>
              <w:t>até́ 29</w:t>
            </w:r>
            <w:r>
              <w:rPr>
                <w:b/>
                <w:spacing w:val="-1"/>
                <w:sz w:val="20"/>
              </w:rPr>
              <w:t> </w:t>
            </w:r>
            <w:r>
              <w:rPr>
                <w:b/>
                <w:spacing w:val="-2"/>
                <w:sz w:val="20"/>
              </w:rPr>
              <w:t>dias)</w:t>
            </w:r>
          </w:p>
        </w:tc>
        <w:tc>
          <w:tcPr>
            <w:tcW w:w="838" w:type="dxa"/>
            <w:vMerge w:val="restart"/>
            <w:tcBorders>
              <w:left w:val="single" w:sz="6" w:space="0" w:color="000000"/>
            </w:tcBorders>
          </w:tcPr>
          <w:p>
            <w:pPr>
              <w:pStyle w:val="TableParagraph"/>
              <w:spacing w:before="125"/>
              <w:jc w:val="left"/>
              <w:rPr>
                <w:b/>
                <w:sz w:val="20"/>
              </w:rPr>
            </w:pPr>
          </w:p>
          <w:p>
            <w:pPr>
              <w:pStyle w:val="TableParagraph"/>
              <w:ind w:left="211"/>
              <w:jc w:val="left"/>
              <w:rPr>
                <w:b/>
                <w:sz w:val="20"/>
              </w:rPr>
            </w:pPr>
            <w:r>
              <w:rPr>
                <w:b/>
                <w:spacing w:val="-5"/>
                <w:sz w:val="20"/>
              </w:rPr>
              <w:t>&lt;8%</w:t>
            </w:r>
          </w:p>
        </w:tc>
        <w:tc>
          <w:tcPr>
            <w:tcW w:w="3826" w:type="dxa"/>
          </w:tcPr>
          <w:p>
            <w:pPr>
              <w:pStyle w:val="TableParagraph"/>
              <w:spacing w:line="210" w:lineRule="exact"/>
              <w:ind w:left="16" w:right="2"/>
              <w:rPr>
                <w:b/>
                <w:sz w:val="20"/>
              </w:rPr>
            </w:pPr>
            <w:r>
              <w:rPr>
                <w:b/>
                <w:spacing w:val="-2"/>
                <w:sz w:val="20"/>
              </w:rPr>
              <w:t>5,17%</w:t>
            </w:r>
          </w:p>
        </w:tc>
      </w:tr>
      <w:tr>
        <w:trPr>
          <w:trHeight w:val="461" w:hRule="atLeast"/>
        </w:trPr>
        <w:tc>
          <w:tcPr>
            <w:tcW w:w="5386" w:type="dxa"/>
            <w:tcBorders>
              <w:right w:val="single" w:sz="6" w:space="0" w:color="000000"/>
            </w:tcBorders>
          </w:tcPr>
          <w:p>
            <w:pPr>
              <w:pStyle w:val="TableParagraph"/>
              <w:spacing w:line="230" w:lineRule="atLeast"/>
              <w:ind w:left="62"/>
              <w:jc w:val="left"/>
              <w:rPr>
                <w:sz w:val="20"/>
              </w:rPr>
            </w:pPr>
            <w:r>
              <w:rPr>
                <w:sz w:val="20"/>
              </w:rPr>
              <w:t>Número</w:t>
            </w:r>
            <w:r>
              <w:rPr>
                <w:spacing w:val="-4"/>
                <w:sz w:val="20"/>
              </w:rPr>
              <w:t> </w:t>
            </w:r>
            <w:r>
              <w:rPr>
                <w:sz w:val="20"/>
              </w:rPr>
              <w:t>de</w:t>
            </w:r>
            <w:r>
              <w:rPr>
                <w:spacing w:val="-6"/>
                <w:sz w:val="20"/>
              </w:rPr>
              <w:t> </w:t>
            </w:r>
            <w:r>
              <w:rPr>
                <w:sz w:val="20"/>
              </w:rPr>
              <w:t>pacientes</w:t>
            </w:r>
            <w:r>
              <w:rPr>
                <w:spacing w:val="-4"/>
                <w:sz w:val="20"/>
              </w:rPr>
              <w:t> </w:t>
            </w:r>
            <w:r>
              <w:rPr>
                <w:sz w:val="20"/>
              </w:rPr>
              <w:t>readmitidos</w:t>
            </w:r>
            <w:r>
              <w:rPr>
                <w:spacing w:val="-6"/>
                <w:sz w:val="20"/>
              </w:rPr>
              <w:t> </w:t>
            </w:r>
            <w:r>
              <w:rPr>
                <w:sz w:val="20"/>
              </w:rPr>
              <w:t>com</w:t>
            </w:r>
            <w:r>
              <w:rPr>
                <w:spacing w:val="-5"/>
                <w:sz w:val="20"/>
              </w:rPr>
              <w:t> </w:t>
            </w:r>
            <w:r>
              <w:rPr>
                <w:sz w:val="20"/>
              </w:rPr>
              <w:t>até</w:t>
            </w:r>
            <w:r>
              <w:rPr>
                <w:spacing w:val="-4"/>
                <w:sz w:val="20"/>
              </w:rPr>
              <w:t> </w:t>
            </w:r>
            <w:r>
              <w:rPr>
                <w:sz w:val="20"/>
              </w:rPr>
              <w:t>29</w:t>
            </w:r>
            <w:r>
              <w:rPr>
                <w:spacing w:val="-5"/>
                <w:sz w:val="20"/>
              </w:rPr>
              <w:t> </w:t>
            </w:r>
            <w:r>
              <w:rPr>
                <w:sz w:val="20"/>
              </w:rPr>
              <w:t>dias</w:t>
            </w:r>
            <w:r>
              <w:rPr>
                <w:spacing w:val="-6"/>
                <w:sz w:val="20"/>
              </w:rPr>
              <w:t> </w:t>
            </w:r>
            <w:r>
              <w:rPr>
                <w:sz w:val="20"/>
              </w:rPr>
              <w:t>da</w:t>
            </w:r>
            <w:r>
              <w:rPr>
                <w:spacing w:val="-6"/>
                <w:sz w:val="20"/>
              </w:rPr>
              <w:t> </w:t>
            </w:r>
            <w:r>
              <w:rPr>
                <w:sz w:val="20"/>
              </w:rPr>
              <w:t>última</w:t>
            </w:r>
            <w:r>
              <w:rPr>
                <w:spacing w:val="-4"/>
                <w:sz w:val="20"/>
              </w:rPr>
              <w:t> </w:t>
            </w:r>
            <w:r>
              <w:rPr>
                <w:sz w:val="20"/>
              </w:rPr>
              <w:t>alta </w:t>
            </w:r>
            <w:r>
              <w:rPr>
                <w:spacing w:val="-2"/>
                <w:sz w:val="20"/>
              </w:rPr>
              <w:t>hospitalar</w:t>
            </w:r>
          </w:p>
        </w:tc>
        <w:tc>
          <w:tcPr>
            <w:tcW w:w="838" w:type="dxa"/>
            <w:vMerge/>
            <w:tcBorders>
              <w:top w:val="nil"/>
              <w:left w:val="single" w:sz="6" w:space="0" w:color="000000"/>
            </w:tcBorders>
          </w:tcPr>
          <w:p>
            <w:pPr>
              <w:rPr>
                <w:sz w:val="2"/>
                <w:szCs w:val="2"/>
              </w:rPr>
            </w:pPr>
          </w:p>
        </w:tc>
        <w:tc>
          <w:tcPr>
            <w:tcW w:w="3826" w:type="dxa"/>
          </w:tcPr>
          <w:p>
            <w:pPr>
              <w:pStyle w:val="TableParagraph"/>
              <w:spacing w:before="105"/>
              <w:ind w:left="16"/>
              <w:rPr>
                <w:sz w:val="20"/>
              </w:rPr>
            </w:pPr>
            <w:r>
              <w:rPr>
                <w:spacing w:val="-5"/>
                <w:sz w:val="20"/>
              </w:rPr>
              <w:t>67</w:t>
            </w:r>
          </w:p>
        </w:tc>
      </w:tr>
      <w:tr>
        <w:trPr>
          <w:trHeight w:val="232" w:hRule="atLeast"/>
        </w:trPr>
        <w:tc>
          <w:tcPr>
            <w:tcW w:w="5386" w:type="dxa"/>
            <w:tcBorders>
              <w:right w:val="single" w:sz="6" w:space="0" w:color="000000"/>
            </w:tcBorders>
          </w:tcPr>
          <w:p>
            <w:pPr>
              <w:pStyle w:val="TableParagraph"/>
              <w:spacing w:line="211" w:lineRule="exact" w:before="1"/>
              <w:ind w:left="62"/>
              <w:jc w:val="left"/>
              <w:rPr>
                <w:sz w:val="20"/>
              </w:rPr>
            </w:pPr>
            <w:r>
              <w:rPr>
                <w:sz w:val="20"/>
              </w:rPr>
              <w:t>Número</w:t>
            </w:r>
            <w:r>
              <w:rPr>
                <w:spacing w:val="-4"/>
                <w:sz w:val="20"/>
              </w:rPr>
              <w:t> </w:t>
            </w:r>
            <w:r>
              <w:rPr>
                <w:sz w:val="20"/>
              </w:rPr>
              <w:t>total</w:t>
            </w:r>
            <w:r>
              <w:rPr>
                <w:spacing w:val="-4"/>
                <w:sz w:val="20"/>
              </w:rPr>
              <w:t> </w:t>
            </w:r>
            <w:r>
              <w:rPr>
                <w:sz w:val="20"/>
              </w:rPr>
              <w:t>de</w:t>
            </w:r>
            <w:r>
              <w:rPr>
                <w:spacing w:val="-3"/>
                <w:sz w:val="20"/>
              </w:rPr>
              <w:t> </w:t>
            </w:r>
            <w:r>
              <w:rPr>
                <w:sz w:val="20"/>
              </w:rPr>
              <w:t>internações</w:t>
            </w:r>
            <w:r>
              <w:rPr>
                <w:spacing w:val="-3"/>
                <w:sz w:val="20"/>
              </w:rPr>
              <w:t> </w:t>
            </w:r>
            <w:r>
              <w:rPr>
                <w:spacing w:val="-2"/>
                <w:sz w:val="20"/>
              </w:rPr>
              <w:t>hospitalares</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ight="2"/>
              <w:rPr>
                <w:sz w:val="20"/>
              </w:rPr>
            </w:pPr>
            <w:r>
              <w:rPr>
                <w:spacing w:val="-2"/>
                <w:sz w:val="20"/>
              </w:rPr>
              <w:t>1.297</w:t>
            </w:r>
          </w:p>
        </w:tc>
      </w:tr>
      <w:tr>
        <w:trPr>
          <w:trHeight w:val="230" w:hRule="atLeast"/>
        </w:trPr>
        <w:tc>
          <w:tcPr>
            <w:tcW w:w="5386" w:type="dxa"/>
            <w:tcBorders>
              <w:right w:val="single" w:sz="6" w:space="0" w:color="000000"/>
            </w:tcBorders>
          </w:tcPr>
          <w:p>
            <w:pPr>
              <w:pStyle w:val="TableParagraph"/>
              <w:spacing w:line="210" w:lineRule="exact"/>
              <w:ind w:left="62"/>
              <w:jc w:val="left"/>
              <w:rPr>
                <w:b/>
                <w:sz w:val="20"/>
              </w:rPr>
            </w:pPr>
            <w:r>
              <w:rPr>
                <w:b/>
                <w:sz w:val="20"/>
              </w:rPr>
              <w:t>5.</w:t>
            </w:r>
            <w:r>
              <w:rPr>
                <w:b/>
                <w:spacing w:val="-2"/>
                <w:sz w:val="20"/>
              </w:rPr>
              <w:t> </w:t>
            </w:r>
            <w:r>
              <w:rPr>
                <w:b/>
                <w:sz w:val="20"/>
              </w:rPr>
              <w:t>Taxa</w:t>
            </w:r>
            <w:r>
              <w:rPr>
                <w:b/>
                <w:spacing w:val="-1"/>
                <w:sz w:val="20"/>
              </w:rPr>
              <w:t> </w:t>
            </w:r>
            <w:r>
              <w:rPr>
                <w:b/>
                <w:sz w:val="20"/>
              </w:rPr>
              <w:t>de</w:t>
            </w:r>
            <w:r>
              <w:rPr>
                <w:b/>
                <w:spacing w:val="-2"/>
                <w:sz w:val="20"/>
              </w:rPr>
              <w:t> </w:t>
            </w:r>
            <w:r>
              <w:rPr>
                <w:b/>
                <w:sz w:val="20"/>
              </w:rPr>
              <w:t>Readmissão em</w:t>
            </w:r>
            <w:r>
              <w:rPr>
                <w:b/>
                <w:spacing w:val="-2"/>
                <w:sz w:val="20"/>
              </w:rPr>
              <w:t> </w:t>
            </w:r>
            <w:r>
              <w:rPr>
                <w:b/>
                <w:sz w:val="20"/>
              </w:rPr>
              <w:t>UTI</w:t>
            </w:r>
            <w:r>
              <w:rPr>
                <w:b/>
                <w:spacing w:val="-2"/>
                <w:sz w:val="20"/>
              </w:rPr>
              <w:t> </w:t>
            </w:r>
            <w:r>
              <w:rPr>
                <w:b/>
                <w:sz w:val="20"/>
              </w:rPr>
              <w:t>em até́</w:t>
            </w:r>
            <w:r>
              <w:rPr>
                <w:b/>
                <w:spacing w:val="2"/>
                <w:sz w:val="20"/>
              </w:rPr>
              <w:t> </w:t>
            </w:r>
            <w:r>
              <w:rPr>
                <w:b/>
                <w:sz w:val="20"/>
              </w:rPr>
              <w:t>48</w:t>
            </w:r>
            <w:r>
              <w:rPr>
                <w:b/>
                <w:spacing w:val="-1"/>
                <w:sz w:val="20"/>
              </w:rPr>
              <w:t> </w:t>
            </w:r>
            <w:r>
              <w:rPr>
                <w:b/>
                <w:spacing w:val="-2"/>
                <w:sz w:val="20"/>
              </w:rPr>
              <w:t>horas</w:t>
            </w:r>
          </w:p>
        </w:tc>
        <w:tc>
          <w:tcPr>
            <w:tcW w:w="838" w:type="dxa"/>
            <w:vMerge w:val="restart"/>
            <w:tcBorders>
              <w:left w:val="single" w:sz="6" w:space="0" w:color="000000"/>
            </w:tcBorders>
          </w:tcPr>
          <w:p>
            <w:pPr>
              <w:pStyle w:val="TableParagraph"/>
              <w:spacing w:before="21"/>
              <w:jc w:val="left"/>
              <w:rPr>
                <w:b/>
                <w:sz w:val="20"/>
              </w:rPr>
            </w:pPr>
          </w:p>
          <w:p>
            <w:pPr>
              <w:pStyle w:val="TableParagraph"/>
              <w:ind w:left="211"/>
              <w:jc w:val="left"/>
              <w:rPr>
                <w:b/>
                <w:sz w:val="20"/>
              </w:rPr>
            </w:pPr>
            <w:r>
              <w:rPr>
                <w:b/>
                <w:spacing w:val="-5"/>
                <w:sz w:val="20"/>
              </w:rPr>
              <w:t>&lt;5%</w:t>
            </w:r>
          </w:p>
        </w:tc>
        <w:tc>
          <w:tcPr>
            <w:tcW w:w="3826" w:type="dxa"/>
          </w:tcPr>
          <w:p>
            <w:pPr>
              <w:pStyle w:val="TableParagraph"/>
              <w:spacing w:line="210" w:lineRule="exact"/>
              <w:ind w:left="16" w:right="2"/>
              <w:rPr>
                <w:b/>
                <w:sz w:val="20"/>
              </w:rPr>
            </w:pPr>
            <w:r>
              <w:rPr>
                <w:b/>
                <w:spacing w:val="-2"/>
                <w:sz w:val="20"/>
              </w:rPr>
              <w:t>1,91%</w:t>
            </w:r>
          </w:p>
        </w:tc>
      </w:tr>
      <w:tr>
        <w:trPr>
          <w:trHeight w:val="231" w:hRule="atLeast"/>
        </w:trPr>
        <w:tc>
          <w:tcPr>
            <w:tcW w:w="5386" w:type="dxa"/>
            <w:tcBorders>
              <w:right w:val="single" w:sz="6" w:space="0" w:color="000000"/>
            </w:tcBorders>
          </w:tcPr>
          <w:p>
            <w:pPr>
              <w:pStyle w:val="TableParagraph"/>
              <w:spacing w:line="211" w:lineRule="exact" w:before="1"/>
              <w:ind w:left="62"/>
              <w:jc w:val="left"/>
              <w:rPr>
                <w:sz w:val="20"/>
              </w:rPr>
            </w:pPr>
            <w:r>
              <w:rPr>
                <w:sz w:val="20"/>
              </w:rPr>
              <w:t>Número</w:t>
            </w:r>
            <w:r>
              <w:rPr>
                <w:spacing w:val="-4"/>
                <w:sz w:val="20"/>
              </w:rPr>
              <w:t> </w:t>
            </w:r>
            <w:r>
              <w:rPr>
                <w:sz w:val="20"/>
              </w:rPr>
              <w:t>de</w:t>
            </w:r>
            <w:r>
              <w:rPr>
                <w:spacing w:val="-2"/>
                <w:sz w:val="20"/>
              </w:rPr>
              <w:t> </w:t>
            </w:r>
            <w:r>
              <w:rPr>
                <w:sz w:val="20"/>
              </w:rPr>
              <w:t>retornos</w:t>
            </w:r>
            <w:r>
              <w:rPr>
                <w:spacing w:val="-2"/>
                <w:sz w:val="20"/>
              </w:rPr>
              <w:t> </w:t>
            </w:r>
            <w:r>
              <w:rPr>
                <w:sz w:val="20"/>
              </w:rPr>
              <w:t>em</w:t>
            </w:r>
            <w:r>
              <w:rPr>
                <w:spacing w:val="-2"/>
                <w:sz w:val="20"/>
              </w:rPr>
              <w:t> </w:t>
            </w:r>
            <w:r>
              <w:rPr>
                <w:sz w:val="20"/>
              </w:rPr>
              <w:t>até́</w:t>
            </w:r>
            <w:r>
              <w:rPr>
                <w:spacing w:val="-2"/>
                <w:sz w:val="20"/>
              </w:rPr>
              <w:t> </w:t>
            </w:r>
            <w:r>
              <w:rPr>
                <w:sz w:val="20"/>
              </w:rPr>
              <w:t>48</w:t>
            </w:r>
            <w:r>
              <w:rPr>
                <w:spacing w:val="-2"/>
                <w:sz w:val="20"/>
              </w:rPr>
              <w:t> </w:t>
            </w:r>
            <w:r>
              <w:rPr>
                <w:spacing w:val="-4"/>
                <w:sz w:val="20"/>
              </w:rPr>
              <w:t>horas</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Pr>
                <w:sz w:val="20"/>
              </w:rPr>
            </w:pPr>
            <w:r>
              <w:rPr>
                <w:spacing w:val="-10"/>
                <w:sz w:val="20"/>
              </w:rPr>
              <w:t>3</w:t>
            </w:r>
          </w:p>
        </w:tc>
      </w:tr>
      <w:tr>
        <w:trPr>
          <w:trHeight w:val="250" w:hRule="atLeast"/>
        </w:trPr>
        <w:tc>
          <w:tcPr>
            <w:tcW w:w="5386" w:type="dxa"/>
            <w:tcBorders>
              <w:right w:val="single" w:sz="6" w:space="0" w:color="000000"/>
            </w:tcBorders>
          </w:tcPr>
          <w:p>
            <w:pPr>
              <w:pStyle w:val="TableParagraph"/>
              <w:spacing w:line="221" w:lineRule="exact" w:before="9"/>
              <w:ind w:left="62"/>
              <w:jc w:val="left"/>
              <w:rPr>
                <w:sz w:val="20"/>
              </w:rPr>
            </w:pPr>
            <w:r>
              <w:rPr>
                <w:sz w:val="20"/>
              </w:rPr>
              <w:t>Total</w:t>
            </w:r>
            <w:r>
              <w:rPr>
                <w:spacing w:val="-2"/>
                <w:sz w:val="20"/>
              </w:rPr>
              <w:t> </w:t>
            </w:r>
            <w:r>
              <w:rPr>
                <w:sz w:val="20"/>
              </w:rPr>
              <w:t>de</w:t>
            </w:r>
            <w:r>
              <w:rPr>
                <w:spacing w:val="-3"/>
                <w:sz w:val="20"/>
              </w:rPr>
              <w:t> </w:t>
            </w:r>
            <w:r>
              <w:rPr>
                <w:sz w:val="20"/>
              </w:rPr>
              <w:t>altas</w:t>
            </w:r>
            <w:r>
              <w:rPr>
                <w:spacing w:val="-3"/>
                <w:sz w:val="20"/>
              </w:rPr>
              <w:t> </w:t>
            </w:r>
            <w:r>
              <w:rPr>
                <w:sz w:val="20"/>
              </w:rPr>
              <w:t>de </w:t>
            </w:r>
            <w:r>
              <w:rPr>
                <w:spacing w:val="-5"/>
                <w:sz w:val="20"/>
              </w:rPr>
              <w:t>UTI</w:t>
            </w:r>
          </w:p>
        </w:tc>
        <w:tc>
          <w:tcPr>
            <w:tcW w:w="838" w:type="dxa"/>
            <w:vMerge/>
            <w:tcBorders>
              <w:top w:val="nil"/>
              <w:left w:val="single" w:sz="6" w:space="0" w:color="000000"/>
            </w:tcBorders>
          </w:tcPr>
          <w:p>
            <w:pPr>
              <w:rPr>
                <w:sz w:val="2"/>
                <w:szCs w:val="2"/>
              </w:rPr>
            </w:pPr>
          </w:p>
        </w:tc>
        <w:tc>
          <w:tcPr>
            <w:tcW w:w="3826" w:type="dxa"/>
          </w:tcPr>
          <w:p>
            <w:pPr>
              <w:pStyle w:val="TableParagraph"/>
              <w:spacing w:line="229" w:lineRule="exact"/>
              <w:ind w:left="16"/>
              <w:rPr>
                <w:sz w:val="20"/>
              </w:rPr>
            </w:pPr>
            <w:r>
              <w:rPr>
                <w:spacing w:val="-5"/>
                <w:sz w:val="20"/>
              </w:rPr>
              <w:t>157</w:t>
            </w:r>
          </w:p>
        </w:tc>
      </w:tr>
      <w:tr>
        <w:trPr>
          <w:trHeight w:val="231" w:hRule="atLeast"/>
        </w:trPr>
        <w:tc>
          <w:tcPr>
            <w:tcW w:w="5386" w:type="dxa"/>
            <w:tcBorders>
              <w:right w:val="single" w:sz="6" w:space="0" w:color="000000"/>
            </w:tcBorders>
          </w:tcPr>
          <w:p>
            <w:pPr>
              <w:pStyle w:val="TableParagraph"/>
              <w:spacing w:line="211" w:lineRule="exact" w:before="1"/>
              <w:ind w:left="62"/>
              <w:jc w:val="left"/>
              <w:rPr>
                <w:b/>
                <w:sz w:val="20"/>
              </w:rPr>
            </w:pPr>
            <w:r>
              <w:rPr>
                <w:b/>
                <w:sz w:val="20"/>
              </w:rPr>
              <w:t>6.</w:t>
            </w:r>
            <w:r>
              <w:rPr>
                <w:b/>
                <w:spacing w:val="-5"/>
                <w:sz w:val="20"/>
              </w:rPr>
              <w:t> </w:t>
            </w:r>
            <w:r>
              <w:rPr>
                <w:b/>
                <w:sz w:val="20"/>
              </w:rPr>
              <w:t>Percentual</w:t>
            </w:r>
            <w:r>
              <w:rPr>
                <w:b/>
                <w:spacing w:val="-1"/>
                <w:sz w:val="20"/>
              </w:rPr>
              <w:t> </w:t>
            </w:r>
            <w:r>
              <w:rPr>
                <w:b/>
                <w:sz w:val="20"/>
              </w:rPr>
              <w:t>de</w:t>
            </w:r>
            <w:r>
              <w:rPr>
                <w:b/>
                <w:spacing w:val="-3"/>
                <w:sz w:val="20"/>
              </w:rPr>
              <w:t> </w:t>
            </w:r>
            <w:r>
              <w:rPr>
                <w:b/>
                <w:sz w:val="20"/>
              </w:rPr>
              <w:t>Ocorrência</w:t>
            </w:r>
            <w:r>
              <w:rPr>
                <w:b/>
                <w:spacing w:val="-2"/>
                <w:sz w:val="20"/>
              </w:rPr>
              <w:t> </w:t>
            </w:r>
            <w:r>
              <w:rPr>
                <w:b/>
                <w:sz w:val="20"/>
              </w:rPr>
              <w:t>de</w:t>
            </w:r>
            <w:r>
              <w:rPr>
                <w:b/>
                <w:spacing w:val="-3"/>
                <w:sz w:val="20"/>
              </w:rPr>
              <w:t> </w:t>
            </w:r>
            <w:r>
              <w:rPr>
                <w:b/>
                <w:sz w:val="20"/>
              </w:rPr>
              <w:t>Glosas</w:t>
            </w:r>
            <w:r>
              <w:rPr>
                <w:b/>
                <w:spacing w:val="-4"/>
                <w:sz w:val="20"/>
              </w:rPr>
              <w:t> </w:t>
            </w:r>
            <w:r>
              <w:rPr>
                <w:b/>
                <w:sz w:val="20"/>
              </w:rPr>
              <w:t>no</w:t>
            </w:r>
            <w:r>
              <w:rPr>
                <w:b/>
                <w:spacing w:val="-2"/>
                <w:sz w:val="20"/>
              </w:rPr>
              <w:t> </w:t>
            </w:r>
            <w:r>
              <w:rPr>
                <w:b/>
                <w:spacing w:val="-5"/>
                <w:sz w:val="20"/>
              </w:rPr>
              <w:t>SIH</w:t>
            </w:r>
          </w:p>
        </w:tc>
        <w:tc>
          <w:tcPr>
            <w:tcW w:w="838" w:type="dxa"/>
            <w:vMerge w:val="restart"/>
            <w:tcBorders>
              <w:left w:val="single" w:sz="6" w:space="0" w:color="000000"/>
            </w:tcBorders>
          </w:tcPr>
          <w:p>
            <w:pPr>
              <w:pStyle w:val="TableParagraph"/>
              <w:jc w:val="left"/>
              <w:rPr>
                <w:b/>
                <w:sz w:val="20"/>
              </w:rPr>
            </w:pPr>
          </w:p>
          <w:p>
            <w:pPr>
              <w:pStyle w:val="TableParagraph"/>
              <w:spacing w:before="137"/>
              <w:jc w:val="left"/>
              <w:rPr>
                <w:b/>
                <w:sz w:val="20"/>
              </w:rPr>
            </w:pPr>
          </w:p>
          <w:p>
            <w:pPr>
              <w:pStyle w:val="TableParagraph"/>
              <w:ind w:left="213"/>
              <w:jc w:val="left"/>
              <w:rPr>
                <w:b/>
                <w:sz w:val="20"/>
              </w:rPr>
            </w:pPr>
            <w:r>
              <w:rPr>
                <w:b/>
                <w:spacing w:val="-5"/>
                <w:sz w:val="20"/>
              </w:rPr>
              <w:t>≤7%</w:t>
            </w:r>
          </w:p>
        </w:tc>
        <w:tc>
          <w:tcPr>
            <w:tcW w:w="3826" w:type="dxa"/>
          </w:tcPr>
          <w:p>
            <w:pPr>
              <w:pStyle w:val="TableParagraph"/>
              <w:spacing w:line="211" w:lineRule="exact" w:before="1"/>
              <w:ind w:left="16" w:right="6"/>
              <w:rPr>
                <w:sz w:val="20"/>
              </w:rPr>
            </w:pPr>
            <w:r>
              <w:rPr>
                <w:sz w:val="20"/>
              </w:rPr>
              <w:t>em</w:t>
            </w:r>
            <w:r>
              <w:rPr>
                <w:spacing w:val="-1"/>
                <w:sz w:val="20"/>
              </w:rPr>
              <w:t> </w:t>
            </w:r>
            <w:r>
              <w:rPr>
                <w:spacing w:val="-2"/>
                <w:sz w:val="20"/>
              </w:rPr>
              <w:t>processamento</w:t>
            </w:r>
          </w:p>
        </w:tc>
      </w:tr>
      <w:tr>
        <w:trPr>
          <w:trHeight w:val="461" w:hRule="atLeast"/>
        </w:trPr>
        <w:tc>
          <w:tcPr>
            <w:tcW w:w="5386" w:type="dxa"/>
            <w:tcBorders>
              <w:right w:val="single" w:sz="6" w:space="0" w:color="000000"/>
            </w:tcBorders>
          </w:tcPr>
          <w:p>
            <w:pPr>
              <w:pStyle w:val="TableParagraph"/>
              <w:spacing w:line="232" w:lineRule="exact"/>
              <w:ind w:left="62" w:right="47"/>
              <w:jc w:val="left"/>
              <w:rPr>
                <w:sz w:val="20"/>
              </w:rPr>
            </w:pPr>
            <w:r>
              <w:rPr>
                <w:sz w:val="20"/>
              </w:rPr>
              <w:t>Total</w:t>
            </w:r>
            <w:r>
              <w:rPr>
                <w:spacing w:val="-6"/>
                <w:sz w:val="20"/>
              </w:rPr>
              <w:t> </w:t>
            </w:r>
            <w:r>
              <w:rPr>
                <w:sz w:val="20"/>
              </w:rPr>
              <w:t>de</w:t>
            </w:r>
            <w:r>
              <w:rPr>
                <w:spacing w:val="-7"/>
                <w:sz w:val="20"/>
              </w:rPr>
              <w:t> </w:t>
            </w:r>
            <w:r>
              <w:rPr>
                <w:sz w:val="20"/>
              </w:rPr>
              <w:t>procedimentos</w:t>
            </w:r>
            <w:r>
              <w:rPr>
                <w:spacing w:val="-5"/>
                <w:sz w:val="20"/>
              </w:rPr>
              <w:t> </w:t>
            </w:r>
            <w:r>
              <w:rPr>
                <w:sz w:val="20"/>
              </w:rPr>
              <w:t>rejeitados</w:t>
            </w:r>
            <w:r>
              <w:rPr>
                <w:spacing w:val="-5"/>
                <w:sz w:val="20"/>
              </w:rPr>
              <w:t> </w:t>
            </w:r>
            <w:r>
              <w:rPr>
                <w:sz w:val="20"/>
              </w:rPr>
              <w:t>(exceto</w:t>
            </w:r>
            <w:r>
              <w:rPr>
                <w:spacing w:val="-5"/>
                <w:sz w:val="20"/>
              </w:rPr>
              <w:t> </w:t>
            </w:r>
            <w:r>
              <w:rPr>
                <w:sz w:val="20"/>
              </w:rPr>
              <w:t>por</w:t>
            </w:r>
            <w:r>
              <w:rPr>
                <w:spacing w:val="-7"/>
                <w:sz w:val="20"/>
              </w:rPr>
              <w:t> </w:t>
            </w:r>
            <w:r>
              <w:rPr>
                <w:sz w:val="20"/>
              </w:rPr>
              <w:t>falta</w:t>
            </w:r>
            <w:r>
              <w:rPr>
                <w:spacing w:val="-5"/>
                <w:sz w:val="20"/>
              </w:rPr>
              <w:t> </w:t>
            </w:r>
            <w:r>
              <w:rPr>
                <w:sz w:val="20"/>
              </w:rPr>
              <w:t>de</w:t>
            </w:r>
            <w:r>
              <w:rPr>
                <w:spacing w:val="-7"/>
                <w:sz w:val="20"/>
              </w:rPr>
              <w:t> </w:t>
            </w:r>
            <w:r>
              <w:rPr>
                <w:sz w:val="20"/>
              </w:rPr>
              <w:t>habilitação e capacidade instalada)</w:t>
            </w:r>
          </w:p>
        </w:tc>
        <w:tc>
          <w:tcPr>
            <w:tcW w:w="838" w:type="dxa"/>
            <w:vMerge/>
            <w:tcBorders>
              <w:top w:val="nil"/>
              <w:left w:val="single" w:sz="6" w:space="0" w:color="000000"/>
            </w:tcBorders>
          </w:tcPr>
          <w:p>
            <w:pPr>
              <w:rPr>
                <w:sz w:val="2"/>
                <w:szCs w:val="2"/>
              </w:rPr>
            </w:pPr>
          </w:p>
        </w:tc>
        <w:tc>
          <w:tcPr>
            <w:tcW w:w="3826" w:type="dxa"/>
          </w:tcPr>
          <w:p>
            <w:pPr>
              <w:pStyle w:val="TableParagraph"/>
              <w:spacing w:before="115"/>
              <w:ind w:left="16" w:right="6"/>
              <w:rPr>
                <w:sz w:val="20"/>
              </w:rPr>
            </w:pPr>
            <w:r>
              <w:rPr>
                <w:sz w:val="20"/>
              </w:rPr>
              <w:t>em</w:t>
            </w:r>
            <w:r>
              <w:rPr>
                <w:spacing w:val="-1"/>
                <w:sz w:val="20"/>
              </w:rPr>
              <w:t> </w:t>
            </w:r>
            <w:r>
              <w:rPr>
                <w:spacing w:val="-2"/>
                <w:sz w:val="20"/>
              </w:rPr>
              <w:t>processamento</w:t>
            </w:r>
          </w:p>
        </w:tc>
      </w:tr>
      <w:tr>
        <w:trPr>
          <w:trHeight w:val="228" w:hRule="atLeast"/>
        </w:trPr>
        <w:tc>
          <w:tcPr>
            <w:tcW w:w="5386" w:type="dxa"/>
            <w:tcBorders>
              <w:right w:val="single" w:sz="6" w:space="0" w:color="000000"/>
            </w:tcBorders>
          </w:tcPr>
          <w:p>
            <w:pPr>
              <w:pStyle w:val="TableParagraph"/>
              <w:spacing w:line="208" w:lineRule="exact"/>
              <w:ind w:left="62"/>
              <w:jc w:val="left"/>
              <w:rPr>
                <w:sz w:val="20"/>
              </w:rPr>
            </w:pPr>
            <w:r>
              <w:rPr>
                <w:sz w:val="20"/>
              </w:rPr>
              <w:t>Total</w:t>
            </w:r>
            <w:r>
              <w:rPr>
                <w:spacing w:val="-4"/>
                <w:sz w:val="20"/>
              </w:rPr>
              <w:t> </w:t>
            </w:r>
            <w:r>
              <w:rPr>
                <w:sz w:val="20"/>
              </w:rPr>
              <w:t>de</w:t>
            </w:r>
            <w:r>
              <w:rPr>
                <w:spacing w:val="-5"/>
                <w:sz w:val="20"/>
              </w:rPr>
              <w:t> </w:t>
            </w:r>
            <w:r>
              <w:rPr>
                <w:sz w:val="20"/>
              </w:rPr>
              <w:t>procedimentos</w:t>
            </w:r>
            <w:r>
              <w:rPr>
                <w:spacing w:val="-3"/>
                <w:sz w:val="20"/>
              </w:rPr>
              <w:t> </w:t>
            </w:r>
            <w:r>
              <w:rPr>
                <w:spacing w:val="-2"/>
                <w:sz w:val="20"/>
              </w:rPr>
              <w:t>apresentados</w:t>
            </w:r>
          </w:p>
        </w:tc>
        <w:tc>
          <w:tcPr>
            <w:tcW w:w="838" w:type="dxa"/>
            <w:vMerge/>
            <w:tcBorders>
              <w:top w:val="nil"/>
              <w:left w:val="single" w:sz="6" w:space="0" w:color="000000"/>
            </w:tcBorders>
          </w:tcPr>
          <w:p>
            <w:pPr>
              <w:rPr>
                <w:sz w:val="2"/>
                <w:szCs w:val="2"/>
              </w:rPr>
            </w:pPr>
          </w:p>
        </w:tc>
        <w:tc>
          <w:tcPr>
            <w:tcW w:w="3826" w:type="dxa"/>
          </w:tcPr>
          <w:p>
            <w:pPr>
              <w:pStyle w:val="TableParagraph"/>
              <w:spacing w:line="208" w:lineRule="exact"/>
              <w:ind w:left="16" w:right="6"/>
              <w:rPr>
                <w:sz w:val="20"/>
              </w:rPr>
            </w:pPr>
            <w:r>
              <w:rPr>
                <w:sz w:val="20"/>
              </w:rPr>
              <w:t>em</w:t>
            </w:r>
            <w:r>
              <w:rPr>
                <w:spacing w:val="-1"/>
                <w:sz w:val="20"/>
              </w:rPr>
              <w:t> </w:t>
            </w:r>
            <w:r>
              <w:rPr>
                <w:spacing w:val="-2"/>
                <w:sz w:val="20"/>
              </w:rPr>
              <w:t>processamento</w:t>
            </w:r>
          </w:p>
        </w:tc>
      </w:tr>
      <w:tr>
        <w:trPr>
          <w:trHeight w:val="231" w:hRule="atLeast"/>
        </w:trPr>
        <w:tc>
          <w:tcPr>
            <w:tcW w:w="5386" w:type="dxa"/>
            <w:tcBorders>
              <w:right w:val="single" w:sz="6" w:space="0" w:color="000000"/>
            </w:tcBorders>
          </w:tcPr>
          <w:p>
            <w:pPr>
              <w:pStyle w:val="TableParagraph"/>
              <w:spacing w:line="211" w:lineRule="exact" w:before="1"/>
              <w:ind w:left="62"/>
              <w:jc w:val="left"/>
              <w:rPr>
                <w:sz w:val="20"/>
              </w:rPr>
            </w:pPr>
            <w:r>
              <w:rPr>
                <w:sz w:val="20"/>
              </w:rPr>
              <w:t>Total</w:t>
            </w:r>
            <w:r>
              <w:rPr>
                <w:spacing w:val="-4"/>
                <w:sz w:val="20"/>
              </w:rPr>
              <w:t> </w:t>
            </w:r>
            <w:r>
              <w:rPr>
                <w:sz w:val="20"/>
              </w:rPr>
              <w:t>de</w:t>
            </w:r>
            <w:r>
              <w:rPr>
                <w:spacing w:val="-5"/>
                <w:sz w:val="20"/>
              </w:rPr>
              <w:t> </w:t>
            </w:r>
            <w:r>
              <w:rPr>
                <w:sz w:val="20"/>
              </w:rPr>
              <w:t>procedimentos</w:t>
            </w:r>
            <w:r>
              <w:rPr>
                <w:spacing w:val="-3"/>
                <w:sz w:val="20"/>
              </w:rPr>
              <w:t> </w:t>
            </w:r>
            <w:r>
              <w:rPr>
                <w:spacing w:val="-2"/>
                <w:sz w:val="20"/>
              </w:rPr>
              <w:t>rejeitados</w:t>
            </w:r>
          </w:p>
        </w:tc>
        <w:tc>
          <w:tcPr>
            <w:tcW w:w="838" w:type="dxa"/>
            <w:vMerge/>
            <w:tcBorders>
              <w:top w:val="nil"/>
              <w:left w:val="single" w:sz="6" w:space="0" w:color="000000"/>
            </w:tcBorders>
          </w:tcPr>
          <w:p>
            <w:pPr>
              <w:rPr>
                <w:sz w:val="2"/>
                <w:szCs w:val="2"/>
              </w:rPr>
            </w:pPr>
          </w:p>
        </w:tc>
        <w:tc>
          <w:tcPr>
            <w:tcW w:w="3826" w:type="dxa"/>
          </w:tcPr>
          <w:p>
            <w:pPr>
              <w:pStyle w:val="TableParagraph"/>
              <w:spacing w:line="211" w:lineRule="exact" w:before="1"/>
              <w:ind w:left="16" w:right="6"/>
              <w:rPr>
                <w:sz w:val="20"/>
              </w:rPr>
            </w:pPr>
            <w:r>
              <w:rPr>
                <w:sz w:val="20"/>
              </w:rPr>
              <w:t>em</w:t>
            </w:r>
            <w:r>
              <w:rPr>
                <w:spacing w:val="-1"/>
                <w:sz w:val="20"/>
              </w:rPr>
              <w:t> </w:t>
            </w:r>
            <w:r>
              <w:rPr>
                <w:spacing w:val="-2"/>
                <w:sz w:val="20"/>
              </w:rPr>
              <w:t>processamento</w:t>
            </w:r>
          </w:p>
        </w:tc>
      </w:tr>
      <w:tr>
        <w:trPr>
          <w:trHeight w:val="230" w:hRule="atLeast"/>
        </w:trPr>
        <w:tc>
          <w:tcPr>
            <w:tcW w:w="5386" w:type="dxa"/>
            <w:tcBorders>
              <w:right w:val="single" w:sz="6" w:space="0" w:color="000000"/>
            </w:tcBorders>
          </w:tcPr>
          <w:p>
            <w:pPr>
              <w:pStyle w:val="TableParagraph"/>
              <w:spacing w:line="210" w:lineRule="exact"/>
              <w:ind w:left="62"/>
              <w:jc w:val="left"/>
              <w:rPr>
                <w:sz w:val="20"/>
              </w:rPr>
            </w:pPr>
            <w:r>
              <w:rPr>
                <w:sz w:val="20"/>
              </w:rPr>
              <w:t>Total</w:t>
            </w:r>
            <w:r>
              <w:rPr>
                <w:spacing w:val="-4"/>
                <w:sz w:val="20"/>
              </w:rPr>
              <w:t> </w:t>
            </w:r>
            <w:r>
              <w:rPr>
                <w:sz w:val="20"/>
              </w:rPr>
              <w:t>de</w:t>
            </w:r>
            <w:r>
              <w:rPr>
                <w:spacing w:val="-5"/>
                <w:sz w:val="20"/>
              </w:rPr>
              <w:t> </w:t>
            </w:r>
            <w:r>
              <w:rPr>
                <w:sz w:val="20"/>
              </w:rPr>
              <w:t>procedimentos</w:t>
            </w:r>
            <w:r>
              <w:rPr>
                <w:spacing w:val="-3"/>
                <w:sz w:val="20"/>
              </w:rPr>
              <w:t> </w:t>
            </w:r>
            <w:r>
              <w:rPr>
                <w:spacing w:val="-2"/>
                <w:sz w:val="20"/>
              </w:rPr>
              <w:t>aprovados</w:t>
            </w:r>
          </w:p>
        </w:tc>
        <w:tc>
          <w:tcPr>
            <w:tcW w:w="838" w:type="dxa"/>
            <w:vMerge/>
            <w:tcBorders>
              <w:top w:val="nil"/>
              <w:left w:val="single" w:sz="6" w:space="0" w:color="000000"/>
            </w:tcBorders>
          </w:tcPr>
          <w:p>
            <w:pPr>
              <w:rPr>
                <w:sz w:val="2"/>
                <w:szCs w:val="2"/>
              </w:rPr>
            </w:pPr>
          </w:p>
        </w:tc>
        <w:tc>
          <w:tcPr>
            <w:tcW w:w="3826" w:type="dxa"/>
          </w:tcPr>
          <w:p>
            <w:pPr>
              <w:pStyle w:val="TableParagraph"/>
              <w:spacing w:line="210" w:lineRule="exact"/>
              <w:ind w:left="16" w:right="6"/>
              <w:rPr>
                <w:sz w:val="20"/>
              </w:rPr>
            </w:pPr>
            <w:r>
              <w:rPr>
                <w:sz w:val="20"/>
              </w:rPr>
              <w:t>em</w:t>
            </w:r>
            <w:r>
              <w:rPr>
                <w:spacing w:val="-1"/>
                <w:sz w:val="20"/>
              </w:rPr>
              <w:t> </w:t>
            </w:r>
            <w:r>
              <w:rPr>
                <w:spacing w:val="-2"/>
                <w:sz w:val="20"/>
              </w:rPr>
              <w:t>processamento</w:t>
            </w:r>
          </w:p>
        </w:tc>
      </w:tr>
      <w:tr>
        <w:trPr>
          <w:trHeight w:val="462" w:hRule="atLeast"/>
        </w:trPr>
        <w:tc>
          <w:tcPr>
            <w:tcW w:w="5386" w:type="dxa"/>
          </w:tcPr>
          <w:p>
            <w:pPr>
              <w:pStyle w:val="TableParagraph"/>
              <w:spacing w:line="230" w:lineRule="atLeast"/>
              <w:ind w:left="62"/>
              <w:jc w:val="left"/>
              <w:rPr>
                <w:b/>
                <w:sz w:val="20"/>
              </w:rPr>
            </w:pPr>
            <w:r>
              <w:rPr>
                <w:b/>
                <w:sz w:val="20"/>
              </w:rPr>
              <w:t>7.</w:t>
            </w:r>
            <w:r>
              <w:rPr>
                <w:b/>
                <w:spacing w:val="-6"/>
                <w:sz w:val="20"/>
              </w:rPr>
              <w:t> </w:t>
            </w:r>
            <w:r>
              <w:rPr>
                <w:b/>
                <w:sz w:val="20"/>
              </w:rPr>
              <w:t>Percentual</w:t>
            </w:r>
            <w:r>
              <w:rPr>
                <w:b/>
                <w:spacing w:val="-5"/>
                <w:sz w:val="20"/>
              </w:rPr>
              <w:t> </w:t>
            </w:r>
            <w:r>
              <w:rPr>
                <w:b/>
                <w:sz w:val="20"/>
              </w:rPr>
              <w:t>de</w:t>
            </w:r>
            <w:r>
              <w:rPr>
                <w:b/>
                <w:spacing w:val="-7"/>
                <w:sz w:val="20"/>
              </w:rPr>
              <w:t> </w:t>
            </w:r>
            <w:r>
              <w:rPr>
                <w:b/>
                <w:sz w:val="20"/>
              </w:rPr>
              <w:t>Suspensão</w:t>
            </w:r>
            <w:r>
              <w:rPr>
                <w:b/>
                <w:spacing w:val="-6"/>
                <w:sz w:val="20"/>
              </w:rPr>
              <w:t> </w:t>
            </w:r>
            <w:r>
              <w:rPr>
                <w:b/>
                <w:sz w:val="20"/>
              </w:rPr>
              <w:t>de</w:t>
            </w:r>
            <w:r>
              <w:rPr>
                <w:b/>
                <w:spacing w:val="-7"/>
                <w:sz w:val="20"/>
              </w:rPr>
              <w:t> </w:t>
            </w:r>
            <w:r>
              <w:rPr>
                <w:b/>
                <w:sz w:val="20"/>
              </w:rPr>
              <w:t>Cirurgias</w:t>
            </w:r>
            <w:r>
              <w:rPr>
                <w:b/>
                <w:spacing w:val="-7"/>
                <w:sz w:val="20"/>
              </w:rPr>
              <w:t> </w:t>
            </w:r>
            <w:r>
              <w:rPr>
                <w:b/>
                <w:sz w:val="20"/>
              </w:rPr>
              <w:t>Eletivas</w:t>
            </w:r>
            <w:r>
              <w:rPr>
                <w:b/>
                <w:spacing w:val="-7"/>
                <w:sz w:val="20"/>
              </w:rPr>
              <w:t> </w:t>
            </w:r>
            <w:r>
              <w:rPr>
                <w:b/>
                <w:sz w:val="20"/>
              </w:rPr>
              <w:t>por Condições Operacionais</w:t>
            </w:r>
          </w:p>
        </w:tc>
        <w:tc>
          <w:tcPr>
            <w:tcW w:w="838" w:type="dxa"/>
            <w:vMerge w:val="restart"/>
          </w:tcPr>
          <w:p>
            <w:pPr>
              <w:pStyle w:val="TableParagraph"/>
              <w:spacing w:before="137"/>
              <w:jc w:val="left"/>
              <w:rPr>
                <w:b/>
                <w:sz w:val="20"/>
              </w:rPr>
            </w:pPr>
          </w:p>
          <w:p>
            <w:pPr>
              <w:pStyle w:val="TableParagraph"/>
              <w:ind w:left="215"/>
              <w:jc w:val="left"/>
              <w:rPr>
                <w:b/>
                <w:sz w:val="20"/>
              </w:rPr>
            </w:pPr>
            <w:r>
              <w:rPr>
                <w:b/>
                <w:spacing w:val="-5"/>
                <w:sz w:val="20"/>
              </w:rPr>
              <w:t>≤5%</w:t>
            </w:r>
          </w:p>
        </w:tc>
        <w:tc>
          <w:tcPr>
            <w:tcW w:w="3826" w:type="dxa"/>
          </w:tcPr>
          <w:p>
            <w:pPr>
              <w:pStyle w:val="TableParagraph"/>
              <w:spacing w:before="115"/>
              <w:ind w:left="16" w:right="2"/>
              <w:rPr>
                <w:b/>
                <w:sz w:val="20"/>
              </w:rPr>
            </w:pPr>
            <w:r>
              <w:rPr>
                <w:b/>
                <w:spacing w:val="-2"/>
                <w:sz w:val="20"/>
              </w:rPr>
              <w:t>1,89%</w:t>
            </w:r>
          </w:p>
        </w:tc>
      </w:tr>
      <w:tr>
        <w:trPr>
          <w:trHeight w:val="231" w:hRule="atLeast"/>
        </w:trPr>
        <w:tc>
          <w:tcPr>
            <w:tcW w:w="5386" w:type="dxa"/>
          </w:tcPr>
          <w:p>
            <w:pPr>
              <w:pStyle w:val="TableParagraph"/>
              <w:spacing w:line="211" w:lineRule="exact" w:before="1"/>
              <w:ind w:left="62"/>
              <w:jc w:val="left"/>
              <w:rPr>
                <w:sz w:val="20"/>
              </w:rPr>
            </w:pPr>
            <w:r>
              <w:rPr>
                <w:sz w:val="20"/>
              </w:rPr>
              <w:t>Número</w:t>
            </w:r>
            <w:r>
              <w:rPr>
                <w:spacing w:val="-4"/>
                <w:sz w:val="20"/>
              </w:rPr>
              <w:t> </w:t>
            </w:r>
            <w:r>
              <w:rPr>
                <w:sz w:val="20"/>
              </w:rPr>
              <w:t>de</w:t>
            </w:r>
            <w:r>
              <w:rPr>
                <w:spacing w:val="-4"/>
                <w:sz w:val="20"/>
              </w:rPr>
              <w:t> </w:t>
            </w:r>
            <w:r>
              <w:rPr>
                <w:sz w:val="20"/>
              </w:rPr>
              <w:t>cirurgias</w:t>
            </w:r>
            <w:r>
              <w:rPr>
                <w:spacing w:val="-3"/>
                <w:sz w:val="20"/>
              </w:rPr>
              <w:t> </w:t>
            </w:r>
            <w:r>
              <w:rPr>
                <w:sz w:val="20"/>
              </w:rPr>
              <w:t>programadas</w:t>
            </w:r>
            <w:r>
              <w:rPr>
                <w:spacing w:val="-3"/>
                <w:sz w:val="20"/>
              </w:rPr>
              <w:t> </w:t>
            </w:r>
            <w:r>
              <w:rPr>
                <w:spacing w:val="-2"/>
                <w:sz w:val="20"/>
              </w:rPr>
              <w:t>suspensas</w:t>
            </w:r>
          </w:p>
        </w:tc>
        <w:tc>
          <w:tcPr>
            <w:tcW w:w="838" w:type="dxa"/>
            <w:vMerge/>
            <w:tcBorders>
              <w:top w:val="nil"/>
            </w:tcBorders>
          </w:tcPr>
          <w:p>
            <w:pPr>
              <w:rPr>
                <w:sz w:val="2"/>
                <w:szCs w:val="2"/>
              </w:rPr>
            </w:pPr>
          </w:p>
        </w:tc>
        <w:tc>
          <w:tcPr>
            <w:tcW w:w="3826" w:type="dxa"/>
          </w:tcPr>
          <w:p>
            <w:pPr>
              <w:pStyle w:val="TableParagraph"/>
              <w:spacing w:line="211" w:lineRule="exact" w:before="1"/>
              <w:ind w:left="16"/>
              <w:rPr>
                <w:sz w:val="20"/>
              </w:rPr>
            </w:pPr>
            <w:r>
              <w:rPr>
                <w:spacing w:val="-5"/>
                <w:sz w:val="20"/>
              </w:rPr>
              <w:t>11</w:t>
            </w:r>
          </w:p>
        </w:tc>
      </w:tr>
      <w:tr>
        <w:trPr>
          <w:trHeight w:val="250" w:hRule="atLeast"/>
        </w:trPr>
        <w:tc>
          <w:tcPr>
            <w:tcW w:w="5386" w:type="dxa"/>
          </w:tcPr>
          <w:p>
            <w:pPr>
              <w:pStyle w:val="TableParagraph"/>
              <w:spacing w:line="221" w:lineRule="exact" w:before="9"/>
              <w:ind w:left="62"/>
              <w:jc w:val="left"/>
              <w:rPr>
                <w:sz w:val="20"/>
              </w:rPr>
            </w:pPr>
            <w:r>
              <w:rPr>
                <w:sz w:val="20"/>
              </w:rPr>
              <w:t>Número</w:t>
            </w:r>
            <w:r>
              <w:rPr>
                <w:spacing w:val="-3"/>
                <w:sz w:val="20"/>
              </w:rPr>
              <w:t> </w:t>
            </w:r>
            <w:r>
              <w:rPr>
                <w:sz w:val="20"/>
              </w:rPr>
              <w:t>de</w:t>
            </w:r>
            <w:r>
              <w:rPr>
                <w:spacing w:val="-5"/>
                <w:sz w:val="20"/>
              </w:rPr>
              <w:t> </w:t>
            </w:r>
            <w:r>
              <w:rPr>
                <w:sz w:val="20"/>
              </w:rPr>
              <w:t>cirurgias</w:t>
            </w:r>
            <w:r>
              <w:rPr>
                <w:spacing w:val="-3"/>
                <w:sz w:val="20"/>
              </w:rPr>
              <w:t> </w:t>
            </w:r>
            <w:r>
              <w:rPr>
                <w:sz w:val="20"/>
              </w:rPr>
              <w:t>programadas</w:t>
            </w:r>
            <w:r>
              <w:rPr>
                <w:spacing w:val="-3"/>
                <w:sz w:val="20"/>
              </w:rPr>
              <w:t> </w:t>
            </w:r>
            <w:r>
              <w:rPr>
                <w:sz w:val="20"/>
              </w:rPr>
              <w:t>(mapa</w:t>
            </w:r>
            <w:r>
              <w:rPr>
                <w:spacing w:val="-2"/>
                <w:sz w:val="20"/>
              </w:rPr>
              <w:t> cirúrgico)</w:t>
            </w:r>
          </w:p>
        </w:tc>
        <w:tc>
          <w:tcPr>
            <w:tcW w:w="838" w:type="dxa"/>
            <w:vMerge/>
            <w:tcBorders>
              <w:top w:val="nil"/>
            </w:tcBorders>
          </w:tcPr>
          <w:p>
            <w:pPr>
              <w:rPr>
                <w:sz w:val="2"/>
                <w:szCs w:val="2"/>
              </w:rPr>
            </w:pPr>
          </w:p>
        </w:tc>
        <w:tc>
          <w:tcPr>
            <w:tcW w:w="3826" w:type="dxa"/>
          </w:tcPr>
          <w:p>
            <w:pPr>
              <w:pStyle w:val="TableParagraph"/>
              <w:spacing w:line="229" w:lineRule="exact"/>
              <w:ind w:left="16"/>
              <w:rPr>
                <w:sz w:val="20"/>
              </w:rPr>
            </w:pPr>
            <w:r>
              <w:rPr>
                <w:spacing w:val="-5"/>
                <w:sz w:val="20"/>
              </w:rPr>
              <w:t>582</w:t>
            </w:r>
          </w:p>
        </w:tc>
      </w:tr>
      <w:tr>
        <w:trPr>
          <w:trHeight w:val="693" w:hRule="atLeast"/>
        </w:trPr>
        <w:tc>
          <w:tcPr>
            <w:tcW w:w="5386" w:type="dxa"/>
          </w:tcPr>
          <w:p>
            <w:pPr>
              <w:pStyle w:val="TableParagraph"/>
              <w:spacing w:before="1"/>
              <w:ind w:left="62"/>
              <w:jc w:val="left"/>
              <w:rPr>
                <w:b/>
                <w:sz w:val="20"/>
              </w:rPr>
            </w:pPr>
            <w:r>
              <w:rPr>
                <w:b/>
                <w:sz w:val="20"/>
              </w:rPr>
              <w:t>8. Percentual de cirurgias eletivas realizadas com TMAT (Tempo</w:t>
            </w:r>
            <w:r>
              <w:rPr>
                <w:b/>
                <w:spacing w:val="-7"/>
                <w:sz w:val="20"/>
              </w:rPr>
              <w:t> </w:t>
            </w:r>
            <w:r>
              <w:rPr>
                <w:b/>
                <w:sz w:val="20"/>
              </w:rPr>
              <w:t>máximo</w:t>
            </w:r>
            <w:r>
              <w:rPr>
                <w:b/>
                <w:spacing w:val="-6"/>
                <w:sz w:val="20"/>
              </w:rPr>
              <w:t> </w:t>
            </w:r>
            <w:r>
              <w:rPr>
                <w:b/>
                <w:sz w:val="20"/>
              </w:rPr>
              <w:t>aceitável</w:t>
            </w:r>
            <w:r>
              <w:rPr>
                <w:b/>
                <w:spacing w:val="-6"/>
                <w:sz w:val="20"/>
              </w:rPr>
              <w:t> </w:t>
            </w:r>
            <w:r>
              <w:rPr>
                <w:b/>
                <w:sz w:val="20"/>
              </w:rPr>
              <w:t>para</w:t>
            </w:r>
            <w:r>
              <w:rPr>
                <w:b/>
                <w:spacing w:val="-6"/>
                <w:sz w:val="20"/>
              </w:rPr>
              <w:t> </w:t>
            </w:r>
            <w:r>
              <w:rPr>
                <w:b/>
                <w:sz w:val="20"/>
              </w:rPr>
              <w:t>tratamento)</w:t>
            </w:r>
            <w:r>
              <w:rPr>
                <w:b/>
                <w:spacing w:val="-5"/>
                <w:sz w:val="20"/>
              </w:rPr>
              <w:t> </w:t>
            </w:r>
            <w:r>
              <w:rPr>
                <w:b/>
                <w:sz w:val="20"/>
              </w:rPr>
              <w:t>expirado</w:t>
            </w:r>
            <w:r>
              <w:rPr>
                <w:b/>
                <w:spacing w:val="-7"/>
                <w:sz w:val="20"/>
              </w:rPr>
              <w:t> </w:t>
            </w:r>
            <w:r>
              <w:rPr>
                <w:b/>
                <w:sz w:val="20"/>
              </w:rPr>
              <w:t>(↓)</w:t>
            </w:r>
            <w:r>
              <w:rPr>
                <w:b/>
                <w:spacing w:val="-6"/>
                <w:sz w:val="20"/>
              </w:rPr>
              <w:t> </w:t>
            </w:r>
            <w:r>
              <w:rPr>
                <w:b/>
                <w:sz w:val="20"/>
              </w:rPr>
              <w:t>para</w:t>
            </w:r>
          </w:p>
          <w:p>
            <w:pPr>
              <w:pStyle w:val="TableParagraph"/>
              <w:spacing w:line="211" w:lineRule="exact" w:before="2"/>
              <w:ind w:left="62"/>
              <w:jc w:val="left"/>
              <w:rPr>
                <w:b/>
                <w:sz w:val="20"/>
              </w:rPr>
            </w:pPr>
            <w:r>
              <w:rPr>
                <w:b/>
                <w:sz w:val="20"/>
              </w:rPr>
              <w:t>o</w:t>
            </w:r>
            <w:r>
              <w:rPr>
                <w:b/>
                <w:spacing w:val="-2"/>
                <w:sz w:val="20"/>
              </w:rPr>
              <w:t> </w:t>
            </w:r>
            <w:r>
              <w:rPr>
                <w:b/>
                <w:sz w:val="20"/>
              </w:rPr>
              <w:t>primeiro</w:t>
            </w:r>
            <w:r>
              <w:rPr>
                <w:b/>
                <w:spacing w:val="-2"/>
                <w:sz w:val="20"/>
              </w:rPr>
              <w:t> </w:t>
            </w:r>
            <w:r>
              <w:rPr>
                <w:b/>
                <w:spacing w:val="-5"/>
                <w:sz w:val="20"/>
              </w:rPr>
              <w:t>ano</w:t>
            </w:r>
          </w:p>
        </w:tc>
        <w:tc>
          <w:tcPr>
            <w:tcW w:w="838" w:type="dxa"/>
            <w:vMerge w:val="restart"/>
          </w:tcPr>
          <w:p>
            <w:pPr>
              <w:pStyle w:val="TableParagraph"/>
              <w:jc w:val="left"/>
              <w:rPr>
                <w:b/>
                <w:sz w:val="20"/>
              </w:rPr>
            </w:pPr>
          </w:p>
          <w:p>
            <w:pPr>
              <w:pStyle w:val="TableParagraph"/>
              <w:spacing w:before="137"/>
              <w:jc w:val="left"/>
              <w:rPr>
                <w:b/>
                <w:sz w:val="20"/>
              </w:rPr>
            </w:pPr>
          </w:p>
          <w:p>
            <w:pPr>
              <w:pStyle w:val="TableParagraph"/>
              <w:ind w:left="163"/>
              <w:jc w:val="left"/>
              <w:rPr>
                <w:b/>
                <w:sz w:val="20"/>
              </w:rPr>
            </w:pPr>
            <w:r>
              <w:rPr>
                <w:b/>
                <w:spacing w:val="-4"/>
                <w:sz w:val="20"/>
              </w:rPr>
              <w:t>&lt;50%</w:t>
            </w:r>
          </w:p>
        </w:tc>
        <w:tc>
          <w:tcPr>
            <w:tcW w:w="3826" w:type="dxa"/>
          </w:tcPr>
          <w:p>
            <w:pPr>
              <w:pStyle w:val="TableParagraph"/>
              <w:spacing w:before="1"/>
              <w:jc w:val="left"/>
              <w:rPr>
                <w:b/>
                <w:sz w:val="20"/>
              </w:rPr>
            </w:pPr>
          </w:p>
          <w:p>
            <w:pPr>
              <w:pStyle w:val="TableParagraph"/>
              <w:ind w:left="16" w:right="2"/>
              <w:rPr>
                <w:b/>
                <w:sz w:val="20"/>
              </w:rPr>
            </w:pPr>
            <w:r>
              <w:rPr>
                <w:b/>
                <w:spacing w:val="-2"/>
                <w:sz w:val="20"/>
              </w:rPr>
              <w:t>4,55%</w:t>
            </w:r>
          </w:p>
        </w:tc>
      </w:tr>
      <w:tr>
        <w:trPr>
          <w:trHeight w:val="250" w:hRule="atLeast"/>
        </w:trPr>
        <w:tc>
          <w:tcPr>
            <w:tcW w:w="5386" w:type="dxa"/>
          </w:tcPr>
          <w:p>
            <w:pPr>
              <w:pStyle w:val="TableParagraph"/>
              <w:spacing w:line="221" w:lineRule="exact" w:before="9"/>
              <w:ind w:left="62"/>
              <w:jc w:val="left"/>
              <w:rPr>
                <w:sz w:val="20"/>
              </w:rPr>
            </w:pPr>
            <w:r>
              <w:rPr>
                <w:sz w:val="20"/>
              </w:rPr>
              <w:t>Número</w:t>
            </w:r>
            <w:r>
              <w:rPr>
                <w:spacing w:val="-3"/>
                <w:sz w:val="20"/>
              </w:rPr>
              <w:t> </w:t>
            </w:r>
            <w:r>
              <w:rPr>
                <w:sz w:val="20"/>
              </w:rPr>
              <w:t>de</w:t>
            </w:r>
            <w:r>
              <w:rPr>
                <w:spacing w:val="-5"/>
                <w:sz w:val="20"/>
              </w:rPr>
              <w:t> </w:t>
            </w:r>
            <w:r>
              <w:rPr>
                <w:sz w:val="20"/>
              </w:rPr>
              <w:t>cirurgias</w:t>
            </w:r>
            <w:r>
              <w:rPr>
                <w:spacing w:val="-2"/>
                <w:sz w:val="20"/>
              </w:rPr>
              <w:t> </w:t>
            </w:r>
            <w:r>
              <w:rPr>
                <w:sz w:val="20"/>
              </w:rPr>
              <w:t>realizadas</w:t>
            </w:r>
            <w:r>
              <w:rPr>
                <w:spacing w:val="-1"/>
                <w:sz w:val="20"/>
              </w:rPr>
              <w:t> </w:t>
            </w:r>
            <w:r>
              <w:rPr>
                <w:sz w:val="20"/>
              </w:rPr>
              <w:t>com</w:t>
            </w:r>
            <w:r>
              <w:rPr>
                <w:spacing w:val="-4"/>
                <w:sz w:val="20"/>
              </w:rPr>
              <w:t> </w:t>
            </w:r>
            <w:r>
              <w:rPr>
                <w:sz w:val="20"/>
              </w:rPr>
              <w:t>TMAT</w:t>
            </w:r>
            <w:r>
              <w:rPr>
                <w:spacing w:val="-4"/>
                <w:sz w:val="20"/>
              </w:rPr>
              <w:t> </w:t>
            </w:r>
            <w:r>
              <w:rPr>
                <w:spacing w:val="-2"/>
                <w:sz w:val="20"/>
              </w:rPr>
              <w:t>expirado</w:t>
            </w:r>
          </w:p>
        </w:tc>
        <w:tc>
          <w:tcPr>
            <w:tcW w:w="838" w:type="dxa"/>
            <w:vMerge/>
            <w:tcBorders>
              <w:top w:val="nil"/>
            </w:tcBorders>
          </w:tcPr>
          <w:p>
            <w:pPr>
              <w:rPr>
                <w:sz w:val="2"/>
                <w:szCs w:val="2"/>
              </w:rPr>
            </w:pPr>
          </w:p>
        </w:tc>
        <w:tc>
          <w:tcPr>
            <w:tcW w:w="3826" w:type="dxa"/>
          </w:tcPr>
          <w:p>
            <w:pPr>
              <w:pStyle w:val="TableParagraph"/>
              <w:spacing w:line="229" w:lineRule="exact"/>
              <w:ind w:left="16"/>
              <w:rPr>
                <w:sz w:val="20"/>
              </w:rPr>
            </w:pPr>
            <w:r>
              <w:rPr>
                <w:spacing w:val="-5"/>
                <w:sz w:val="20"/>
              </w:rPr>
              <w:t>50</w:t>
            </w:r>
          </w:p>
        </w:tc>
      </w:tr>
      <w:tr>
        <w:trPr>
          <w:trHeight w:val="462" w:hRule="atLeast"/>
        </w:trPr>
        <w:tc>
          <w:tcPr>
            <w:tcW w:w="5386" w:type="dxa"/>
          </w:tcPr>
          <w:p>
            <w:pPr>
              <w:pStyle w:val="TableParagraph"/>
              <w:spacing w:line="230" w:lineRule="atLeast"/>
              <w:ind w:left="62" w:right="73"/>
              <w:jc w:val="left"/>
              <w:rPr>
                <w:sz w:val="20"/>
              </w:rPr>
            </w:pPr>
            <w:r>
              <w:rPr>
                <w:sz w:val="20"/>
              </w:rPr>
              <w:t>Número</w:t>
            </w:r>
            <w:r>
              <w:rPr>
                <w:spacing w:val="-5"/>
                <w:sz w:val="20"/>
              </w:rPr>
              <w:t> </w:t>
            </w:r>
            <w:r>
              <w:rPr>
                <w:sz w:val="20"/>
              </w:rPr>
              <w:t>de</w:t>
            </w:r>
            <w:r>
              <w:rPr>
                <w:spacing w:val="-7"/>
                <w:sz w:val="20"/>
              </w:rPr>
              <w:t> </w:t>
            </w:r>
            <w:r>
              <w:rPr>
                <w:sz w:val="20"/>
              </w:rPr>
              <w:t>cirurgias</w:t>
            </w:r>
            <w:r>
              <w:rPr>
                <w:spacing w:val="-5"/>
                <w:sz w:val="20"/>
              </w:rPr>
              <w:t> </w:t>
            </w:r>
            <w:r>
              <w:rPr>
                <w:sz w:val="20"/>
              </w:rPr>
              <w:t>eletivas</w:t>
            </w:r>
            <w:r>
              <w:rPr>
                <w:spacing w:val="-7"/>
                <w:sz w:val="20"/>
              </w:rPr>
              <w:t> </w:t>
            </w:r>
            <w:r>
              <w:rPr>
                <w:sz w:val="20"/>
              </w:rPr>
              <w:t>em</w:t>
            </w:r>
            <w:r>
              <w:rPr>
                <w:spacing w:val="-6"/>
                <w:sz w:val="20"/>
              </w:rPr>
              <w:t> </w:t>
            </w:r>
            <w:r>
              <w:rPr>
                <w:sz w:val="20"/>
              </w:rPr>
              <w:t>lista</w:t>
            </w:r>
            <w:r>
              <w:rPr>
                <w:spacing w:val="-7"/>
                <w:sz w:val="20"/>
              </w:rPr>
              <w:t> </w:t>
            </w:r>
            <w:r>
              <w:rPr>
                <w:sz w:val="20"/>
              </w:rPr>
              <w:t>de</w:t>
            </w:r>
            <w:r>
              <w:rPr>
                <w:spacing w:val="-7"/>
                <w:sz w:val="20"/>
              </w:rPr>
              <w:t> </w:t>
            </w:r>
            <w:r>
              <w:rPr>
                <w:sz w:val="20"/>
              </w:rPr>
              <w:t>espera</w:t>
            </w:r>
            <w:r>
              <w:rPr>
                <w:spacing w:val="-3"/>
                <w:sz w:val="20"/>
              </w:rPr>
              <w:t> </w:t>
            </w:r>
            <w:r>
              <w:rPr>
                <w:sz w:val="20"/>
              </w:rPr>
              <w:t>e</w:t>
            </w:r>
            <w:r>
              <w:rPr>
                <w:spacing w:val="-7"/>
                <w:sz w:val="20"/>
              </w:rPr>
              <w:t> </w:t>
            </w:r>
            <w:r>
              <w:rPr>
                <w:sz w:val="20"/>
              </w:rPr>
              <w:t>encaminhado para unidade</w:t>
            </w:r>
          </w:p>
        </w:tc>
        <w:tc>
          <w:tcPr>
            <w:tcW w:w="838" w:type="dxa"/>
            <w:vMerge/>
            <w:tcBorders>
              <w:top w:val="nil"/>
            </w:tcBorders>
          </w:tcPr>
          <w:p>
            <w:pPr>
              <w:rPr>
                <w:sz w:val="2"/>
                <w:szCs w:val="2"/>
              </w:rPr>
            </w:pPr>
          </w:p>
        </w:tc>
        <w:tc>
          <w:tcPr>
            <w:tcW w:w="3826" w:type="dxa"/>
          </w:tcPr>
          <w:p>
            <w:pPr>
              <w:pStyle w:val="TableParagraph"/>
              <w:spacing w:before="115"/>
              <w:ind w:left="16" w:right="2"/>
              <w:rPr>
                <w:sz w:val="20"/>
              </w:rPr>
            </w:pPr>
            <w:r>
              <w:rPr>
                <w:spacing w:val="-2"/>
                <w:sz w:val="20"/>
              </w:rPr>
              <w:t>1.098</w:t>
            </w:r>
          </w:p>
        </w:tc>
      </w:tr>
      <w:tr>
        <w:trPr>
          <w:trHeight w:val="232" w:hRule="atLeast"/>
        </w:trPr>
        <w:tc>
          <w:tcPr>
            <w:tcW w:w="5386" w:type="dxa"/>
          </w:tcPr>
          <w:p>
            <w:pPr>
              <w:pStyle w:val="TableParagraph"/>
              <w:spacing w:line="211" w:lineRule="exact" w:before="1"/>
              <w:ind w:left="62"/>
              <w:jc w:val="left"/>
              <w:rPr>
                <w:b/>
                <w:sz w:val="20"/>
              </w:rPr>
            </w:pPr>
            <w:r>
              <w:rPr>
                <w:b/>
                <w:sz w:val="20"/>
              </w:rPr>
              <w:t>9.</w:t>
            </w:r>
            <w:r>
              <w:rPr>
                <w:b/>
                <w:spacing w:val="-3"/>
                <w:sz w:val="20"/>
              </w:rPr>
              <w:t> </w:t>
            </w:r>
            <w:r>
              <w:rPr>
                <w:b/>
                <w:sz w:val="20"/>
              </w:rPr>
              <w:t>Razão</w:t>
            </w:r>
            <w:r>
              <w:rPr>
                <w:b/>
                <w:spacing w:val="-2"/>
                <w:sz w:val="20"/>
              </w:rPr>
              <w:t> </w:t>
            </w:r>
            <w:r>
              <w:rPr>
                <w:b/>
                <w:sz w:val="20"/>
              </w:rPr>
              <w:t>do</w:t>
            </w:r>
            <w:r>
              <w:rPr>
                <w:b/>
                <w:spacing w:val="-3"/>
                <w:sz w:val="20"/>
              </w:rPr>
              <w:t> </w:t>
            </w:r>
            <w:r>
              <w:rPr>
                <w:b/>
                <w:sz w:val="20"/>
              </w:rPr>
              <w:t>Quantitativo</w:t>
            </w:r>
            <w:r>
              <w:rPr>
                <w:b/>
                <w:spacing w:val="-2"/>
                <w:sz w:val="20"/>
              </w:rPr>
              <w:t> </w:t>
            </w:r>
            <w:r>
              <w:rPr>
                <w:b/>
                <w:sz w:val="20"/>
              </w:rPr>
              <w:t>de</w:t>
            </w:r>
            <w:r>
              <w:rPr>
                <w:b/>
                <w:spacing w:val="-3"/>
                <w:sz w:val="20"/>
              </w:rPr>
              <w:t> </w:t>
            </w:r>
            <w:r>
              <w:rPr>
                <w:b/>
                <w:sz w:val="20"/>
              </w:rPr>
              <w:t>Consultas</w:t>
            </w:r>
            <w:r>
              <w:rPr>
                <w:b/>
                <w:spacing w:val="-3"/>
                <w:sz w:val="20"/>
              </w:rPr>
              <w:t> </w:t>
            </w:r>
            <w:r>
              <w:rPr>
                <w:b/>
                <w:spacing w:val="-2"/>
                <w:sz w:val="20"/>
              </w:rPr>
              <w:t>Ofertadas</w:t>
            </w:r>
          </w:p>
        </w:tc>
        <w:tc>
          <w:tcPr>
            <w:tcW w:w="838" w:type="dxa"/>
          </w:tcPr>
          <w:p>
            <w:pPr>
              <w:pStyle w:val="TableParagraph"/>
              <w:spacing w:line="211" w:lineRule="exact" w:before="1"/>
              <w:ind w:left="16"/>
              <w:rPr>
                <w:b/>
                <w:sz w:val="20"/>
              </w:rPr>
            </w:pPr>
            <w:r>
              <w:rPr>
                <w:b/>
                <w:spacing w:val="-10"/>
                <w:sz w:val="20"/>
              </w:rPr>
              <w:t>1</w:t>
            </w:r>
          </w:p>
        </w:tc>
        <w:tc>
          <w:tcPr>
            <w:tcW w:w="3826" w:type="dxa"/>
          </w:tcPr>
          <w:p>
            <w:pPr>
              <w:pStyle w:val="TableParagraph"/>
              <w:spacing w:line="211" w:lineRule="exact" w:before="1"/>
              <w:ind w:left="16" w:right="2"/>
              <w:rPr>
                <w:b/>
                <w:sz w:val="20"/>
              </w:rPr>
            </w:pPr>
            <w:r>
              <w:rPr>
                <w:b/>
                <w:spacing w:val="-4"/>
                <w:sz w:val="20"/>
              </w:rPr>
              <w:t>0,97</w:t>
            </w:r>
          </w:p>
        </w:tc>
      </w:tr>
    </w:tbl>
    <w:p>
      <w:pPr>
        <w:pStyle w:val="TableParagraph"/>
        <w:spacing w:after="0" w:line="211" w:lineRule="exact"/>
        <w:rPr>
          <w:b/>
          <w:sz w:val="20"/>
        </w:rPr>
        <w:sectPr>
          <w:pgSz w:w="11910" w:h="16840"/>
          <w:pgMar w:header="358" w:footer="560" w:top="1580" w:bottom="780" w:left="708" w:right="0"/>
        </w:sectPr>
      </w:pPr>
    </w:p>
    <w:p>
      <w:pPr>
        <w:pStyle w:val="BodyText"/>
        <w:rPr>
          <w:b/>
          <w:sz w:val="20"/>
        </w:rPr>
      </w:pPr>
    </w:p>
    <w:p>
      <w:pPr>
        <w:pStyle w:val="BodyText"/>
        <w:rPr>
          <w:b/>
          <w:sz w:val="20"/>
        </w:rPr>
      </w:pPr>
    </w:p>
    <w:p>
      <w:pPr>
        <w:pStyle w:val="BodyText"/>
        <w:spacing w:before="161"/>
        <w:rPr>
          <w:b/>
          <w:sz w:val="20"/>
        </w:rPr>
      </w:pPr>
    </w:p>
    <w:tbl>
      <w:tblPr>
        <w:tblW w:w="0" w:type="auto"/>
        <w:jc w:val="left"/>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6"/>
        <w:gridCol w:w="838"/>
        <w:gridCol w:w="3826"/>
      </w:tblGrid>
      <w:tr>
        <w:trPr>
          <w:trHeight w:val="232" w:hRule="atLeast"/>
        </w:trPr>
        <w:tc>
          <w:tcPr>
            <w:tcW w:w="5386" w:type="dxa"/>
          </w:tcPr>
          <w:p>
            <w:pPr>
              <w:pStyle w:val="TableParagraph"/>
              <w:spacing w:line="211" w:lineRule="exact" w:before="1"/>
              <w:ind w:left="62"/>
              <w:jc w:val="left"/>
              <w:rPr>
                <w:sz w:val="20"/>
              </w:rPr>
            </w:pPr>
            <w:r>
              <w:rPr>
                <w:sz w:val="20"/>
              </w:rPr>
              <w:t>Número</w:t>
            </w:r>
            <w:r>
              <w:rPr>
                <w:spacing w:val="-3"/>
                <w:sz w:val="20"/>
              </w:rPr>
              <w:t> </w:t>
            </w:r>
            <w:r>
              <w:rPr>
                <w:sz w:val="20"/>
              </w:rPr>
              <w:t>de</w:t>
            </w:r>
            <w:r>
              <w:rPr>
                <w:spacing w:val="-5"/>
                <w:sz w:val="20"/>
              </w:rPr>
              <w:t> </w:t>
            </w:r>
            <w:r>
              <w:rPr>
                <w:sz w:val="20"/>
              </w:rPr>
              <w:t>consultas</w:t>
            </w:r>
            <w:r>
              <w:rPr>
                <w:spacing w:val="-4"/>
                <w:sz w:val="20"/>
              </w:rPr>
              <w:t> </w:t>
            </w:r>
            <w:r>
              <w:rPr>
                <w:spacing w:val="-2"/>
                <w:sz w:val="20"/>
              </w:rPr>
              <w:t>ofertadas</w:t>
            </w:r>
          </w:p>
        </w:tc>
        <w:tc>
          <w:tcPr>
            <w:tcW w:w="838" w:type="dxa"/>
            <w:vMerge w:val="restart"/>
          </w:tcPr>
          <w:p>
            <w:pPr>
              <w:pStyle w:val="TableParagraph"/>
              <w:jc w:val="left"/>
              <w:rPr>
                <w:sz w:val="22"/>
              </w:rPr>
            </w:pPr>
          </w:p>
        </w:tc>
        <w:tc>
          <w:tcPr>
            <w:tcW w:w="3826" w:type="dxa"/>
          </w:tcPr>
          <w:p>
            <w:pPr>
              <w:pStyle w:val="TableParagraph"/>
              <w:spacing w:line="211" w:lineRule="exact" w:before="1"/>
              <w:ind w:left="16"/>
              <w:rPr>
                <w:sz w:val="20"/>
              </w:rPr>
            </w:pPr>
            <w:r>
              <w:rPr>
                <w:spacing w:val="-4"/>
                <w:sz w:val="20"/>
              </w:rPr>
              <w:t>4928</w:t>
            </w:r>
          </w:p>
        </w:tc>
      </w:tr>
      <w:tr>
        <w:trPr>
          <w:trHeight w:val="230" w:hRule="atLeast"/>
        </w:trPr>
        <w:tc>
          <w:tcPr>
            <w:tcW w:w="5386" w:type="dxa"/>
          </w:tcPr>
          <w:p>
            <w:pPr>
              <w:pStyle w:val="TableParagraph"/>
              <w:spacing w:line="210" w:lineRule="exact"/>
              <w:ind w:left="62"/>
              <w:jc w:val="left"/>
              <w:rPr>
                <w:sz w:val="20"/>
              </w:rPr>
            </w:pPr>
            <w:r>
              <w:rPr>
                <w:sz w:val="20"/>
              </w:rPr>
              <w:t>Número</w:t>
            </w:r>
            <w:r>
              <w:rPr>
                <w:spacing w:val="-5"/>
                <w:sz w:val="20"/>
              </w:rPr>
              <w:t> </w:t>
            </w:r>
            <w:r>
              <w:rPr>
                <w:sz w:val="20"/>
              </w:rPr>
              <w:t>de</w:t>
            </w:r>
            <w:r>
              <w:rPr>
                <w:spacing w:val="-4"/>
                <w:sz w:val="20"/>
              </w:rPr>
              <w:t> </w:t>
            </w:r>
            <w:r>
              <w:rPr>
                <w:sz w:val="20"/>
              </w:rPr>
              <w:t>consultas</w:t>
            </w:r>
            <w:r>
              <w:rPr>
                <w:spacing w:val="-4"/>
                <w:sz w:val="20"/>
              </w:rPr>
              <w:t> </w:t>
            </w:r>
            <w:r>
              <w:rPr>
                <w:sz w:val="20"/>
              </w:rPr>
              <w:t>propostas</w:t>
            </w:r>
            <w:r>
              <w:rPr>
                <w:spacing w:val="-4"/>
                <w:sz w:val="20"/>
              </w:rPr>
              <w:t> </w:t>
            </w:r>
            <w:r>
              <w:rPr>
                <w:sz w:val="20"/>
              </w:rPr>
              <w:t>nas</w:t>
            </w:r>
            <w:r>
              <w:rPr>
                <w:spacing w:val="-2"/>
                <w:sz w:val="20"/>
              </w:rPr>
              <w:t> </w:t>
            </w:r>
            <w:r>
              <w:rPr>
                <w:sz w:val="20"/>
              </w:rPr>
              <w:t>metas</w:t>
            </w:r>
            <w:r>
              <w:rPr>
                <w:spacing w:val="-4"/>
                <w:sz w:val="20"/>
              </w:rPr>
              <w:t> </w:t>
            </w:r>
            <w:r>
              <w:rPr>
                <w:sz w:val="20"/>
              </w:rPr>
              <w:t>da</w:t>
            </w:r>
            <w:r>
              <w:rPr>
                <w:spacing w:val="-4"/>
                <w:sz w:val="20"/>
              </w:rPr>
              <w:t> </w:t>
            </w:r>
            <w:r>
              <w:rPr>
                <w:spacing w:val="-2"/>
                <w:sz w:val="20"/>
              </w:rPr>
              <w:t>unidade</w:t>
            </w:r>
          </w:p>
        </w:tc>
        <w:tc>
          <w:tcPr>
            <w:tcW w:w="838" w:type="dxa"/>
            <w:vMerge/>
            <w:tcBorders>
              <w:top w:val="nil"/>
            </w:tcBorders>
          </w:tcPr>
          <w:p>
            <w:pPr>
              <w:rPr>
                <w:sz w:val="2"/>
                <w:szCs w:val="2"/>
              </w:rPr>
            </w:pPr>
          </w:p>
        </w:tc>
        <w:tc>
          <w:tcPr>
            <w:tcW w:w="3826" w:type="dxa"/>
          </w:tcPr>
          <w:p>
            <w:pPr>
              <w:pStyle w:val="TableParagraph"/>
              <w:spacing w:line="210" w:lineRule="exact"/>
              <w:ind w:left="16" w:right="2"/>
              <w:rPr>
                <w:sz w:val="20"/>
              </w:rPr>
            </w:pPr>
            <w:r>
              <w:rPr>
                <w:spacing w:val="-2"/>
                <w:sz w:val="20"/>
              </w:rPr>
              <w:t>5.100</w:t>
            </w:r>
          </w:p>
        </w:tc>
      </w:tr>
      <w:tr>
        <w:trPr>
          <w:trHeight w:val="462" w:hRule="atLeast"/>
        </w:trPr>
        <w:tc>
          <w:tcPr>
            <w:tcW w:w="5386" w:type="dxa"/>
          </w:tcPr>
          <w:p>
            <w:pPr>
              <w:pStyle w:val="TableParagraph"/>
              <w:spacing w:line="230" w:lineRule="atLeast"/>
              <w:ind w:left="62"/>
              <w:jc w:val="left"/>
              <w:rPr>
                <w:b/>
                <w:sz w:val="20"/>
              </w:rPr>
            </w:pPr>
            <w:r>
              <w:rPr>
                <w:b/>
                <w:sz w:val="20"/>
              </w:rPr>
              <w:t>10.</w:t>
            </w:r>
            <w:r>
              <w:rPr>
                <w:b/>
                <w:spacing w:val="-6"/>
                <w:sz w:val="20"/>
              </w:rPr>
              <w:t> </w:t>
            </w:r>
            <w:r>
              <w:rPr>
                <w:b/>
                <w:sz w:val="20"/>
              </w:rPr>
              <w:t>Percentual</w:t>
            </w:r>
            <w:r>
              <w:rPr>
                <w:b/>
                <w:spacing w:val="-4"/>
                <w:sz w:val="20"/>
              </w:rPr>
              <w:t> </w:t>
            </w:r>
            <w:r>
              <w:rPr>
                <w:b/>
                <w:sz w:val="20"/>
              </w:rPr>
              <w:t>de</w:t>
            </w:r>
            <w:r>
              <w:rPr>
                <w:b/>
                <w:spacing w:val="-7"/>
                <w:sz w:val="20"/>
              </w:rPr>
              <w:t> </w:t>
            </w:r>
            <w:r>
              <w:rPr>
                <w:b/>
                <w:sz w:val="20"/>
              </w:rPr>
              <w:t>exames</w:t>
            </w:r>
            <w:r>
              <w:rPr>
                <w:b/>
                <w:spacing w:val="-5"/>
                <w:sz w:val="20"/>
              </w:rPr>
              <w:t> </w:t>
            </w:r>
            <w:r>
              <w:rPr>
                <w:b/>
                <w:sz w:val="20"/>
              </w:rPr>
              <w:t>de</w:t>
            </w:r>
            <w:r>
              <w:rPr>
                <w:b/>
                <w:spacing w:val="-7"/>
                <w:sz w:val="20"/>
              </w:rPr>
              <w:t> </w:t>
            </w:r>
            <w:r>
              <w:rPr>
                <w:b/>
                <w:sz w:val="20"/>
              </w:rPr>
              <w:t>imagem</w:t>
            </w:r>
            <w:r>
              <w:rPr>
                <w:b/>
                <w:spacing w:val="-5"/>
                <w:sz w:val="20"/>
              </w:rPr>
              <w:t> </w:t>
            </w:r>
            <w:r>
              <w:rPr>
                <w:b/>
                <w:sz w:val="20"/>
              </w:rPr>
              <w:t>com</w:t>
            </w:r>
            <w:r>
              <w:rPr>
                <w:b/>
                <w:spacing w:val="-7"/>
                <w:sz w:val="20"/>
              </w:rPr>
              <w:t> </w:t>
            </w:r>
            <w:r>
              <w:rPr>
                <w:b/>
                <w:sz w:val="20"/>
              </w:rPr>
              <w:t>resultado</w:t>
            </w:r>
            <w:r>
              <w:rPr>
                <w:b/>
                <w:spacing w:val="-6"/>
                <w:sz w:val="20"/>
              </w:rPr>
              <w:t> </w:t>
            </w:r>
            <w:r>
              <w:rPr>
                <w:b/>
                <w:sz w:val="20"/>
              </w:rPr>
              <w:t>entregue em até 10 dias</w:t>
            </w:r>
          </w:p>
        </w:tc>
        <w:tc>
          <w:tcPr>
            <w:tcW w:w="838" w:type="dxa"/>
            <w:vMerge w:val="restart"/>
          </w:tcPr>
          <w:p>
            <w:pPr>
              <w:pStyle w:val="TableParagraph"/>
              <w:spacing w:before="137"/>
              <w:jc w:val="left"/>
              <w:rPr>
                <w:b/>
                <w:sz w:val="20"/>
              </w:rPr>
            </w:pPr>
          </w:p>
          <w:p>
            <w:pPr>
              <w:pStyle w:val="TableParagraph"/>
              <w:ind w:left="141"/>
              <w:jc w:val="left"/>
              <w:rPr>
                <w:b/>
                <w:sz w:val="20"/>
              </w:rPr>
            </w:pPr>
            <w:r>
              <w:rPr>
                <w:b/>
                <w:sz w:val="20"/>
              </w:rPr>
              <w:t>≥ </w:t>
            </w:r>
            <w:r>
              <w:rPr>
                <w:b/>
                <w:spacing w:val="-5"/>
                <w:sz w:val="20"/>
              </w:rPr>
              <w:t>70%</w:t>
            </w:r>
          </w:p>
        </w:tc>
        <w:tc>
          <w:tcPr>
            <w:tcW w:w="3826" w:type="dxa"/>
          </w:tcPr>
          <w:p>
            <w:pPr>
              <w:pStyle w:val="TableParagraph"/>
              <w:spacing w:before="115"/>
              <w:ind w:left="16"/>
              <w:rPr>
                <w:b/>
                <w:sz w:val="20"/>
              </w:rPr>
            </w:pPr>
            <w:r>
              <w:rPr>
                <w:b/>
                <w:spacing w:val="-4"/>
                <w:sz w:val="20"/>
              </w:rPr>
              <w:t>100%</w:t>
            </w:r>
          </w:p>
        </w:tc>
      </w:tr>
      <w:tr>
        <w:trPr>
          <w:trHeight w:val="231" w:hRule="atLeast"/>
        </w:trPr>
        <w:tc>
          <w:tcPr>
            <w:tcW w:w="5386" w:type="dxa"/>
          </w:tcPr>
          <w:p>
            <w:pPr>
              <w:pStyle w:val="TableParagraph"/>
              <w:spacing w:line="211" w:lineRule="exact" w:before="1"/>
              <w:ind w:left="62"/>
              <w:jc w:val="left"/>
              <w:rPr>
                <w:sz w:val="20"/>
              </w:rPr>
            </w:pPr>
            <w:r>
              <w:rPr>
                <w:sz w:val="20"/>
              </w:rPr>
              <w:t>Número</w:t>
            </w:r>
            <w:r>
              <w:rPr>
                <w:spacing w:val="-2"/>
                <w:sz w:val="20"/>
              </w:rPr>
              <w:t> </w:t>
            </w:r>
            <w:r>
              <w:rPr>
                <w:sz w:val="20"/>
              </w:rPr>
              <w:t>de</w:t>
            </w:r>
            <w:r>
              <w:rPr>
                <w:spacing w:val="-3"/>
                <w:sz w:val="20"/>
              </w:rPr>
              <w:t> </w:t>
            </w:r>
            <w:r>
              <w:rPr>
                <w:sz w:val="20"/>
              </w:rPr>
              <w:t>exames</w:t>
            </w:r>
            <w:r>
              <w:rPr>
                <w:spacing w:val="-2"/>
                <w:sz w:val="20"/>
              </w:rPr>
              <w:t> </w:t>
            </w:r>
            <w:r>
              <w:rPr>
                <w:sz w:val="20"/>
              </w:rPr>
              <w:t>de</w:t>
            </w:r>
            <w:r>
              <w:rPr>
                <w:spacing w:val="-3"/>
                <w:sz w:val="20"/>
              </w:rPr>
              <w:t> </w:t>
            </w:r>
            <w:r>
              <w:rPr>
                <w:sz w:val="20"/>
              </w:rPr>
              <w:t>imagem</w:t>
            </w:r>
            <w:r>
              <w:rPr>
                <w:spacing w:val="-2"/>
                <w:sz w:val="20"/>
              </w:rPr>
              <w:t> </w:t>
            </w:r>
            <w:r>
              <w:rPr>
                <w:sz w:val="20"/>
              </w:rPr>
              <w:t>liberados</w:t>
            </w:r>
            <w:r>
              <w:rPr>
                <w:spacing w:val="-1"/>
                <w:sz w:val="20"/>
              </w:rPr>
              <w:t> </w:t>
            </w:r>
            <w:r>
              <w:rPr>
                <w:sz w:val="20"/>
              </w:rPr>
              <w:t>em</w:t>
            </w:r>
            <w:r>
              <w:rPr>
                <w:spacing w:val="-3"/>
                <w:sz w:val="20"/>
              </w:rPr>
              <w:t> </w:t>
            </w:r>
            <w:r>
              <w:rPr>
                <w:sz w:val="20"/>
              </w:rPr>
              <w:t>até</w:t>
            </w:r>
            <w:r>
              <w:rPr>
                <w:spacing w:val="-1"/>
                <w:sz w:val="20"/>
              </w:rPr>
              <w:t> </w:t>
            </w:r>
            <w:r>
              <w:rPr>
                <w:sz w:val="20"/>
              </w:rPr>
              <w:t>10</w:t>
            </w:r>
            <w:r>
              <w:rPr>
                <w:spacing w:val="-2"/>
                <w:sz w:val="20"/>
              </w:rPr>
              <w:t> </w:t>
            </w:r>
            <w:r>
              <w:rPr>
                <w:spacing w:val="-4"/>
                <w:sz w:val="20"/>
              </w:rPr>
              <w:t>dias</w:t>
            </w:r>
          </w:p>
        </w:tc>
        <w:tc>
          <w:tcPr>
            <w:tcW w:w="838" w:type="dxa"/>
            <w:vMerge/>
            <w:tcBorders>
              <w:top w:val="nil"/>
            </w:tcBorders>
          </w:tcPr>
          <w:p>
            <w:pPr>
              <w:rPr>
                <w:sz w:val="2"/>
                <w:szCs w:val="2"/>
              </w:rPr>
            </w:pPr>
          </w:p>
        </w:tc>
        <w:tc>
          <w:tcPr>
            <w:tcW w:w="3826" w:type="dxa"/>
          </w:tcPr>
          <w:p>
            <w:pPr>
              <w:pStyle w:val="TableParagraph"/>
              <w:spacing w:line="211" w:lineRule="exact" w:before="1"/>
              <w:ind w:left="16" w:right="2"/>
              <w:rPr>
                <w:sz w:val="20"/>
              </w:rPr>
            </w:pPr>
            <w:r>
              <w:rPr>
                <w:spacing w:val="-2"/>
                <w:sz w:val="20"/>
              </w:rPr>
              <w:t>13.672</w:t>
            </w:r>
          </w:p>
        </w:tc>
      </w:tr>
      <w:tr>
        <w:trPr>
          <w:trHeight w:val="250" w:hRule="atLeast"/>
        </w:trPr>
        <w:tc>
          <w:tcPr>
            <w:tcW w:w="5386" w:type="dxa"/>
          </w:tcPr>
          <w:p>
            <w:pPr>
              <w:pStyle w:val="TableParagraph"/>
              <w:spacing w:line="221" w:lineRule="exact" w:before="9"/>
              <w:ind w:left="62"/>
              <w:jc w:val="left"/>
              <w:rPr>
                <w:sz w:val="20"/>
              </w:rPr>
            </w:pPr>
            <w:r>
              <w:rPr>
                <w:sz w:val="20"/>
              </w:rPr>
              <w:t>Total</w:t>
            </w:r>
            <w:r>
              <w:rPr>
                <w:spacing w:val="-5"/>
                <w:sz w:val="20"/>
              </w:rPr>
              <w:t> </w:t>
            </w:r>
            <w:r>
              <w:rPr>
                <w:sz w:val="20"/>
              </w:rPr>
              <w:t>de</w:t>
            </w:r>
            <w:r>
              <w:rPr>
                <w:spacing w:val="-4"/>
                <w:sz w:val="20"/>
              </w:rPr>
              <w:t> </w:t>
            </w:r>
            <w:r>
              <w:rPr>
                <w:sz w:val="20"/>
              </w:rPr>
              <w:t>exames</w:t>
            </w:r>
            <w:r>
              <w:rPr>
                <w:spacing w:val="-2"/>
                <w:sz w:val="20"/>
              </w:rPr>
              <w:t> </w:t>
            </w:r>
            <w:r>
              <w:rPr>
                <w:sz w:val="20"/>
              </w:rPr>
              <w:t>de</w:t>
            </w:r>
            <w:r>
              <w:rPr>
                <w:spacing w:val="-2"/>
                <w:sz w:val="20"/>
              </w:rPr>
              <w:t> </w:t>
            </w:r>
            <w:r>
              <w:rPr>
                <w:sz w:val="20"/>
              </w:rPr>
              <w:t>imagem</w:t>
            </w:r>
            <w:r>
              <w:rPr>
                <w:spacing w:val="-1"/>
                <w:sz w:val="20"/>
              </w:rPr>
              <w:t> </w:t>
            </w:r>
            <w:r>
              <w:rPr>
                <w:sz w:val="20"/>
              </w:rPr>
              <w:t>realizados</w:t>
            </w:r>
            <w:r>
              <w:rPr>
                <w:spacing w:val="-3"/>
                <w:sz w:val="20"/>
              </w:rPr>
              <w:t> </w:t>
            </w:r>
            <w:r>
              <w:rPr>
                <w:sz w:val="20"/>
              </w:rPr>
              <w:t>no</w:t>
            </w:r>
            <w:r>
              <w:rPr>
                <w:spacing w:val="-2"/>
                <w:sz w:val="20"/>
              </w:rPr>
              <w:t> período</w:t>
            </w:r>
          </w:p>
        </w:tc>
        <w:tc>
          <w:tcPr>
            <w:tcW w:w="838" w:type="dxa"/>
            <w:vMerge/>
            <w:tcBorders>
              <w:top w:val="nil"/>
            </w:tcBorders>
          </w:tcPr>
          <w:p>
            <w:pPr>
              <w:rPr>
                <w:sz w:val="2"/>
                <w:szCs w:val="2"/>
              </w:rPr>
            </w:pPr>
          </w:p>
        </w:tc>
        <w:tc>
          <w:tcPr>
            <w:tcW w:w="3826" w:type="dxa"/>
          </w:tcPr>
          <w:p>
            <w:pPr>
              <w:pStyle w:val="TableParagraph"/>
              <w:spacing w:line="229" w:lineRule="exact"/>
              <w:ind w:left="16" w:right="2"/>
              <w:rPr>
                <w:sz w:val="20"/>
              </w:rPr>
            </w:pPr>
            <w:r>
              <w:rPr>
                <w:spacing w:val="-2"/>
                <w:sz w:val="20"/>
              </w:rPr>
              <w:t>13.672</w:t>
            </w:r>
          </w:p>
        </w:tc>
      </w:tr>
      <w:tr>
        <w:trPr>
          <w:trHeight w:val="694" w:hRule="atLeast"/>
        </w:trPr>
        <w:tc>
          <w:tcPr>
            <w:tcW w:w="5386" w:type="dxa"/>
          </w:tcPr>
          <w:p>
            <w:pPr>
              <w:pStyle w:val="TableParagraph"/>
              <w:spacing w:before="1"/>
              <w:ind w:left="62"/>
              <w:jc w:val="left"/>
              <w:rPr>
                <w:b/>
                <w:sz w:val="20"/>
              </w:rPr>
            </w:pPr>
            <w:r>
              <w:rPr>
                <w:b/>
                <w:sz w:val="20"/>
              </w:rPr>
              <w:t>11.</w:t>
            </w:r>
            <w:r>
              <w:rPr>
                <w:b/>
                <w:spacing w:val="-7"/>
                <w:sz w:val="20"/>
              </w:rPr>
              <w:t> </w:t>
            </w:r>
            <w:r>
              <w:rPr>
                <w:b/>
                <w:sz w:val="20"/>
              </w:rPr>
              <w:t>Percentual</w:t>
            </w:r>
            <w:r>
              <w:rPr>
                <w:b/>
                <w:spacing w:val="-6"/>
                <w:sz w:val="20"/>
              </w:rPr>
              <w:t> </w:t>
            </w:r>
            <w:r>
              <w:rPr>
                <w:b/>
                <w:sz w:val="20"/>
              </w:rPr>
              <w:t>de</w:t>
            </w:r>
            <w:r>
              <w:rPr>
                <w:b/>
                <w:spacing w:val="-8"/>
                <w:sz w:val="20"/>
              </w:rPr>
              <w:t> </w:t>
            </w:r>
            <w:r>
              <w:rPr>
                <w:b/>
                <w:sz w:val="20"/>
              </w:rPr>
              <w:t>casos</w:t>
            </w:r>
            <w:r>
              <w:rPr>
                <w:b/>
                <w:spacing w:val="-8"/>
                <w:sz w:val="20"/>
              </w:rPr>
              <w:t> </w:t>
            </w:r>
            <w:r>
              <w:rPr>
                <w:b/>
                <w:sz w:val="20"/>
              </w:rPr>
              <w:t>de</w:t>
            </w:r>
            <w:r>
              <w:rPr>
                <w:b/>
                <w:spacing w:val="-8"/>
                <w:sz w:val="20"/>
              </w:rPr>
              <w:t> </w:t>
            </w:r>
            <w:r>
              <w:rPr>
                <w:b/>
                <w:sz w:val="20"/>
              </w:rPr>
              <w:t>doenças/agravos/eventos</w:t>
            </w:r>
            <w:r>
              <w:rPr>
                <w:b/>
                <w:spacing w:val="-8"/>
                <w:sz w:val="20"/>
              </w:rPr>
              <w:t> </w:t>
            </w:r>
            <w:r>
              <w:rPr>
                <w:b/>
                <w:sz w:val="20"/>
              </w:rPr>
              <w:t>de notificação compulsória imediata (DAEI) digitados</w:t>
            </w:r>
          </w:p>
          <w:p>
            <w:pPr>
              <w:pStyle w:val="TableParagraph"/>
              <w:spacing w:line="211" w:lineRule="exact" w:before="2"/>
              <w:ind w:left="62"/>
              <w:jc w:val="left"/>
              <w:rPr>
                <w:b/>
                <w:sz w:val="20"/>
              </w:rPr>
            </w:pPr>
            <w:r>
              <w:rPr>
                <w:b/>
                <w:spacing w:val="-2"/>
                <w:sz w:val="20"/>
              </w:rPr>
              <w:t>oportunamente</w:t>
            </w:r>
          </w:p>
        </w:tc>
        <w:tc>
          <w:tcPr>
            <w:tcW w:w="838" w:type="dxa"/>
            <w:vMerge w:val="restart"/>
          </w:tcPr>
          <w:p>
            <w:pPr>
              <w:pStyle w:val="TableParagraph"/>
              <w:jc w:val="left"/>
              <w:rPr>
                <w:b/>
                <w:sz w:val="20"/>
              </w:rPr>
            </w:pPr>
          </w:p>
          <w:p>
            <w:pPr>
              <w:pStyle w:val="TableParagraph"/>
              <w:spacing w:before="33"/>
              <w:jc w:val="left"/>
              <w:rPr>
                <w:b/>
                <w:sz w:val="20"/>
              </w:rPr>
            </w:pPr>
          </w:p>
          <w:p>
            <w:pPr>
              <w:pStyle w:val="TableParagraph"/>
              <w:ind w:left="141"/>
              <w:jc w:val="left"/>
              <w:rPr>
                <w:b/>
                <w:sz w:val="20"/>
              </w:rPr>
            </w:pPr>
            <w:r>
              <w:rPr>
                <w:b/>
                <w:sz w:val="20"/>
              </w:rPr>
              <w:t>≥ </w:t>
            </w:r>
            <w:r>
              <w:rPr>
                <w:b/>
                <w:spacing w:val="-5"/>
                <w:sz w:val="20"/>
              </w:rPr>
              <w:t>80%</w:t>
            </w:r>
          </w:p>
        </w:tc>
        <w:tc>
          <w:tcPr>
            <w:tcW w:w="3826" w:type="dxa"/>
          </w:tcPr>
          <w:p>
            <w:pPr>
              <w:pStyle w:val="TableParagraph"/>
              <w:spacing w:before="221"/>
              <w:ind w:left="16" w:right="2"/>
              <w:rPr>
                <w:b/>
                <w:sz w:val="20"/>
              </w:rPr>
            </w:pPr>
            <w:r>
              <w:rPr>
                <w:b/>
                <w:spacing w:val="-2"/>
                <w:sz w:val="20"/>
              </w:rPr>
              <w:t>95,97%</w:t>
            </w:r>
          </w:p>
        </w:tc>
      </w:tr>
      <w:tr>
        <w:trPr>
          <w:trHeight w:val="250" w:hRule="atLeast"/>
        </w:trPr>
        <w:tc>
          <w:tcPr>
            <w:tcW w:w="5386" w:type="dxa"/>
          </w:tcPr>
          <w:p>
            <w:pPr>
              <w:pStyle w:val="TableParagraph"/>
              <w:spacing w:line="221" w:lineRule="exact" w:before="9"/>
              <w:ind w:left="62"/>
              <w:jc w:val="left"/>
              <w:rPr>
                <w:sz w:val="20"/>
              </w:rPr>
            </w:pPr>
            <w:r>
              <w:rPr>
                <w:sz w:val="20"/>
              </w:rPr>
              <w:t>Número</w:t>
            </w:r>
            <w:r>
              <w:rPr>
                <w:spacing w:val="-2"/>
                <w:sz w:val="20"/>
              </w:rPr>
              <w:t> </w:t>
            </w:r>
            <w:r>
              <w:rPr>
                <w:sz w:val="20"/>
              </w:rPr>
              <w:t>de</w:t>
            </w:r>
            <w:r>
              <w:rPr>
                <w:spacing w:val="-3"/>
                <w:sz w:val="20"/>
              </w:rPr>
              <w:t> </w:t>
            </w:r>
            <w:r>
              <w:rPr>
                <w:sz w:val="20"/>
              </w:rPr>
              <w:t>casos</w:t>
            </w:r>
            <w:r>
              <w:rPr>
                <w:spacing w:val="-1"/>
                <w:sz w:val="20"/>
              </w:rPr>
              <w:t> </w:t>
            </w:r>
            <w:r>
              <w:rPr>
                <w:sz w:val="20"/>
              </w:rPr>
              <w:t>de</w:t>
            </w:r>
            <w:r>
              <w:rPr>
                <w:spacing w:val="-3"/>
                <w:sz w:val="20"/>
              </w:rPr>
              <w:t> </w:t>
            </w:r>
            <w:r>
              <w:rPr>
                <w:sz w:val="20"/>
              </w:rPr>
              <w:t>DAEI</w:t>
            </w:r>
            <w:r>
              <w:rPr>
                <w:spacing w:val="-2"/>
                <w:sz w:val="20"/>
              </w:rPr>
              <w:t> </w:t>
            </w:r>
            <w:r>
              <w:rPr>
                <w:sz w:val="20"/>
              </w:rPr>
              <w:t>digitadas</w:t>
            </w:r>
            <w:r>
              <w:rPr>
                <w:spacing w:val="-1"/>
                <w:sz w:val="20"/>
              </w:rPr>
              <w:t> </w:t>
            </w:r>
            <w:r>
              <w:rPr>
                <w:sz w:val="20"/>
              </w:rPr>
              <w:t>em</w:t>
            </w:r>
            <w:r>
              <w:rPr>
                <w:spacing w:val="-2"/>
                <w:sz w:val="20"/>
              </w:rPr>
              <w:t> </w:t>
            </w:r>
            <w:r>
              <w:rPr>
                <w:sz w:val="20"/>
              </w:rPr>
              <w:t>até</w:t>
            </w:r>
            <w:r>
              <w:rPr>
                <w:spacing w:val="-1"/>
                <w:sz w:val="20"/>
              </w:rPr>
              <w:t> </w:t>
            </w:r>
            <w:r>
              <w:rPr>
                <w:sz w:val="20"/>
              </w:rPr>
              <w:t>7</w:t>
            </w:r>
            <w:r>
              <w:rPr>
                <w:spacing w:val="-2"/>
                <w:sz w:val="20"/>
              </w:rPr>
              <w:t> </w:t>
            </w:r>
            <w:r>
              <w:rPr>
                <w:spacing w:val="-4"/>
                <w:sz w:val="20"/>
              </w:rPr>
              <w:t>dias</w:t>
            </w:r>
          </w:p>
        </w:tc>
        <w:tc>
          <w:tcPr>
            <w:tcW w:w="838" w:type="dxa"/>
            <w:vMerge/>
            <w:tcBorders>
              <w:top w:val="nil"/>
            </w:tcBorders>
          </w:tcPr>
          <w:p>
            <w:pPr>
              <w:rPr>
                <w:sz w:val="2"/>
                <w:szCs w:val="2"/>
              </w:rPr>
            </w:pPr>
          </w:p>
        </w:tc>
        <w:tc>
          <w:tcPr>
            <w:tcW w:w="3826" w:type="dxa"/>
          </w:tcPr>
          <w:p>
            <w:pPr>
              <w:pStyle w:val="TableParagraph"/>
              <w:spacing w:line="229" w:lineRule="exact"/>
              <w:ind w:left="16"/>
              <w:rPr>
                <w:sz w:val="20"/>
              </w:rPr>
            </w:pPr>
            <w:r>
              <w:rPr>
                <w:spacing w:val="-5"/>
                <w:sz w:val="20"/>
              </w:rPr>
              <w:t>405</w:t>
            </w:r>
          </w:p>
        </w:tc>
      </w:tr>
      <w:tr>
        <w:trPr>
          <w:trHeight w:val="252" w:hRule="atLeast"/>
        </w:trPr>
        <w:tc>
          <w:tcPr>
            <w:tcW w:w="5386" w:type="dxa"/>
          </w:tcPr>
          <w:p>
            <w:pPr>
              <w:pStyle w:val="TableParagraph"/>
              <w:spacing w:line="221" w:lineRule="exact" w:before="11"/>
              <w:ind w:left="62"/>
              <w:jc w:val="left"/>
              <w:rPr>
                <w:sz w:val="20"/>
              </w:rPr>
            </w:pPr>
            <w:r>
              <w:rPr>
                <w:sz w:val="20"/>
              </w:rPr>
              <w:t>Número</w:t>
            </w:r>
            <w:r>
              <w:rPr>
                <w:spacing w:val="-2"/>
                <w:sz w:val="20"/>
              </w:rPr>
              <w:t> </w:t>
            </w:r>
            <w:r>
              <w:rPr>
                <w:sz w:val="20"/>
              </w:rPr>
              <w:t>de</w:t>
            </w:r>
            <w:r>
              <w:rPr>
                <w:spacing w:val="-4"/>
                <w:sz w:val="20"/>
              </w:rPr>
              <w:t> </w:t>
            </w:r>
            <w:r>
              <w:rPr>
                <w:sz w:val="20"/>
              </w:rPr>
              <w:t>casos</w:t>
            </w:r>
            <w:r>
              <w:rPr>
                <w:spacing w:val="-1"/>
                <w:sz w:val="20"/>
              </w:rPr>
              <w:t> </w:t>
            </w:r>
            <w:r>
              <w:rPr>
                <w:sz w:val="20"/>
              </w:rPr>
              <w:t>de</w:t>
            </w:r>
            <w:r>
              <w:rPr>
                <w:spacing w:val="-4"/>
                <w:sz w:val="20"/>
              </w:rPr>
              <w:t> </w:t>
            </w:r>
            <w:r>
              <w:rPr>
                <w:sz w:val="20"/>
              </w:rPr>
              <w:t>DAEI</w:t>
            </w:r>
            <w:r>
              <w:rPr>
                <w:spacing w:val="-1"/>
                <w:sz w:val="20"/>
              </w:rPr>
              <w:t> </w:t>
            </w:r>
            <w:r>
              <w:rPr>
                <w:sz w:val="20"/>
              </w:rPr>
              <w:t>digitadas</w:t>
            </w:r>
            <w:r>
              <w:rPr>
                <w:spacing w:val="-2"/>
                <w:sz w:val="20"/>
              </w:rPr>
              <w:t> </w:t>
            </w:r>
            <w:r>
              <w:rPr>
                <w:sz w:val="20"/>
              </w:rPr>
              <w:t>no</w:t>
            </w:r>
            <w:r>
              <w:rPr>
                <w:spacing w:val="-2"/>
                <w:sz w:val="20"/>
              </w:rPr>
              <w:t> período</w:t>
            </w:r>
          </w:p>
        </w:tc>
        <w:tc>
          <w:tcPr>
            <w:tcW w:w="838" w:type="dxa"/>
            <w:vMerge/>
            <w:tcBorders>
              <w:top w:val="nil"/>
            </w:tcBorders>
          </w:tcPr>
          <w:p>
            <w:pPr>
              <w:rPr>
                <w:sz w:val="2"/>
                <w:szCs w:val="2"/>
              </w:rPr>
            </w:pPr>
          </w:p>
        </w:tc>
        <w:tc>
          <w:tcPr>
            <w:tcW w:w="3826" w:type="dxa"/>
          </w:tcPr>
          <w:p>
            <w:pPr>
              <w:pStyle w:val="TableParagraph"/>
              <w:spacing w:before="1"/>
              <w:ind w:left="16"/>
              <w:rPr>
                <w:sz w:val="20"/>
              </w:rPr>
            </w:pPr>
            <w:r>
              <w:rPr>
                <w:spacing w:val="-5"/>
                <w:sz w:val="20"/>
              </w:rPr>
              <w:t>422</w:t>
            </w:r>
          </w:p>
        </w:tc>
      </w:tr>
      <w:tr>
        <w:trPr>
          <w:trHeight w:val="692" w:hRule="atLeast"/>
        </w:trPr>
        <w:tc>
          <w:tcPr>
            <w:tcW w:w="5386" w:type="dxa"/>
          </w:tcPr>
          <w:p>
            <w:pPr>
              <w:pStyle w:val="TableParagraph"/>
              <w:spacing w:line="229" w:lineRule="exact"/>
              <w:ind w:left="62"/>
              <w:jc w:val="left"/>
              <w:rPr>
                <w:b/>
                <w:sz w:val="20"/>
              </w:rPr>
            </w:pPr>
            <w:r>
              <w:rPr>
                <w:b/>
                <w:sz w:val="20"/>
              </w:rPr>
              <w:t>12.</w:t>
            </w:r>
            <w:r>
              <w:rPr>
                <w:b/>
                <w:spacing w:val="-5"/>
                <w:sz w:val="20"/>
              </w:rPr>
              <w:t> </w:t>
            </w:r>
            <w:r>
              <w:rPr>
                <w:b/>
                <w:sz w:val="20"/>
              </w:rPr>
              <w:t>Percentual</w:t>
            </w:r>
            <w:r>
              <w:rPr>
                <w:b/>
                <w:spacing w:val="-3"/>
                <w:sz w:val="20"/>
              </w:rPr>
              <w:t> </w:t>
            </w:r>
            <w:r>
              <w:rPr>
                <w:b/>
                <w:sz w:val="20"/>
              </w:rPr>
              <w:t>de</w:t>
            </w:r>
            <w:r>
              <w:rPr>
                <w:b/>
                <w:spacing w:val="-6"/>
                <w:sz w:val="20"/>
              </w:rPr>
              <w:t> </w:t>
            </w:r>
            <w:r>
              <w:rPr>
                <w:b/>
                <w:sz w:val="20"/>
              </w:rPr>
              <w:t>casos</w:t>
            </w:r>
            <w:r>
              <w:rPr>
                <w:b/>
                <w:spacing w:val="-5"/>
                <w:sz w:val="20"/>
              </w:rPr>
              <w:t> </w:t>
            </w:r>
            <w:r>
              <w:rPr>
                <w:b/>
                <w:sz w:val="20"/>
              </w:rPr>
              <w:t>de</w:t>
            </w:r>
            <w:r>
              <w:rPr>
                <w:b/>
                <w:spacing w:val="-6"/>
                <w:sz w:val="20"/>
              </w:rPr>
              <w:t> </w:t>
            </w:r>
            <w:r>
              <w:rPr>
                <w:b/>
                <w:sz w:val="20"/>
              </w:rPr>
              <w:t>doenças/agravos/eventos</w:t>
            </w:r>
            <w:r>
              <w:rPr>
                <w:b/>
                <w:spacing w:val="-5"/>
                <w:sz w:val="20"/>
              </w:rPr>
              <w:t> de</w:t>
            </w:r>
          </w:p>
          <w:p>
            <w:pPr>
              <w:pStyle w:val="TableParagraph"/>
              <w:spacing w:line="230" w:lineRule="atLeast"/>
              <w:ind w:left="62"/>
              <w:jc w:val="left"/>
              <w:rPr>
                <w:b/>
                <w:sz w:val="20"/>
              </w:rPr>
            </w:pPr>
            <w:r>
              <w:rPr>
                <w:b/>
                <w:sz w:val="20"/>
              </w:rPr>
              <w:t>notificação</w:t>
            </w:r>
            <w:r>
              <w:rPr>
                <w:b/>
                <w:spacing w:val="-11"/>
                <w:sz w:val="20"/>
              </w:rPr>
              <w:t> </w:t>
            </w:r>
            <w:r>
              <w:rPr>
                <w:b/>
                <w:sz w:val="20"/>
              </w:rPr>
              <w:t>compulsória</w:t>
            </w:r>
            <w:r>
              <w:rPr>
                <w:b/>
                <w:spacing w:val="-12"/>
                <w:sz w:val="20"/>
              </w:rPr>
              <w:t> </w:t>
            </w:r>
            <w:r>
              <w:rPr>
                <w:b/>
                <w:sz w:val="20"/>
              </w:rPr>
              <w:t>imediata</w:t>
            </w:r>
            <w:r>
              <w:rPr>
                <w:b/>
                <w:spacing w:val="-12"/>
                <w:sz w:val="20"/>
              </w:rPr>
              <w:t> </w:t>
            </w:r>
            <w:r>
              <w:rPr>
                <w:b/>
                <w:sz w:val="20"/>
              </w:rPr>
              <w:t>(DAEI)</w:t>
            </w:r>
            <w:r>
              <w:rPr>
                <w:b/>
                <w:spacing w:val="-11"/>
                <w:sz w:val="20"/>
              </w:rPr>
              <w:t> </w:t>
            </w:r>
            <w:r>
              <w:rPr>
                <w:b/>
                <w:sz w:val="20"/>
              </w:rPr>
              <w:t>investigados </w:t>
            </w:r>
            <w:r>
              <w:rPr>
                <w:b/>
                <w:spacing w:val="-2"/>
                <w:sz w:val="20"/>
              </w:rPr>
              <w:t>oportunamente.</w:t>
            </w:r>
          </w:p>
        </w:tc>
        <w:tc>
          <w:tcPr>
            <w:tcW w:w="838" w:type="dxa"/>
            <w:vMerge w:val="restart"/>
          </w:tcPr>
          <w:p>
            <w:pPr>
              <w:pStyle w:val="TableParagraph"/>
              <w:jc w:val="left"/>
              <w:rPr>
                <w:b/>
                <w:sz w:val="20"/>
              </w:rPr>
            </w:pPr>
          </w:p>
          <w:p>
            <w:pPr>
              <w:pStyle w:val="TableParagraph"/>
              <w:spacing w:before="137"/>
              <w:jc w:val="left"/>
              <w:rPr>
                <w:b/>
                <w:sz w:val="20"/>
              </w:rPr>
            </w:pPr>
          </w:p>
          <w:p>
            <w:pPr>
              <w:pStyle w:val="TableParagraph"/>
              <w:ind w:left="141"/>
              <w:jc w:val="left"/>
              <w:rPr>
                <w:b/>
                <w:sz w:val="20"/>
              </w:rPr>
            </w:pPr>
            <w:r>
              <w:rPr>
                <w:b/>
                <w:sz w:val="20"/>
              </w:rPr>
              <w:t>≥ </w:t>
            </w:r>
            <w:r>
              <w:rPr>
                <w:b/>
                <w:spacing w:val="-5"/>
                <w:sz w:val="20"/>
              </w:rPr>
              <w:t>80%</w:t>
            </w:r>
          </w:p>
        </w:tc>
        <w:tc>
          <w:tcPr>
            <w:tcW w:w="3826" w:type="dxa"/>
          </w:tcPr>
          <w:p>
            <w:pPr>
              <w:pStyle w:val="TableParagraph"/>
              <w:spacing w:before="1"/>
              <w:jc w:val="left"/>
              <w:rPr>
                <w:b/>
                <w:sz w:val="20"/>
              </w:rPr>
            </w:pPr>
          </w:p>
          <w:p>
            <w:pPr>
              <w:pStyle w:val="TableParagraph"/>
              <w:ind w:left="16"/>
              <w:rPr>
                <w:b/>
                <w:sz w:val="20"/>
              </w:rPr>
            </w:pPr>
            <w:r>
              <w:rPr>
                <w:b/>
                <w:spacing w:val="-4"/>
                <w:sz w:val="20"/>
              </w:rPr>
              <w:t>100%</w:t>
            </w:r>
          </w:p>
        </w:tc>
      </w:tr>
      <w:tr>
        <w:trPr>
          <w:trHeight w:val="461" w:hRule="atLeast"/>
        </w:trPr>
        <w:tc>
          <w:tcPr>
            <w:tcW w:w="5386" w:type="dxa"/>
          </w:tcPr>
          <w:p>
            <w:pPr>
              <w:pStyle w:val="TableParagraph"/>
              <w:spacing w:line="230" w:lineRule="atLeast"/>
              <w:ind w:left="62" w:right="73"/>
              <w:jc w:val="left"/>
              <w:rPr>
                <w:sz w:val="20"/>
              </w:rPr>
            </w:pPr>
            <w:r>
              <w:rPr>
                <w:sz w:val="20"/>
              </w:rPr>
              <w:t>Número</w:t>
            </w:r>
            <w:r>
              <w:rPr>
                <w:spacing w:val="-3"/>
                <w:sz w:val="20"/>
              </w:rPr>
              <w:t> </w:t>
            </w:r>
            <w:r>
              <w:rPr>
                <w:sz w:val="20"/>
              </w:rPr>
              <w:t>de</w:t>
            </w:r>
            <w:r>
              <w:rPr>
                <w:spacing w:val="-5"/>
                <w:sz w:val="20"/>
              </w:rPr>
              <w:t> </w:t>
            </w:r>
            <w:r>
              <w:rPr>
                <w:sz w:val="20"/>
              </w:rPr>
              <w:t>casos</w:t>
            </w:r>
            <w:r>
              <w:rPr>
                <w:spacing w:val="-3"/>
                <w:sz w:val="20"/>
              </w:rPr>
              <w:t> </w:t>
            </w:r>
            <w:r>
              <w:rPr>
                <w:sz w:val="20"/>
              </w:rPr>
              <w:t>de</w:t>
            </w:r>
            <w:r>
              <w:rPr>
                <w:spacing w:val="-5"/>
                <w:sz w:val="20"/>
              </w:rPr>
              <w:t> </w:t>
            </w:r>
            <w:r>
              <w:rPr>
                <w:sz w:val="20"/>
              </w:rPr>
              <w:t>DAEI</w:t>
            </w:r>
            <w:r>
              <w:rPr>
                <w:spacing w:val="-3"/>
                <w:sz w:val="20"/>
              </w:rPr>
              <w:t> </w:t>
            </w:r>
            <w:r>
              <w:rPr>
                <w:sz w:val="20"/>
              </w:rPr>
              <w:t>investigadas</w:t>
            </w:r>
            <w:r>
              <w:rPr>
                <w:spacing w:val="-5"/>
                <w:sz w:val="20"/>
              </w:rPr>
              <w:t> </w:t>
            </w:r>
            <w:r>
              <w:rPr>
                <w:sz w:val="20"/>
              </w:rPr>
              <w:t>em</w:t>
            </w:r>
            <w:r>
              <w:rPr>
                <w:spacing w:val="-4"/>
                <w:sz w:val="20"/>
              </w:rPr>
              <w:t> </w:t>
            </w:r>
            <w:r>
              <w:rPr>
                <w:sz w:val="20"/>
              </w:rPr>
              <w:t>até</w:t>
            </w:r>
            <w:r>
              <w:rPr>
                <w:spacing w:val="-3"/>
                <w:sz w:val="20"/>
              </w:rPr>
              <w:t> </w:t>
            </w:r>
            <w:r>
              <w:rPr>
                <w:sz w:val="20"/>
              </w:rPr>
              <w:t>48</w:t>
            </w:r>
            <w:r>
              <w:rPr>
                <w:spacing w:val="-4"/>
                <w:sz w:val="20"/>
              </w:rPr>
              <w:t> </w:t>
            </w:r>
            <w:r>
              <w:rPr>
                <w:sz w:val="20"/>
              </w:rPr>
              <w:t>horas</w:t>
            </w:r>
            <w:r>
              <w:rPr>
                <w:spacing w:val="-3"/>
                <w:sz w:val="20"/>
              </w:rPr>
              <w:t> </w:t>
            </w:r>
            <w:r>
              <w:rPr>
                <w:sz w:val="20"/>
              </w:rPr>
              <w:t>da</w:t>
            </w:r>
            <w:r>
              <w:rPr>
                <w:spacing w:val="-5"/>
                <w:sz w:val="20"/>
              </w:rPr>
              <w:t> </w:t>
            </w:r>
            <w:r>
              <w:rPr>
                <w:sz w:val="20"/>
              </w:rPr>
              <w:t>data da notificação</w:t>
            </w:r>
          </w:p>
        </w:tc>
        <w:tc>
          <w:tcPr>
            <w:tcW w:w="838" w:type="dxa"/>
            <w:vMerge/>
            <w:tcBorders>
              <w:top w:val="nil"/>
            </w:tcBorders>
          </w:tcPr>
          <w:p>
            <w:pPr>
              <w:rPr>
                <w:sz w:val="2"/>
                <w:szCs w:val="2"/>
              </w:rPr>
            </w:pPr>
          </w:p>
        </w:tc>
        <w:tc>
          <w:tcPr>
            <w:tcW w:w="3826" w:type="dxa"/>
          </w:tcPr>
          <w:p>
            <w:pPr>
              <w:pStyle w:val="TableParagraph"/>
              <w:spacing w:before="105"/>
              <w:ind w:left="16"/>
              <w:rPr>
                <w:sz w:val="20"/>
              </w:rPr>
            </w:pPr>
            <w:r>
              <w:rPr>
                <w:spacing w:val="-5"/>
                <w:sz w:val="20"/>
              </w:rPr>
              <w:t>422</w:t>
            </w:r>
          </w:p>
        </w:tc>
      </w:tr>
      <w:tr>
        <w:trPr>
          <w:trHeight w:val="252" w:hRule="atLeast"/>
        </w:trPr>
        <w:tc>
          <w:tcPr>
            <w:tcW w:w="5386" w:type="dxa"/>
          </w:tcPr>
          <w:p>
            <w:pPr>
              <w:pStyle w:val="TableParagraph"/>
              <w:spacing w:line="221" w:lineRule="exact" w:before="11"/>
              <w:ind w:left="62"/>
              <w:jc w:val="left"/>
              <w:rPr>
                <w:sz w:val="20"/>
              </w:rPr>
            </w:pPr>
            <w:r>
              <w:rPr>
                <w:sz w:val="20"/>
              </w:rPr>
              <w:t>Número</w:t>
            </w:r>
            <w:r>
              <w:rPr>
                <w:spacing w:val="-3"/>
                <w:sz w:val="20"/>
              </w:rPr>
              <w:t> </w:t>
            </w:r>
            <w:r>
              <w:rPr>
                <w:sz w:val="20"/>
              </w:rPr>
              <w:t>de</w:t>
            </w:r>
            <w:r>
              <w:rPr>
                <w:spacing w:val="-3"/>
                <w:sz w:val="20"/>
              </w:rPr>
              <w:t> </w:t>
            </w:r>
            <w:r>
              <w:rPr>
                <w:sz w:val="20"/>
              </w:rPr>
              <w:t>casos</w:t>
            </w:r>
            <w:r>
              <w:rPr>
                <w:spacing w:val="-2"/>
                <w:sz w:val="20"/>
              </w:rPr>
              <w:t> </w:t>
            </w:r>
            <w:r>
              <w:rPr>
                <w:sz w:val="20"/>
              </w:rPr>
              <w:t>de</w:t>
            </w:r>
            <w:r>
              <w:rPr>
                <w:spacing w:val="-4"/>
                <w:sz w:val="20"/>
              </w:rPr>
              <w:t> </w:t>
            </w:r>
            <w:r>
              <w:rPr>
                <w:sz w:val="20"/>
              </w:rPr>
              <w:t>DAEI</w:t>
            </w:r>
            <w:r>
              <w:rPr>
                <w:spacing w:val="-2"/>
                <w:sz w:val="20"/>
              </w:rPr>
              <w:t> </w:t>
            </w:r>
            <w:r>
              <w:rPr>
                <w:sz w:val="20"/>
              </w:rPr>
              <w:t>notificadas</w:t>
            </w:r>
            <w:r>
              <w:rPr>
                <w:spacing w:val="-1"/>
                <w:sz w:val="20"/>
              </w:rPr>
              <w:t> </w:t>
            </w:r>
            <w:r>
              <w:rPr>
                <w:sz w:val="20"/>
              </w:rPr>
              <w:t>no</w:t>
            </w:r>
            <w:r>
              <w:rPr>
                <w:spacing w:val="-2"/>
                <w:sz w:val="20"/>
              </w:rPr>
              <w:t> período</w:t>
            </w:r>
          </w:p>
        </w:tc>
        <w:tc>
          <w:tcPr>
            <w:tcW w:w="838" w:type="dxa"/>
            <w:vMerge/>
            <w:tcBorders>
              <w:top w:val="nil"/>
            </w:tcBorders>
          </w:tcPr>
          <w:p>
            <w:pPr>
              <w:rPr>
                <w:sz w:val="2"/>
                <w:szCs w:val="2"/>
              </w:rPr>
            </w:pPr>
          </w:p>
        </w:tc>
        <w:tc>
          <w:tcPr>
            <w:tcW w:w="3826" w:type="dxa"/>
          </w:tcPr>
          <w:p>
            <w:pPr>
              <w:pStyle w:val="TableParagraph"/>
              <w:spacing w:before="1"/>
              <w:ind w:left="16"/>
              <w:rPr>
                <w:sz w:val="20"/>
              </w:rPr>
            </w:pPr>
            <w:r>
              <w:rPr>
                <w:spacing w:val="-5"/>
                <w:sz w:val="20"/>
              </w:rPr>
              <w:t>422</w:t>
            </w:r>
          </w:p>
        </w:tc>
      </w:tr>
    </w:tbl>
    <w:p>
      <w:pPr>
        <w:spacing w:before="2"/>
        <w:ind w:left="6514" w:right="0" w:firstLine="0"/>
        <w:jc w:val="left"/>
        <w:rPr>
          <w:i/>
          <w:sz w:val="20"/>
        </w:rPr>
      </w:pPr>
      <w:bookmarkStart w:name="Fonte: Sistema MV atualizado em 07/11." w:id="27"/>
      <w:bookmarkEnd w:id="27"/>
      <w:r>
        <w:rPr/>
      </w:r>
      <w:r>
        <w:rPr>
          <w:i/>
          <w:sz w:val="24"/>
        </w:rPr>
        <w:t>Fonte:</w:t>
      </w:r>
      <w:r>
        <w:rPr>
          <w:i/>
          <w:spacing w:val="-3"/>
          <w:sz w:val="24"/>
        </w:rPr>
        <w:t> </w:t>
      </w:r>
      <w:r>
        <w:rPr>
          <w:i/>
          <w:sz w:val="24"/>
        </w:rPr>
        <w:t>Sistema</w:t>
      </w:r>
      <w:r>
        <w:rPr>
          <w:i/>
          <w:spacing w:val="-3"/>
          <w:sz w:val="24"/>
        </w:rPr>
        <w:t> </w:t>
      </w:r>
      <w:r>
        <w:rPr>
          <w:i/>
          <w:sz w:val="24"/>
        </w:rPr>
        <w:t>MV</w:t>
      </w:r>
      <w:r>
        <w:rPr>
          <w:i/>
          <w:spacing w:val="-5"/>
          <w:sz w:val="24"/>
        </w:rPr>
        <w:t> </w:t>
      </w:r>
      <w:r>
        <w:rPr>
          <w:i/>
          <w:sz w:val="24"/>
        </w:rPr>
        <w:t>atualizado</w:t>
      </w:r>
      <w:r>
        <w:rPr>
          <w:i/>
          <w:spacing w:val="-2"/>
          <w:sz w:val="24"/>
        </w:rPr>
        <w:t> </w:t>
      </w:r>
      <w:r>
        <w:rPr>
          <w:i/>
          <w:sz w:val="24"/>
        </w:rPr>
        <w:t>em</w:t>
      </w:r>
      <w:r>
        <w:rPr>
          <w:i/>
          <w:spacing w:val="-3"/>
          <w:sz w:val="24"/>
        </w:rPr>
        <w:t> </w:t>
      </w:r>
      <w:r>
        <w:rPr>
          <w:i/>
          <w:spacing w:val="-2"/>
          <w:sz w:val="24"/>
        </w:rPr>
        <w:t>07/11</w:t>
      </w:r>
      <w:r>
        <w:rPr>
          <w:i/>
          <w:spacing w:val="-2"/>
          <w:sz w:val="20"/>
        </w:rPr>
        <w:t>.</w:t>
      </w:r>
    </w:p>
    <w:p>
      <w:pPr>
        <w:pStyle w:val="BodyText"/>
        <w:rPr>
          <w:i/>
        </w:rPr>
      </w:pPr>
    </w:p>
    <w:p>
      <w:pPr>
        <w:pStyle w:val="BodyText"/>
        <w:spacing w:before="22"/>
        <w:rPr>
          <w:i/>
        </w:rPr>
      </w:pPr>
    </w:p>
    <w:p>
      <w:pPr>
        <w:pStyle w:val="ListParagraph"/>
        <w:numPr>
          <w:ilvl w:val="1"/>
          <w:numId w:val="2"/>
        </w:numPr>
        <w:tabs>
          <w:tab w:pos="1313" w:val="left" w:leader="none"/>
        </w:tabs>
        <w:spacing w:line="240" w:lineRule="auto" w:before="1" w:after="0"/>
        <w:ind w:left="1313" w:right="0" w:hanging="720"/>
        <w:jc w:val="left"/>
        <w:rPr>
          <w:b/>
          <w:sz w:val="24"/>
        </w:rPr>
      </w:pPr>
      <w:bookmarkStart w:name="4.1. Análise Crítica" w:id="28"/>
      <w:bookmarkEnd w:id="28"/>
      <w:r>
        <w:rPr>
          <w:rFonts w:ascii="Arial" w:hAnsi="Arial"/>
          <w:b/>
          <w:sz w:val="24"/>
        </w:rPr>
      </w:r>
      <w:r>
        <w:rPr>
          <w:b/>
          <w:sz w:val="24"/>
        </w:rPr>
        <w:t>Análise</w:t>
      </w:r>
      <w:r>
        <w:rPr>
          <w:b/>
          <w:spacing w:val="-4"/>
          <w:sz w:val="24"/>
        </w:rPr>
        <w:t> </w:t>
      </w:r>
      <w:r>
        <w:rPr>
          <w:b/>
          <w:spacing w:val="-2"/>
          <w:sz w:val="24"/>
        </w:rPr>
        <w:t>Crítica</w:t>
      </w:r>
    </w:p>
    <w:p>
      <w:pPr>
        <w:pStyle w:val="BodyText"/>
        <w:spacing w:before="138"/>
        <w:rPr>
          <w:b/>
        </w:rPr>
      </w:pPr>
    </w:p>
    <w:p>
      <w:pPr>
        <w:pStyle w:val="BodyText"/>
        <w:spacing w:line="360" w:lineRule="auto"/>
        <w:ind w:left="593" w:right="747" w:firstLine="720"/>
        <w:jc w:val="both"/>
      </w:pPr>
      <w:r>
        <w:rPr/>
        <w:t>Em novembro de 2025, o HUGO manteve desempenho sólido em seus indicadores assistenciais e operacionais, reafirmando sua posição como unidade de referência estadual em alta </w:t>
      </w:r>
      <w:r>
        <w:rPr>
          <w:spacing w:val="-2"/>
        </w:rPr>
        <w:t>complexidade.</w:t>
      </w:r>
    </w:p>
    <w:p>
      <w:pPr>
        <w:pStyle w:val="BodyText"/>
        <w:spacing w:line="360" w:lineRule="auto"/>
        <w:ind w:left="593" w:right="747" w:firstLine="720"/>
        <w:jc w:val="both"/>
      </w:pPr>
      <w:r>
        <w:rPr/>
        <w:t>A Taxa de Ocupação Hospitalar (105,33%) apresentou redução de quase 3 pontos percentuais em relação a outubro, sinalizando progressivo alívio da pressão sobre a capacidade instalada ao longo do segundo semestre. Ainda assim, o indicador permanece acima da meta de 90%, evidenciando a necessidade de aperfeiçoamento contínuo dos fluxos de alta e transferência.</w:t>
      </w:r>
    </w:p>
    <w:p>
      <w:pPr>
        <w:pStyle w:val="BodyText"/>
        <w:spacing w:line="360" w:lineRule="auto"/>
        <w:ind w:left="593" w:right="747" w:firstLine="720"/>
        <w:jc w:val="both"/>
      </w:pPr>
      <w:r>
        <w:rPr/>
        <w:t>O Tempo Médio de Permanência (8,04 dias) registrou elevação em relação ao mês anterior (7,66), mantendo-se acima do parâmetro contratual (≤7 dias). Essa variação está associada a fatores assistenciais e sociais, tais como:</w:t>
      </w:r>
    </w:p>
    <w:p>
      <w:pPr>
        <w:pStyle w:val="ListParagraph"/>
        <w:numPr>
          <w:ilvl w:val="0"/>
          <w:numId w:val="7"/>
        </w:numPr>
        <w:tabs>
          <w:tab w:pos="1312" w:val="left" w:leader="none"/>
        </w:tabs>
        <w:spacing w:line="293" w:lineRule="exact" w:before="0" w:after="0"/>
        <w:ind w:left="1312" w:right="0" w:hanging="359"/>
        <w:jc w:val="both"/>
        <w:rPr>
          <w:sz w:val="24"/>
        </w:rPr>
      </w:pPr>
      <w:r>
        <w:rPr>
          <w:sz w:val="24"/>
        </w:rPr>
        <w:t>Maior</w:t>
      </w:r>
      <w:r>
        <w:rPr>
          <w:spacing w:val="-5"/>
          <w:sz w:val="24"/>
        </w:rPr>
        <w:t> </w:t>
      </w:r>
      <w:r>
        <w:rPr>
          <w:sz w:val="24"/>
        </w:rPr>
        <w:t>gravidade</w:t>
      </w:r>
      <w:r>
        <w:rPr>
          <w:spacing w:val="-4"/>
          <w:sz w:val="24"/>
        </w:rPr>
        <w:t> </w:t>
      </w:r>
      <w:r>
        <w:rPr>
          <w:sz w:val="24"/>
        </w:rPr>
        <w:t>dos</w:t>
      </w:r>
      <w:r>
        <w:rPr>
          <w:spacing w:val="-5"/>
          <w:sz w:val="24"/>
        </w:rPr>
        <w:t> </w:t>
      </w:r>
      <w:r>
        <w:rPr>
          <w:sz w:val="24"/>
        </w:rPr>
        <w:t>pacientes</w:t>
      </w:r>
      <w:r>
        <w:rPr>
          <w:spacing w:val="-3"/>
          <w:sz w:val="24"/>
        </w:rPr>
        <w:t> </w:t>
      </w:r>
      <w:r>
        <w:rPr>
          <w:spacing w:val="-2"/>
          <w:sz w:val="24"/>
        </w:rPr>
        <w:t>atendidos;</w:t>
      </w:r>
    </w:p>
    <w:p>
      <w:pPr>
        <w:pStyle w:val="ListParagraph"/>
        <w:numPr>
          <w:ilvl w:val="0"/>
          <w:numId w:val="7"/>
        </w:numPr>
        <w:tabs>
          <w:tab w:pos="1312" w:val="left" w:leader="none"/>
        </w:tabs>
        <w:spacing w:line="240" w:lineRule="auto" w:before="148" w:after="0"/>
        <w:ind w:left="1312" w:right="0" w:hanging="359"/>
        <w:jc w:val="both"/>
        <w:rPr>
          <w:sz w:val="24"/>
        </w:rPr>
      </w:pPr>
      <w:r>
        <w:rPr>
          <w:sz w:val="24"/>
        </w:rPr>
        <w:t>Necessidade</w:t>
      </w:r>
      <w:r>
        <w:rPr>
          <w:spacing w:val="-9"/>
          <w:sz w:val="24"/>
        </w:rPr>
        <w:t> </w:t>
      </w:r>
      <w:r>
        <w:rPr>
          <w:sz w:val="24"/>
        </w:rPr>
        <w:t>de</w:t>
      </w:r>
      <w:r>
        <w:rPr>
          <w:spacing w:val="-4"/>
          <w:sz w:val="24"/>
        </w:rPr>
        <w:t> </w:t>
      </w:r>
      <w:r>
        <w:rPr>
          <w:sz w:val="24"/>
        </w:rPr>
        <w:t>terapias</w:t>
      </w:r>
      <w:r>
        <w:rPr>
          <w:spacing w:val="-4"/>
          <w:sz w:val="24"/>
        </w:rPr>
        <w:t> </w:t>
      </w:r>
      <w:r>
        <w:rPr>
          <w:sz w:val="24"/>
        </w:rPr>
        <w:t>prolongadas</w:t>
      </w:r>
      <w:r>
        <w:rPr>
          <w:spacing w:val="-5"/>
          <w:sz w:val="24"/>
        </w:rPr>
        <w:t> </w:t>
      </w:r>
      <w:r>
        <w:rPr>
          <w:sz w:val="24"/>
        </w:rPr>
        <w:t>e</w:t>
      </w:r>
      <w:r>
        <w:rPr>
          <w:spacing w:val="-6"/>
          <w:sz w:val="24"/>
        </w:rPr>
        <w:t> </w:t>
      </w:r>
      <w:r>
        <w:rPr>
          <w:sz w:val="24"/>
        </w:rPr>
        <w:t>ventilação</w:t>
      </w:r>
      <w:r>
        <w:rPr>
          <w:spacing w:val="-4"/>
          <w:sz w:val="24"/>
        </w:rPr>
        <w:t> </w:t>
      </w:r>
      <w:r>
        <w:rPr>
          <w:spacing w:val="-2"/>
          <w:sz w:val="24"/>
        </w:rPr>
        <w:t>mecânica;</w:t>
      </w:r>
    </w:p>
    <w:p>
      <w:pPr>
        <w:pStyle w:val="ListParagraph"/>
        <w:numPr>
          <w:ilvl w:val="0"/>
          <w:numId w:val="7"/>
        </w:numPr>
        <w:tabs>
          <w:tab w:pos="1312" w:val="left" w:leader="none"/>
        </w:tabs>
        <w:spacing w:line="240" w:lineRule="auto" w:before="146" w:after="0"/>
        <w:ind w:left="1312" w:right="0" w:hanging="359"/>
        <w:jc w:val="both"/>
        <w:rPr>
          <w:sz w:val="24"/>
        </w:rPr>
      </w:pPr>
      <w:r>
        <w:rPr>
          <w:sz w:val="24"/>
        </w:rPr>
        <w:t>Infecções</w:t>
      </w:r>
      <w:r>
        <w:rPr>
          <w:spacing w:val="-9"/>
          <w:sz w:val="24"/>
        </w:rPr>
        <w:t> </w:t>
      </w:r>
      <w:r>
        <w:rPr>
          <w:sz w:val="24"/>
        </w:rPr>
        <w:t>por</w:t>
      </w:r>
      <w:r>
        <w:rPr>
          <w:spacing w:val="-7"/>
          <w:sz w:val="24"/>
        </w:rPr>
        <w:t> </w:t>
      </w:r>
      <w:r>
        <w:rPr>
          <w:sz w:val="24"/>
        </w:rPr>
        <w:t>microrganismos</w:t>
      </w:r>
      <w:r>
        <w:rPr>
          <w:spacing w:val="-2"/>
          <w:sz w:val="24"/>
        </w:rPr>
        <w:t> multirresistentes;</w:t>
      </w:r>
    </w:p>
    <w:p>
      <w:pPr>
        <w:pStyle w:val="ListParagraph"/>
        <w:numPr>
          <w:ilvl w:val="0"/>
          <w:numId w:val="7"/>
        </w:numPr>
        <w:tabs>
          <w:tab w:pos="1312" w:val="left" w:leader="none"/>
        </w:tabs>
        <w:spacing w:line="240" w:lineRule="auto" w:before="148" w:after="0"/>
        <w:ind w:left="1312" w:right="0" w:hanging="359"/>
        <w:jc w:val="both"/>
        <w:rPr>
          <w:sz w:val="24"/>
        </w:rPr>
      </w:pPr>
      <w:r>
        <w:rPr>
          <w:sz w:val="24"/>
        </w:rPr>
        <w:t>Limitações</w:t>
      </w:r>
      <w:r>
        <w:rPr>
          <w:spacing w:val="-4"/>
          <w:sz w:val="24"/>
        </w:rPr>
        <w:t> </w:t>
      </w:r>
      <w:r>
        <w:rPr>
          <w:sz w:val="24"/>
        </w:rPr>
        <w:t>para</w:t>
      </w:r>
      <w:r>
        <w:rPr>
          <w:spacing w:val="-6"/>
          <w:sz w:val="24"/>
        </w:rPr>
        <w:t> </w:t>
      </w:r>
      <w:r>
        <w:rPr>
          <w:sz w:val="24"/>
        </w:rPr>
        <w:t>desospitalização</w:t>
      </w:r>
      <w:r>
        <w:rPr>
          <w:spacing w:val="-3"/>
          <w:sz w:val="24"/>
        </w:rPr>
        <w:t> </w:t>
      </w:r>
      <w:r>
        <w:rPr>
          <w:sz w:val="24"/>
        </w:rPr>
        <w:t>por</w:t>
      </w:r>
      <w:r>
        <w:rPr>
          <w:spacing w:val="-5"/>
          <w:sz w:val="24"/>
        </w:rPr>
        <w:t> </w:t>
      </w:r>
      <w:r>
        <w:rPr>
          <w:sz w:val="24"/>
        </w:rPr>
        <w:t>motivos</w:t>
      </w:r>
      <w:r>
        <w:rPr>
          <w:spacing w:val="-5"/>
          <w:sz w:val="24"/>
        </w:rPr>
        <w:t> </w:t>
      </w:r>
      <w:r>
        <w:rPr>
          <w:spacing w:val="-2"/>
          <w:sz w:val="24"/>
        </w:rPr>
        <w:t>sociais.</w:t>
      </w:r>
    </w:p>
    <w:p>
      <w:pPr>
        <w:pStyle w:val="BodyText"/>
        <w:spacing w:line="360" w:lineRule="auto" w:before="147"/>
        <w:ind w:left="593" w:right="750"/>
        <w:jc w:val="both"/>
      </w:pPr>
      <w:r>
        <w:rPr/>
        <w:t>O Índice de Intervalo de Substituição (14,88 horas), embora superior ao mês anterior, permanece dentro da meta contratual (≤24h), demonstrando que a dinâmica de liberação e reposição de leitos segue adequada.</w:t>
      </w:r>
    </w:p>
    <w:p>
      <w:pPr>
        <w:pStyle w:val="BodyText"/>
        <w:ind w:left="593"/>
        <w:jc w:val="both"/>
      </w:pPr>
      <w:r>
        <w:rPr/>
        <w:t>Os</w:t>
      </w:r>
      <w:r>
        <w:rPr>
          <w:spacing w:val="-6"/>
        </w:rPr>
        <w:t> </w:t>
      </w:r>
      <w:r>
        <w:rPr/>
        <w:t>indicadores</w:t>
      </w:r>
      <w:r>
        <w:rPr>
          <w:spacing w:val="-4"/>
        </w:rPr>
        <w:t> </w:t>
      </w:r>
      <w:r>
        <w:rPr/>
        <w:t>de</w:t>
      </w:r>
      <w:r>
        <w:rPr>
          <w:spacing w:val="-6"/>
        </w:rPr>
        <w:t> </w:t>
      </w:r>
      <w:r>
        <w:rPr/>
        <w:t>qualidade</w:t>
      </w:r>
      <w:r>
        <w:rPr>
          <w:spacing w:val="-3"/>
        </w:rPr>
        <w:t> </w:t>
      </w:r>
      <w:r>
        <w:rPr/>
        <w:t>da</w:t>
      </w:r>
      <w:r>
        <w:rPr>
          <w:spacing w:val="-6"/>
        </w:rPr>
        <w:t> </w:t>
      </w:r>
      <w:r>
        <w:rPr/>
        <w:t>alta</w:t>
      </w:r>
      <w:r>
        <w:rPr>
          <w:spacing w:val="-5"/>
        </w:rPr>
        <w:t> </w:t>
      </w:r>
      <w:r>
        <w:rPr/>
        <w:t>hospitalar</w:t>
      </w:r>
      <w:r>
        <w:rPr>
          <w:spacing w:val="-4"/>
        </w:rPr>
        <w:t> </w:t>
      </w:r>
      <w:r>
        <w:rPr/>
        <w:t>mantiveram</w:t>
      </w:r>
      <w:r>
        <w:rPr>
          <w:spacing w:val="-3"/>
        </w:rPr>
        <w:t> </w:t>
      </w:r>
      <w:r>
        <w:rPr/>
        <w:t>resultados</w:t>
      </w:r>
      <w:r>
        <w:rPr>
          <w:spacing w:val="-3"/>
        </w:rPr>
        <w:t> </w:t>
      </w:r>
      <w:r>
        <w:rPr>
          <w:spacing w:val="-2"/>
        </w:rPr>
        <w:t>positivos:</w:t>
      </w:r>
    </w:p>
    <w:p>
      <w:pPr>
        <w:pStyle w:val="ListParagraph"/>
        <w:numPr>
          <w:ilvl w:val="0"/>
          <w:numId w:val="7"/>
        </w:numPr>
        <w:tabs>
          <w:tab w:pos="1312" w:val="left" w:leader="none"/>
        </w:tabs>
        <w:spacing w:line="240" w:lineRule="auto" w:before="137" w:after="0"/>
        <w:ind w:left="1312" w:right="0" w:hanging="359"/>
        <w:jc w:val="both"/>
        <w:rPr>
          <w:sz w:val="24"/>
        </w:rPr>
      </w:pPr>
      <w:r>
        <w:rPr>
          <w:sz w:val="24"/>
        </w:rPr>
        <w:t>Taxa</w:t>
      </w:r>
      <w:r>
        <w:rPr>
          <w:spacing w:val="-3"/>
          <w:sz w:val="24"/>
        </w:rPr>
        <w:t> </w:t>
      </w:r>
      <w:r>
        <w:rPr>
          <w:sz w:val="24"/>
        </w:rPr>
        <w:t>de</w:t>
      </w:r>
      <w:r>
        <w:rPr>
          <w:spacing w:val="-4"/>
          <w:sz w:val="24"/>
        </w:rPr>
        <w:t> </w:t>
      </w:r>
      <w:r>
        <w:rPr>
          <w:sz w:val="24"/>
        </w:rPr>
        <w:t>Readmissão</w:t>
      </w:r>
      <w:r>
        <w:rPr>
          <w:spacing w:val="-2"/>
          <w:sz w:val="24"/>
        </w:rPr>
        <w:t> </w:t>
      </w:r>
      <w:r>
        <w:rPr>
          <w:sz w:val="24"/>
        </w:rPr>
        <w:t>Hospitalar</w:t>
      </w:r>
      <w:r>
        <w:rPr>
          <w:spacing w:val="-2"/>
          <w:sz w:val="24"/>
        </w:rPr>
        <w:t> </w:t>
      </w:r>
      <w:r>
        <w:rPr>
          <w:sz w:val="24"/>
        </w:rPr>
        <w:t>(5,17%),</w:t>
      </w:r>
      <w:r>
        <w:rPr>
          <w:spacing w:val="-3"/>
          <w:sz w:val="24"/>
        </w:rPr>
        <w:t> </w:t>
      </w:r>
      <w:r>
        <w:rPr>
          <w:sz w:val="24"/>
        </w:rPr>
        <w:t>abaixo</w:t>
      </w:r>
      <w:r>
        <w:rPr>
          <w:spacing w:val="-2"/>
          <w:sz w:val="24"/>
        </w:rPr>
        <w:t> </w:t>
      </w:r>
      <w:r>
        <w:rPr>
          <w:sz w:val="24"/>
        </w:rPr>
        <w:t>do</w:t>
      </w:r>
      <w:r>
        <w:rPr>
          <w:spacing w:val="-3"/>
          <w:sz w:val="24"/>
        </w:rPr>
        <w:t> </w:t>
      </w:r>
      <w:r>
        <w:rPr>
          <w:sz w:val="24"/>
        </w:rPr>
        <w:t>limite</w:t>
      </w:r>
      <w:r>
        <w:rPr>
          <w:spacing w:val="-2"/>
          <w:sz w:val="24"/>
        </w:rPr>
        <w:t> </w:t>
      </w:r>
      <w:r>
        <w:rPr>
          <w:sz w:val="24"/>
        </w:rPr>
        <w:t>de</w:t>
      </w:r>
      <w:r>
        <w:rPr>
          <w:spacing w:val="-4"/>
          <w:sz w:val="24"/>
        </w:rPr>
        <w:t> </w:t>
      </w:r>
      <w:r>
        <w:rPr>
          <w:spacing w:val="-5"/>
          <w:sz w:val="24"/>
        </w:rPr>
        <w:t>8%;</w:t>
      </w:r>
    </w:p>
    <w:p>
      <w:pPr>
        <w:pStyle w:val="ListParagraph"/>
        <w:spacing w:after="0" w:line="240" w:lineRule="auto"/>
        <w:jc w:val="both"/>
        <w:rPr>
          <w:sz w:val="24"/>
        </w:rPr>
        <w:sectPr>
          <w:pgSz w:w="11910" w:h="16840"/>
          <w:pgMar w:header="358" w:footer="560" w:top="1580" w:bottom="780" w:left="708" w:right="0"/>
        </w:sectPr>
      </w:pPr>
    </w:p>
    <w:p>
      <w:pPr>
        <w:pStyle w:val="BodyText"/>
      </w:pPr>
    </w:p>
    <w:p>
      <w:pPr>
        <w:pStyle w:val="BodyText"/>
      </w:pPr>
    </w:p>
    <w:p>
      <w:pPr>
        <w:pStyle w:val="BodyText"/>
        <w:spacing w:before="23"/>
      </w:pPr>
    </w:p>
    <w:p>
      <w:pPr>
        <w:pStyle w:val="ListParagraph"/>
        <w:numPr>
          <w:ilvl w:val="0"/>
          <w:numId w:val="7"/>
        </w:numPr>
        <w:tabs>
          <w:tab w:pos="1313" w:val="left" w:leader="none"/>
        </w:tabs>
        <w:spacing w:line="352" w:lineRule="auto" w:before="0" w:after="0"/>
        <w:ind w:left="1313" w:right="745" w:hanging="360"/>
        <w:jc w:val="both"/>
        <w:rPr>
          <w:sz w:val="24"/>
        </w:rPr>
      </w:pPr>
      <w:r>
        <w:rPr>
          <w:sz w:val="24"/>
        </w:rPr>
        <w:t>Readmissão em UTI (1,91%), com melhora em relação a outubro (2,56%) e bem inferior à meta de 5%.</w:t>
      </w:r>
    </w:p>
    <w:p>
      <w:pPr>
        <w:pStyle w:val="BodyText"/>
        <w:spacing w:before="146"/>
      </w:pPr>
    </w:p>
    <w:p>
      <w:pPr>
        <w:pStyle w:val="BodyText"/>
        <w:spacing w:line="360" w:lineRule="auto"/>
        <w:ind w:left="593" w:right="755"/>
        <w:jc w:val="both"/>
      </w:pPr>
      <w:r>
        <w:rPr/>
        <w:t>Esses dados reafirmam a efetividade das condutas médicas e multiprofissionais, com desfechos clínicos satisfatórios e adequado planejamento de alta.</w:t>
      </w:r>
    </w:p>
    <w:p>
      <w:pPr>
        <w:pStyle w:val="BodyText"/>
        <w:ind w:left="593"/>
        <w:jc w:val="both"/>
      </w:pPr>
      <w:r>
        <w:rPr/>
        <w:t>No</w:t>
      </w:r>
      <w:r>
        <w:rPr>
          <w:spacing w:val="-7"/>
        </w:rPr>
        <w:t> </w:t>
      </w:r>
      <w:r>
        <w:rPr/>
        <w:t>eixo</w:t>
      </w:r>
      <w:r>
        <w:rPr>
          <w:spacing w:val="-4"/>
        </w:rPr>
        <w:t> </w:t>
      </w:r>
      <w:r>
        <w:rPr/>
        <w:t>cirúrgico,</w:t>
      </w:r>
      <w:r>
        <w:rPr>
          <w:spacing w:val="-4"/>
        </w:rPr>
        <w:t> </w:t>
      </w:r>
      <w:r>
        <w:rPr/>
        <w:t>os</w:t>
      </w:r>
      <w:r>
        <w:rPr>
          <w:spacing w:val="-5"/>
        </w:rPr>
        <w:t> </w:t>
      </w:r>
      <w:r>
        <w:rPr/>
        <w:t>resultados</w:t>
      </w:r>
      <w:r>
        <w:rPr>
          <w:spacing w:val="-5"/>
        </w:rPr>
        <w:t> </w:t>
      </w:r>
      <w:r>
        <w:rPr/>
        <w:t>permaneceram</w:t>
      </w:r>
      <w:r>
        <w:rPr>
          <w:spacing w:val="-3"/>
        </w:rPr>
        <w:t> </w:t>
      </w:r>
      <w:r>
        <w:rPr/>
        <w:t>dentro</w:t>
      </w:r>
      <w:r>
        <w:rPr>
          <w:spacing w:val="-4"/>
        </w:rPr>
        <w:t> </w:t>
      </w:r>
      <w:r>
        <w:rPr/>
        <w:t>dos</w:t>
      </w:r>
      <w:r>
        <w:rPr>
          <w:spacing w:val="-5"/>
        </w:rPr>
        <w:t> </w:t>
      </w:r>
      <w:r>
        <w:rPr/>
        <w:t>parâmetros</w:t>
      </w:r>
      <w:r>
        <w:rPr>
          <w:spacing w:val="-3"/>
        </w:rPr>
        <w:t> </w:t>
      </w:r>
      <w:r>
        <w:rPr>
          <w:spacing w:val="-2"/>
        </w:rPr>
        <w:t>esperados:</w:t>
      </w:r>
    </w:p>
    <w:p>
      <w:pPr>
        <w:pStyle w:val="ListParagraph"/>
        <w:numPr>
          <w:ilvl w:val="0"/>
          <w:numId w:val="7"/>
        </w:numPr>
        <w:tabs>
          <w:tab w:pos="1313" w:val="left" w:leader="none"/>
        </w:tabs>
        <w:spacing w:line="352" w:lineRule="auto" w:before="139" w:after="0"/>
        <w:ind w:left="1313" w:right="750" w:hanging="360"/>
        <w:jc w:val="both"/>
        <w:rPr>
          <w:sz w:val="24"/>
        </w:rPr>
      </w:pPr>
      <w:r>
        <w:rPr>
          <w:sz w:val="24"/>
        </w:rPr>
        <w:t>Suspensão de cirurgias eletivas (1,89%), abaixo da meta de 5%, ainda que com leve elevação em relação a outubro;</w:t>
      </w:r>
    </w:p>
    <w:p>
      <w:pPr>
        <w:pStyle w:val="ListParagraph"/>
        <w:numPr>
          <w:ilvl w:val="0"/>
          <w:numId w:val="7"/>
        </w:numPr>
        <w:tabs>
          <w:tab w:pos="1313" w:val="left" w:leader="none"/>
        </w:tabs>
        <w:spacing w:line="357" w:lineRule="auto" w:before="8" w:after="0"/>
        <w:ind w:left="1313" w:right="743" w:hanging="360"/>
        <w:jc w:val="both"/>
        <w:rPr>
          <w:sz w:val="24"/>
        </w:rPr>
      </w:pPr>
      <w:r>
        <w:rPr>
          <w:sz w:val="24"/>
        </w:rPr>
        <w:t>4,55% das cirurgias realizadas com TMAT expirado, resultado amplamente dentro do parâmetro pactuado (&lt;25%</w:t>
      </w:r>
      <w:r>
        <w:rPr>
          <w:spacing w:val="-2"/>
          <w:sz w:val="24"/>
        </w:rPr>
        <w:t> </w:t>
      </w:r>
      <w:r>
        <w:rPr>
          <w:sz w:val="24"/>
        </w:rPr>
        <w:t>para</w:t>
      </w:r>
      <w:r>
        <w:rPr>
          <w:spacing w:val="-1"/>
          <w:sz w:val="24"/>
        </w:rPr>
        <w:t> </w:t>
      </w:r>
      <w:r>
        <w:rPr>
          <w:sz w:val="24"/>
        </w:rPr>
        <w:t>o segundo</w:t>
      </w:r>
      <w:r>
        <w:rPr>
          <w:spacing w:val="-2"/>
          <w:sz w:val="24"/>
        </w:rPr>
        <w:t> </w:t>
      </w:r>
      <w:r>
        <w:rPr>
          <w:sz w:val="24"/>
        </w:rPr>
        <w:t>ano), refletindo o esforço</w:t>
      </w:r>
      <w:r>
        <w:rPr>
          <w:spacing w:val="-2"/>
          <w:sz w:val="24"/>
        </w:rPr>
        <w:t> </w:t>
      </w:r>
      <w:r>
        <w:rPr>
          <w:sz w:val="24"/>
        </w:rPr>
        <w:t>contínuo para</w:t>
      </w:r>
      <w:r>
        <w:rPr>
          <w:spacing w:val="-1"/>
          <w:sz w:val="24"/>
        </w:rPr>
        <w:t> </w:t>
      </w:r>
      <w:r>
        <w:rPr>
          <w:sz w:val="24"/>
        </w:rPr>
        <w:t>redução do passivo histórico da</w:t>
      </w:r>
      <w:r>
        <w:rPr>
          <w:spacing w:val="-1"/>
          <w:sz w:val="24"/>
        </w:rPr>
        <w:t> </w:t>
      </w:r>
      <w:r>
        <w:rPr>
          <w:sz w:val="24"/>
        </w:rPr>
        <w:t>fila cirúrgica. As ações de</w:t>
      </w:r>
      <w:r>
        <w:rPr>
          <w:spacing w:val="-1"/>
          <w:sz w:val="24"/>
        </w:rPr>
        <w:t> </w:t>
      </w:r>
      <w:r>
        <w:rPr>
          <w:sz w:val="24"/>
        </w:rPr>
        <w:t>mutirões e</w:t>
      </w:r>
      <w:r>
        <w:rPr>
          <w:spacing w:val="-1"/>
          <w:sz w:val="24"/>
        </w:rPr>
        <w:t> </w:t>
      </w:r>
      <w:r>
        <w:rPr>
          <w:sz w:val="24"/>
        </w:rPr>
        <w:t>priorização de</w:t>
      </w:r>
      <w:r>
        <w:rPr>
          <w:spacing w:val="-1"/>
          <w:sz w:val="24"/>
        </w:rPr>
        <w:t> </w:t>
      </w:r>
      <w:r>
        <w:rPr>
          <w:sz w:val="24"/>
        </w:rPr>
        <w:t>casos antigos seguem como estratégia para diminuir o estoque de pacientes aguardando procedimento.</w:t>
      </w:r>
    </w:p>
    <w:p>
      <w:pPr>
        <w:pStyle w:val="BodyText"/>
        <w:spacing w:line="360" w:lineRule="auto" w:before="1"/>
        <w:ind w:left="593" w:right="746" w:firstLine="720"/>
        <w:jc w:val="both"/>
      </w:pPr>
      <w:r>
        <w:rPr/>
        <w:t>Na vigilância epidemiológica, o hospital atingiu 95,97% de digitação oportuna e 100% de investigação dentro do prazo, assegurando resposta ágil a eventos de notificação compulsória e fortalecendo a vigilância hospitalar.</w:t>
      </w:r>
    </w:p>
    <w:p>
      <w:pPr>
        <w:pStyle w:val="BodyText"/>
        <w:spacing w:line="360" w:lineRule="auto"/>
        <w:ind w:left="593" w:right="748"/>
        <w:jc w:val="both"/>
      </w:pPr>
      <w:r>
        <w:rPr/>
        <w:t>Os indicadores farmacêuticos também apresentaram desempenho de excelência: a taxa de aceitabilidade das intervenções farmacêuticas alcançou 97,01%, e a acurácia do estoque manteve-se em 96,95%, ambos acima das metas estabelecidas.</w:t>
      </w:r>
    </w:p>
    <w:p>
      <w:pPr>
        <w:pStyle w:val="BodyText"/>
        <w:spacing w:line="360" w:lineRule="auto" w:before="1"/>
        <w:ind w:left="593" w:right="746"/>
        <w:jc w:val="both"/>
      </w:pPr>
      <w:r>
        <w:rPr/>
        <w:t>Os resultados de novembro/2025 confirmam a maturidade assistencial e gerencial do HUGO, com indicadores de qualidade dentro ou acima das metas na maioria das dimensões avaliadas. Os</w:t>
      </w:r>
      <w:r>
        <w:rPr>
          <w:spacing w:val="40"/>
        </w:rPr>
        <w:t> </w:t>
      </w:r>
      <w:r>
        <w:rPr/>
        <w:t>principais pontos de atenção permanecem relacionados ao tempo médio de permanência e à ocupação hospitalar elevada, que impactam o giro de leitos e a fluidez da assistência.</w:t>
      </w:r>
    </w:p>
    <w:p>
      <w:pPr>
        <w:pStyle w:val="BodyText"/>
        <w:spacing w:line="360" w:lineRule="auto"/>
        <w:ind w:left="593" w:right="752"/>
        <w:jc w:val="both"/>
      </w:pPr>
      <w:r>
        <w:rPr/>
        <w:t>Para mitigação desses fatores, seguem em andamento projetos integrados com a</w:t>
      </w:r>
      <w:r>
        <w:rPr>
          <w:spacing w:val="-2"/>
        </w:rPr>
        <w:t> </w:t>
      </w:r>
      <w:r>
        <w:rPr/>
        <w:t>Regulação Estadual e unidades de retaguarda, buscando:</w:t>
      </w:r>
    </w:p>
    <w:p>
      <w:pPr>
        <w:pStyle w:val="ListParagraph"/>
        <w:numPr>
          <w:ilvl w:val="0"/>
          <w:numId w:val="7"/>
        </w:numPr>
        <w:tabs>
          <w:tab w:pos="1312" w:val="left" w:leader="none"/>
        </w:tabs>
        <w:spacing w:line="240" w:lineRule="auto" w:before="1" w:after="0"/>
        <w:ind w:left="1312" w:right="0" w:hanging="359"/>
        <w:jc w:val="both"/>
        <w:rPr>
          <w:sz w:val="24"/>
        </w:rPr>
      </w:pPr>
      <w:r>
        <w:rPr>
          <w:sz w:val="24"/>
        </w:rPr>
        <w:t>Acelerar</w:t>
      </w:r>
      <w:r>
        <w:rPr>
          <w:spacing w:val="-5"/>
          <w:sz w:val="24"/>
        </w:rPr>
        <w:t> </w:t>
      </w:r>
      <w:r>
        <w:rPr>
          <w:sz w:val="24"/>
        </w:rPr>
        <w:t>a</w:t>
      </w:r>
      <w:r>
        <w:rPr>
          <w:spacing w:val="-6"/>
          <w:sz w:val="24"/>
        </w:rPr>
        <w:t> </w:t>
      </w:r>
      <w:r>
        <w:rPr>
          <w:sz w:val="24"/>
        </w:rPr>
        <w:t>desospitalização</w:t>
      </w:r>
      <w:r>
        <w:rPr>
          <w:spacing w:val="-4"/>
          <w:sz w:val="24"/>
        </w:rPr>
        <w:t> </w:t>
      </w:r>
      <w:r>
        <w:rPr>
          <w:sz w:val="24"/>
        </w:rPr>
        <w:t>de</w:t>
      </w:r>
      <w:r>
        <w:rPr>
          <w:spacing w:val="-6"/>
          <w:sz w:val="24"/>
        </w:rPr>
        <w:t> </w:t>
      </w:r>
      <w:r>
        <w:rPr>
          <w:sz w:val="24"/>
        </w:rPr>
        <w:t>pacientes</w:t>
      </w:r>
      <w:r>
        <w:rPr>
          <w:spacing w:val="-3"/>
          <w:sz w:val="24"/>
        </w:rPr>
        <w:t> </w:t>
      </w:r>
      <w:r>
        <w:rPr>
          <w:sz w:val="24"/>
        </w:rPr>
        <w:t>clínicos</w:t>
      </w:r>
      <w:r>
        <w:rPr>
          <w:spacing w:val="-3"/>
          <w:sz w:val="24"/>
        </w:rPr>
        <w:t> </w:t>
      </w:r>
      <w:r>
        <w:rPr>
          <w:spacing w:val="-2"/>
          <w:sz w:val="24"/>
        </w:rPr>
        <w:t>estáveis;</w:t>
      </w:r>
    </w:p>
    <w:p>
      <w:pPr>
        <w:pStyle w:val="ListParagraph"/>
        <w:numPr>
          <w:ilvl w:val="0"/>
          <w:numId w:val="7"/>
        </w:numPr>
        <w:tabs>
          <w:tab w:pos="1312" w:val="left" w:leader="none"/>
        </w:tabs>
        <w:spacing w:line="240" w:lineRule="auto" w:before="145" w:after="0"/>
        <w:ind w:left="1312" w:right="0" w:hanging="359"/>
        <w:jc w:val="both"/>
        <w:rPr>
          <w:sz w:val="24"/>
        </w:rPr>
      </w:pPr>
      <w:r>
        <w:rPr>
          <w:sz w:val="24"/>
        </w:rPr>
        <w:t>Ampliar</w:t>
      </w:r>
      <w:r>
        <w:rPr>
          <w:spacing w:val="-6"/>
          <w:sz w:val="24"/>
        </w:rPr>
        <w:t> </w:t>
      </w:r>
      <w:r>
        <w:rPr>
          <w:sz w:val="24"/>
        </w:rPr>
        <w:t>a</w:t>
      </w:r>
      <w:r>
        <w:rPr>
          <w:spacing w:val="-6"/>
          <w:sz w:val="24"/>
        </w:rPr>
        <w:t> </w:t>
      </w:r>
      <w:r>
        <w:rPr>
          <w:sz w:val="24"/>
        </w:rPr>
        <w:t>articulação</w:t>
      </w:r>
      <w:r>
        <w:rPr>
          <w:spacing w:val="-4"/>
          <w:sz w:val="24"/>
        </w:rPr>
        <w:t> </w:t>
      </w:r>
      <w:r>
        <w:rPr>
          <w:sz w:val="24"/>
        </w:rPr>
        <w:t>intersetorial</w:t>
      </w:r>
      <w:r>
        <w:rPr>
          <w:spacing w:val="-4"/>
          <w:sz w:val="24"/>
        </w:rPr>
        <w:t> </w:t>
      </w:r>
      <w:r>
        <w:rPr>
          <w:sz w:val="24"/>
        </w:rPr>
        <w:t>para</w:t>
      </w:r>
      <w:r>
        <w:rPr>
          <w:spacing w:val="-4"/>
          <w:sz w:val="24"/>
        </w:rPr>
        <w:t> </w:t>
      </w:r>
      <w:r>
        <w:rPr>
          <w:sz w:val="24"/>
        </w:rPr>
        <w:t>altas</w:t>
      </w:r>
      <w:r>
        <w:rPr>
          <w:spacing w:val="-2"/>
          <w:sz w:val="24"/>
        </w:rPr>
        <w:t> sociais;</w:t>
      </w:r>
    </w:p>
    <w:p>
      <w:pPr>
        <w:pStyle w:val="ListParagraph"/>
        <w:numPr>
          <w:ilvl w:val="0"/>
          <w:numId w:val="7"/>
        </w:numPr>
        <w:tabs>
          <w:tab w:pos="1312" w:val="left" w:leader="none"/>
        </w:tabs>
        <w:spacing w:line="240" w:lineRule="auto" w:before="148" w:after="0"/>
        <w:ind w:left="1312" w:right="0" w:hanging="359"/>
        <w:jc w:val="both"/>
        <w:rPr>
          <w:sz w:val="24"/>
        </w:rPr>
      </w:pPr>
      <w:r>
        <w:rPr>
          <w:sz w:val="24"/>
        </w:rPr>
        <w:t>Fortalecer</w:t>
      </w:r>
      <w:r>
        <w:rPr>
          <w:spacing w:val="-3"/>
          <w:sz w:val="24"/>
        </w:rPr>
        <w:t> </w:t>
      </w:r>
      <w:r>
        <w:rPr>
          <w:sz w:val="24"/>
        </w:rPr>
        <w:t>a</w:t>
      </w:r>
      <w:r>
        <w:rPr>
          <w:spacing w:val="-4"/>
          <w:sz w:val="24"/>
        </w:rPr>
        <w:t> </w:t>
      </w:r>
      <w:r>
        <w:rPr>
          <w:sz w:val="24"/>
        </w:rPr>
        <w:t>gestão</w:t>
      </w:r>
      <w:r>
        <w:rPr>
          <w:spacing w:val="-2"/>
          <w:sz w:val="24"/>
        </w:rPr>
        <w:t> </w:t>
      </w:r>
      <w:r>
        <w:rPr>
          <w:sz w:val="24"/>
        </w:rPr>
        <w:t>em</w:t>
      </w:r>
      <w:r>
        <w:rPr>
          <w:spacing w:val="-2"/>
          <w:sz w:val="24"/>
        </w:rPr>
        <w:t> </w:t>
      </w:r>
      <w:r>
        <w:rPr>
          <w:sz w:val="24"/>
        </w:rPr>
        <w:t>tempo</w:t>
      </w:r>
      <w:r>
        <w:rPr>
          <w:spacing w:val="-3"/>
          <w:sz w:val="24"/>
        </w:rPr>
        <w:t> </w:t>
      </w:r>
      <w:r>
        <w:rPr>
          <w:sz w:val="24"/>
        </w:rPr>
        <w:t>real</w:t>
      </w:r>
      <w:r>
        <w:rPr>
          <w:spacing w:val="-2"/>
          <w:sz w:val="24"/>
        </w:rPr>
        <w:t> </w:t>
      </w:r>
      <w:r>
        <w:rPr>
          <w:sz w:val="24"/>
        </w:rPr>
        <w:t>de</w:t>
      </w:r>
      <w:r>
        <w:rPr>
          <w:spacing w:val="-2"/>
          <w:sz w:val="24"/>
        </w:rPr>
        <w:t> </w:t>
      </w:r>
      <w:r>
        <w:rPr>
          <w:sz w:val="24"/>
        </w:rPr>
        <w:t>leitos</w:t>
      </w:r>
      <w:r>
        <w:rPr>
          <w:spacing w:val="-3"/>
          <w:sz w:val="24"/>
        </w:rPr>
        <w:t> </w:t>
      </w:r>
      <w:r>
        <w:rPr>
          <w:spacing w:val="-2"/>
          <w:sz w:val="24"/>
        </w:rPr>
        <w:t>críticos;</w:t>
      </w:r>
    </w:p>
    <w:p>
      <w:pPr>
        <w:pStyle w:val="ListParagraph"/>
        <w:numPr>
          <w:ilvl w:val="0"/>
          <w:numId w:val="7"/>
        </w:numPr>
        <w:tabs>
          <w:tab w:pos="1313" w:val="left" w:leader="none"/>
        </w:tabs>
        <w:spacing w:line="240" w:lineRule="auto" w:before="146" w:after="0"/>
        <w:ind w:left="1313" w:right="0" w:hanging="360"/>
        <w:jc w:val="left"/>
        <w:rPr>
          <w:sz w:val="24"/>
        </w:rPr>
      </w:pPr>
      <w:r>
        <w:rPr>
          <w:sz w:val="24"/>
        </w:rPr>
        <w:t>Ajustar</w:t>
      </w:r>
      <w:r>
        <w:rPr>
          <w:spacing w:val="-5"/>
          <w:sz w:val="24"/>
        </w:rPr>
        <w:t> </w:t>
      </w:r>
      <w:r>
        <w:rPr>
          <w:sz w:val="24"/>
        </w:rPr>
        <w:t>a</w:t>
      </w:r>
      <w:r>
        <w:rPr>
          <w:spacing w:val="-4"/>
          <w:sz w:val="24"/>
        </w:rPr>
        <w:t> </w:t>
      </w:r>
      <w:r>
        <w:rPr>
          <w:sz w:val="24"/>
        </w:rPr>
        <w:t>ocupação</w:t>
      </w:r>
      <w:r>
        <w:rPr>
          <w:spacing w:val="-3"/>
          <w:sz w:val="24"/>
        </w:rPr>
        <w:t> </w:t>
      </w:r>
      <w:r>
        <w:rPr>
          <w:sz w:val="24"/>
        </w:rPr>
        <w:t>de</w:t>
      </w:r>
      <w:r>
        <w:rPr>
          <w:spacing w:val="-2"/>
          <w:sz w:val="24"/>
        </w:rPr>
        <w:t> </w:t>
      </w:r>
      <w:r>
        <w:rPr>
          <w:sz w:val="24"/>
        </w:rPr>
        <w:t>acordo</w:t>
      </w:r>
      <w:r>
        <w:rPr>
          <w:spacing w:val="-4"/>
          <w:sz w:val="24"/>
        </w:rPr>
        <w:t> </w:t>
      </w:r>
      <w:r>
        <w:rPr>
          <w:sz w:val="24"/>
        </w:rPr>
        <w:t>com</w:t>
      </w:r>
      <w:r>
        <w:rPr>
          <w:spacing w:val="-2"/>
          <w:sz w:val="24"/>
        </w:rPr>
        <w:t> </w:t>
      </w:r>
      <w:r>
        <w:rPr>
          <w:sz w:val="24"/>
        </w:rPr>
        <w:t>o</w:t>
      </w:r>
      <w:r>
        <w:rPr>
          <w:spacing w:val="-4"/>
          <w:sz w:val="24"/>
        </w:rPr>
        <w:t> </w:t>
      </w:r>
      <w:r>
        <w:rPr>
          <w:sz w:val="24"/>
        </w:rPr>
        <w:t>perfil</w:t>
      </w:r>
      <w:r>
        <w:rPr>
          <w:spacing w:val="-2"/>
          <w:sz w:val="24"/>
        </w:rPr>
        <w:t> </w:t>
      </w:r>
      <w:r>
        <w:rPr>
          <w:sz w:val="24"/>
        </w:rPr>
        <w:t>epidemiológico</w:t>
      </w:r>
      <w:r>
        <w:rPr>
          <w:spacing w:val="-1"/>
          <w:sz w:val="24"/>
        </w:rPr>
        <w:t> </w:t>
      </w:r>
      <w:r>
        <w:rPr>
          <w:sz w:val="24"/>
        </w:rPr>
        <w:t>e</w:t>
      </w:r>
      <w:r>
        <w:rPr>
          <w:spacing w:val="-4"/>
          <w:sz w:val="24"/>
        </w:rPr>
        <w:t> </w:t>
      </w:r>
      <w:r>
        <w:rPr>
          <w:spacing w:val="-2"/>
          <w:sz w:val="24"/>
        </w:rPr>
        <w:t>sazonal.</w:t>
      </w:r>
    </w:p>
    <w:p>
      <w:pPr>
        <w:pStyle w:val="ListParagraph"/>
        <w:spacing w:after="0" w:line="240" w:lineRule="auto"/>
        <w:jc w:val="left"/>
        <w:rPr>
          <w:sz w:val="24"/>
        </w:rPr>
        <w:sectPr>
          <w:pgSz w:w="11910" w:h="16840"/>
          <w:pgMar w:header="358" w:footer="560" w:top="1580" w:bottom="780" w:left="708" w:right="0"/>
        </w:sectPr>
      </w:pPr>
    </w:p>
    <w:p>
      <w:pPr>
        <w:pStyle w:val="BodyText"/>
      </w:pPr>
    </w:p>
    <w:p>
      <w:pPr>
        <w:pStyle w:val="BodyText"/>
      </w:pPr>
    </w:p>
    <w:p>
      <w:pPr>
        <w:pStyle w:val="BodyText"/>
      </w:pPr>
    </w:p>
    <w:p>
      <w:pPr>
        <w:pStyle w:val="BodyText"/>
      </w:pPr>
    </w:p>
    <w:p>
      <w:pPr>
        <w:pStyle w:val="BodyText"/>
      </w:pPr>
    </w:p>
    <w:p>
      <w:pPr>
        <w:pStyle w:val="BodyText"/>
      </w:pPr>
    </w:p>
    <w:p>
      <w:pPr>
        <w:pStyle w:val="BodyText"/>
        <w:spacing w:before="28"/>
      </w:pPr>
    </w:p>
    <w:p>
      <w:pPr>
        <w:pStyle w:val="Heading1"/>
        <w:numPr>
          <w:ilvl w:val="0"/>
          <w:numId w:val="2"/>
        </w:numPr>
        <w:tabs>
          <w:tab w:pos="1431" w:val="left" w:leader="none"/>
        </w:tabs>
        <w:spacing w:line="240" w:lineRule="auto" w:before="0" w:after="0"/>
        <w:ind w:left="1431" w:right="0" w:hanging="719"/>
        <w:jc w:val="left"/>
      </w:pPr>
      <w:bookmarkStart w:name="5. Indicadores Financeiro" w:id="29"/>
      <w:bookmarkEnd w:id="29"/>
      <w:r>
        <w:rPr>
          <w:rFonts w:ascii="Arial"/>
        </w:rPr>
      </w:r>
      <w:bookmarkStart w:name="_bookmark4" w:id="30"/>
      <w:bookmarkEnd w:id="30"/>
      <w:r>
        <w:rPr>
          <w:rFonts w:ascii="Arial"/>
        </w:rPr>
      </w:r>
      <w:r>
        <w:rPr/>
        <w:t>Indicadores</w:t>
      </w:r>
      <w:r>
        <w:rPr>
          <w:spacing w:val="-8"/>
        </w:rPr>
        <w:t> </w:t>
      </w:r>
      <w:r>
        <w:rPr>
          <w:spacing w:val="-2"/>
        </w:rPr>
        <w:t>Financeiro</w:t>
      </w:r>
    </w:p>
    <w:p>
      <w:pPr>
        <w:pStyle w:val="ListParagraph"/>
        <w:numPr>
          <w:ilvl w:val="1"/>
          <w:numId w:val="2"/>
        </w:numPr>
        <w:tabs>
          <w:tab w:pos="1313" w:val="left" w:leader="none"/>
        </w:tabs>
        <w:spacing w:line="240" w:lineRule="auto" w:before="1" w:after="0"/>
        <w:ind w:left="1313" w:right="0" w:hanging="720"/>
        <w:jc w:val="left"/>
        <w:rPr>
          <w:b/>
          <w:sz w:val="24"/>
        </w:rPr>
      </w:pPr>
      <w:bookmarkStart w:name="5.1. Análise Contábil – SIPEF" w:id="31"/>
      <w:bookmarkEnd w:id="31"/>
      <w:r>
        <w:rPr>
          <w:rFonts w:ascii="Arial" w:hAnsi="Arial"/>
          <w:b/>
          <w:sz w:val="24"/>
        </w:rPr>
      </w:r>
      <w:r>
        <w:rPr>
          <w:b/>
          <w:sz w:val="24"/>
        </w:rPr>
        <w:t>Análise</w:t>
      </w:r>
      <w:r>
        <w:rPr>
          <w:b/>
          <w:spacing w:val="-3"/>
          <w:sz w:val="24"/>
        </w:rPr>
        <w:t> </w:t>
      </w:r>
      <w:r>
        <w:rPr>
          <w:b/>
          <w:sz w:val="24"/>
        </w:rPr>
        <w:t>Contábil</w:t>
      </w:r>
      <w:r>
        <w:rPr>
          <w:b/>
          <w:spacing w:val="-3"/>
          <w:sz w:val="24"/>
        </w:rPr>
        <w:t> </w:t>
      </w:r>
      <w:r>
        <w:rPr>
          <w:b/>
          <w:sz w:val="24"/>
        </w:rPr>
        <w:t>–</w:t>
      </w:r>
      <w:r>
        <w:rPr>
          <w:b/>
          <w:spacing w:val="-3"/>
          <w:sz w:val="24"/>
        </w:rPr>
        <w:t> </w:t>
      </w:r>
      <w:r>
        <w:rPr>
          <w:b/>
          <w:spacing w:val="-2"/>
          <w:sz w:val="24"/>
        </w:rPr>
        <w:t>SIPEF</w:t>
      </w:r>
    </w:p>
    <w:p>
      <w:pPr>
        <w:pStyle w:val="BodyText"/>
        <w:spacing w:before="116"/>
        <w:rPr>
          <w:b/>
        </w:rPr>
      </w:pPr>
    </w:p>
    <w:p>
      <w:pPr>
        <w:pStyle w:val="BodyText"/>
        <w:spacing w:line="360" w:lineRule="auto"/>
        <w:ind w:left="710" w:firstLine="720"/>
      </w:pPr>
      <w:r>
        <w:rPr/>
        <w:t>O</w:t>
      </w:r>
      <w:r>
        <w:rPr>
          <w:spacing w:val="80"/>
        </w:rPr>
        <w:t> </w:t>
      </w:r>
      <w:r>
        <w:rPr/>
        <w:t>procedimento</w:t>
      </w:r>
      <w:r>
        <w:rPr>
          <w:spacing w:val="80"/>
        </w:rPr>
        <w:t> </w:t>
      </w:r>
      <w:r>
        <w:rPr/>
        <w:t>de</w:t>
      </w:r>
      <w:r>
        <w:rPr>
          <w:spacing w:val="80"/>
        </w:rPr>
        <w:t> </w:t>
      </w:r>
      <w:r>
        <w:rPr/>
        <w:t>envio</w:t>
      </w:r>
      <w:r>
        <w:rPr>
          <w:spacing w:val="80"/>
        </w:rPr>
        <w:t> </w:t>
      </w:r>
      <w:r>
        <w:rPr/>
        <w:t>mensal</w:t>
      </w:r>
      <w:r>
        <w:rPr>
          <w:spacing w:val="80"/>
        </w:rPr>
        <w:t> </w:t>
      </w:r>
      <w:r>
        <w:rPr/>
        <w:t>do</w:t>
      </w:r>
      <w:r>
        <w:rPr>
          <w:spacing w:val="80"/>
        </w:rPr>
        <w:t> </w:t>
      </w:r>
      <w:r>
        <w:rPr/>
        <w:t>Kit</w:t>
      </w:r>
      <w:r>
        <w:rPr>
          <w:spacing w:val="80"/>
        </w:rPr>
        <w:t> </w:t>
      </w:r>
      <w:r>
        <w:rPr/>
        <w:t>contábil</w:t>
      </w:r>
      <w:r>
        <w:rPr>
          <w:spacing w:val="80"/>
        </w:rPr>
        <w:t> </w:t>
      </w:r>
      <w:r>
        <w:rPr/>
        <w:t>foi</w:t>
      </w:r>
      <w:r>
        <w:rPr>
          <w:spacing w:val="80"/>
        </w:rPr>
        <w:t> </w:t>
      </w:r>
      <w:r>
        <w:rPr/>
        <w:t>realizado</w:t>
      </w:r>
      <w:r>
        <w:rPr>
          <w:spacing w:val="80"/>
        </w:rPr>
        <w:t> </w:t>
      </w:r>
      <w:r>
        <w:rPr/>
        <w:t>conforme</w:t>
      </w:r>
      <w:r>
        <w:rPr>
          <w:spacing w:val="80"/>
        </w:rPr>
        <w:t> </w:t>
      </w:r>
      <w:r>
        <w:rPr/>
        <w:t>os</w:t>
      </w:r>
      <w:r>
        <w:rPr>
          <w:spacing w:val="80"/>
        </w:rPr>
        <w:t> </w:t>
      </w:r>
      <w:r>
        <w:rPr/>
        <w:t>prazos estabelecidos de prestação de contas, e os documentos disponibilizados foram:</w:t>
      </w:r>
    </w:p>
    <w:p>
      <w:pPr>
        <w:pStyle w:val="ListParagraph"/>
        <w:numPr>
          <w:ilvl w:val="0"/>
          <w:numId w:val="8"/>
        </w:numPr>
        <w:tabs>
          <w:tab w:pos="2625" w:val="left" w:leader="none"/>
        </w:tabs>
        <w:spacing w:line="240" w:lineRule="auto" w:before="99" w:after="0"/>
        <w:ind w:left="2625" w:right="0" w:hanging="360"/>
        <w:jc w:val="left"/>
        <w:rPr>
          <w:sz w:val="24"/>
        </w:rPr>
      </w:pPr>
      <w:r>
        <w:rPr>
          <w:spacing w:val="-2"/>
          <w:sz w:val="24"/>
        </w:rPr>
        <w:t>Balancete;</w:t>
      </w:r>
    </w:p>
    <w:p>
      <w:pPr>
        <w:pStyle w:val="ListParagraph"/>
        <w:numPr>
          <w:ilvl w:val="0"/>
          <w:numId w:val="8"/>
        </w:numPr>
        <w:tabs>
          <w:tab w:pos="2625" w:val="left" w:leader="none"/>
        </w:tabs>
        <w:spacing w:line="240" w:lineRule="auto" w:before="98" w:after="0"/>
        <w:ind w:left="2625" w:right="0" w:hanging="360"/>
        <w:jc w:val="left"/>
        <w:rPr>
          <w:sz w:val="24"/>
        </w:rPr>
      </w:pPr>
      <w:r>
        <w:rPr>
          <w:spacing w:val="-4"/>
          <w:sz w:val="24"/>
        </w:rPr>
        <w:t>DRE;</w:t>
      </w:r>
    </w:p>
    <w:p>
      <w:pPr>
        <w:pStyle w:val="ListParagraph"/>
        <w:numPr>
          <w:ilvl w:val="0"/>
          <w:numId w:val="8"/>
        </w:numPr>
        <w:tabs>
          <w:tab w:pos="2625" w:val="left" w:leader="none"/>
        </w:tabs>
        <w:spacing w:line="240" w:lineRule="auto" w:before="100" w:after="0"/>
        <w:ind w:left="2625" w:right="0" w:hanging="360"/>
        <w:jc w:val="left"/>
        <w:rPr>
          <w:sz w:val="24"/>
        </w:rPr>
      </w:pPr>
      <w:r>
        <w:rPr>
          <w:spacing w:val="-2"/>
          <w:sz w:val="24"/>
        </w:rPr>
        <w:t>Balanço;</w:t>
      </w:r>
    </w:p>
    <w:p>
      <w:pPr>
        <w:pStyle w:val="BodyText"/>
        <w:spacing w:before="137"/>
        <w:rPr>
          <w:sz w:val="20"/>
        </w:rPr>
      </w:pPr>
      <w:r>
        <w:rPr>
          <w:sz w:val="20"/>
        </w:rPr>
        <w:drawing>
          <wp:anchor distT="0" distB="0" distL="0" distR="0" allowOverlap="1" layoutInCell="1" locked="0" behindDoc="1" simplePos="0" relativeHeight="487589376">
            <wp:simplePos x="0" y="0"/>
            <wp:positionH relativeFrom="page">
              <wp:posOffset>825500</wp:posOffset>
            </wp:positionH>
            <wp:positionV relativeFrom="paragraph">
              <wp:posOffset>248364</wp:posOffset>
            </wp:positionV>
            <wp:extent cx="6250877" cy="2898076"/>
            <wp:effectExtent l="0" t="0" r="0" b="0"/>
            <wp:wrapTopAndBottom/>
            <wp:docPr id="13" name="Image 13" descr="Interface gráfica do usuário, Tabela  O conteúdo gerado por IA pode estar incorreto."/>
            <wp:cNvGraphicFramePr>
              <a:graphicFrameLocks/>
            </wp:cNvGraphicFramePr>
            <a:graphic>
              <a:graphicData uri="http://schemas.openxmlformats.org/drawingml/2006/picture">
                <pic:pic>
                  <pic:nvPicPr>
                    <pic:cNvPr id="13" name="Image 13" descr="Interface gráfica do usuário, Tabela  O conteúdo gerado por IA pode estar incorreto."/>
                    <pic:cNvPicPr/>
                  </pic:nvPicPr>
                  <pic:blipFill>
                    <a:blip r:embed="rId15" cstate="print"/>
                    <a:stretch>
                      <a:fillRect/>
                    </a:stretch>
                  </pic:blipFill>
                  <pic:spPr>
                    <a:xfrm>
                      <a:off x="0" y="0"/>
                      <a:ext cx="6250877" cy="2898076"/>
                    </a:xfrm>
                    <a:prstGeom prst="rect">
                      <a:avLst/>
                    </a:prstGeom>
                  </pic:spPr>
                </pic:pic>
              </a:graphicData>
            </a:graphic>
          </wp:anchor>
        </w:drawing>
      </w:r>
    </w:p>
    <w:p>
      <w:pPr>
        <w:pStyle w:val="BodyText"/>
      </w:pPr>
    </w:p>
    <w:p>
      <w:pPr>
        <w:pStyle w:val="BodyText"/>
        <w:spacing w:before="231"/>
      </w:pPr>
    </w:p>
    <w:p>
      <w:pPr>
        <w:pStyle w:val="ListParagraph"/>
        <w:numPr>
          <w:ilvl w:val="1"/>
          <w:numId w:val="2"/>
        </w:numPr>
        <w:tabs>
          <w:tab w:pos="1313" w:val="left" w:leader="none"/>
        </w:tabs>
        <w:spacing w:line="240" w:lineRule="auto" w:before="0" w:after="0"/>
        <w:ind w:left="1313" w:right="0" w:hanging="720"/>
        <w:jc w:val="left"/>
        <w:rPr>
          <w:b/>
          <w:sz w:val="24"/>
        </w:rPr>
      </w:pPr>
      <w:bookmarkStart w:name="5.2. Relatório Econômico DRE HUGO – R$MM" w:id="32"/>
      <w:bookmarkEnd w:id="32"/>
      <w:r>
        <w:rPr>
          <w:rFonts w:ascii="Arial" w:hAnsi="Arial"/>
          <w:b/>
          <w:sz w:val="24"/>
        </w:rPr>
      </w:r>
      <w:r>
        <w:rPr>
          <w:b/>
          <w:sz w:val="24"/>
        </w:rPr>
        <w:t>Relatório</w:t>
      </w:r>
      <w:r>
        <w:rPr>
          <w:b/>
          <w:spacing w:val="-5"/>
          <w:sz w:val="24"/>
        </w:rPr>
        <w:t> </w:t>
      </w:r>
      <w:r>
        <w:rPr>
          <w:b/>
          <w:sz w:val="24"/>
        </w:rPr>
        <w:t>Econômico</w:t>
      </w:r>
      <w:r>
        <w:rPr>
          <w:b/>
          <w:spacing w:val="-3"/>
          <w:sz w:val="24"/>
        </w:rPr>
        <w:t> </w:t>
      </w:r>
      <w:r>
        <w:rPr>
          <w:b/>
          <w:sz w:val="24"/>
        </w:rPr>
        <w:t>DRE</w:t>
      </w:r>
      <w:r>
        <w:rPr>
          <w:b/>
          <w:spacing w:val="-4"/>
          <w:sz w:val="24"/>
        </w:rPr>
        <w:t> </w:t>
      </w:r>
      <w:r>
        <w:rPr>
          <w:b/>
          <w:sz w:val="24"/>
        </w:rPr>
        <w:t>HUGO</w:t>
      </w:r>
      <w:r>
        <w:rPr>
          <w:b/>
          <w:spacing w:val="-4"/>
          <w:sz w:val="24"/>
        </w:rPr>
        <w:t> </w:t>
      </w:r>
      <w:r>
        <w:rPr>
          <w:b/>
          <w:sz w:val="24"/>
        </w:rPr>
        <w:t>–</w:t>
      </w:r>
      <w:r>
        <w:rPr>
          <w:b/>
          <w:spacing w:val="-3"/>
          <w:sz w:val="24"/>
        </w:rPr>
        <w:t> </w:t>
      </w:r>
      <w:r>
        <w:rPr>
          <w:b/>
          <w:spacing w:val="-4"/>
          <w:sz w:val="24"/>
        </w:rPr>
        <w:t>R$MM</w:t>
      </w:r>
    </w:p>
    <w:p>
      <w:pPr>
        <w:pStyle w:val="BodyText"/>
        <w:spacing w:before="140"/>
        <w:rPr>
          <w:b/>
        </w:rPr>
      </w:pPr>
    </w:p>
    <w:p>
      <w:pPr>
        <w:pStyle w:val="BodyText"/>
        <w:ind w:left="1430"/>
      </w:pPr>
      <w:r>
        <w:rPr/>
        <w:t>No</w:t>
      </w:r>
      <w:r>
        <w:rPr>
          <w:spacing w:val="-5"/>
        </w:rPr>
        <w:t> </w:t>
      </w:r>
      <w:r>
        <w:rPr/>
        <w:t>mês</w:t>
      </w:r>
      <w:r>
        <w:rPr>
          <w:spacing w:val="-2"/>
        </w:rPr>
        <w:t> </w:t>
      </w:r>
      <w:r>
        <w:rPr/>
        <w:t>de</w:t>
      </w:r>
      <w:r>
        <w:rPr>
          <w:spacing w:val="-5"/>
        </w:rPr>
        <w:t> </w:t>
      </w:r>
      <w:r>
        <w:rPr/>
        <w:t>novembro/25,</w:t>
      </w:r>
      <w:r>
        <w:rPr>
          <w:spacing w:val="-4"/>
        </w:rPr>
        <w:t> </w:t>
      </w:r>
      <w:r>
        <w:rPr/>
        <w:t>podemos</w:t>
      </w:r>
      <w:r>
        <w:rPr>
          <w:spacing w:val="-4"/>
        </w:rPr>
        <w:t> </w:t>
      </w:r>
      <w:r>
        <w:rPr/>
        <w:t>destacar</w:t>
      </w:r>
      <w:r>
        <w:rPr>
          <w:spacing w:val="-3"/>
        </w:rPr>
        <w:t> </w:t>
      </w:r>
      <w:r>
        <w:rPr/>
        <w:t>os</w:t>
      </w:r>
      <w:r>
        <w:rPr>
          <w:spacing w:val="-4"/>
        </w:rPr>
        <w:t> </w:t>
      </w:r>
      <w:r>
        <w:rPr/>
        <w:t>seguintes</w:t>
      </w:r>
      <w:r>
        <w:rPr>
          <w:spacing w:val="-4"/>
        </w:rPr>
        <w:t> </w:t>
      </w:r>
      <w:r>
        <w:rPr>
          <w:spacing w:val="-2"/>
        </w:rPr>
        <w:t>resultados:</w:t>
      </w:r>
    </w:p>
    <w:p>
      <w:pPr>
        <w:pStyle w:val="ListParagraph"/>
        <w:numPr>
          <w:ilvl w:val="0"/>
          <w:numId w:val="9"/>
        </w:numPr>
        <w:tabs>
          <w:tab w:pos="2625" w:val="left" w:leader="none"/>
        </w:tabs>
        <w:spacing w:line="240" w:lineRule="auto" w:before="237" w:after="0"/>
        <w:ind w:left="2625" w:right="0" w:hanging="360"/>
        <w:jc w:val="left"/>
        <w:rPr>
          <w:sz w:val="24"/>
        </w:rPr>
      </w:pPr>
      <w:r>
        <w:rPr>
          <w:sz w:val="24"/>
        </w:rPr>
        <w:t>Repasse</w:t>
      </w:r>
      <w:r>
        <w:rPr>
          <w:spacing w:val="-8"/>
          <w:sz w:val="24"/>
        </w:rPr>
        <w:t> </w:t>
      </w:r>
      <w:r>
        <w:rPr>
          <w:sz w:val="24"/>
        </w:rPr>
        <w:t>Operacional</w:t>
      </w:r>
      <w:r>
        <w:rPr>
          <w:spacing w:val="-3"/>
          <w:sz w:val="24"/>
        </w:rPr>
        <w:t> </w:t>
      </w:r>
      <w:r>
        <w:rPr>
          <w:sz w:val="24"/>
        </w:rPr>
        <w:t>totalizou</w:t>
      </w:r>
      <w:r>
        <w:rPr>
          <w:spacing w:val="-4"/>
          <w:sz w:val="24"/>
        </w:rPr>
        <w:t> </w:t>
      </w:r>
      <w:r>
        <w:rPr>
          <w:sz w:val="24"/>
        </w:rPr>
        <w:t>R$</w:t>
      </w:r>
      <w:r>
        <w:rPr>
          <w:spacing w:val="-4"/>
          <w:sz w:val="24"/>
        </w:rPr>
        <w:t> </w:t>
      </w:r>
      <w:r>
        <w:rPr>
          <w:spacing w:val="-2"/>
          <w:sz w:val="24"/>
        </w:rPr>
        <w:t>24,2MM;</w:t>
      </w:r>
    </w:p>
    <w:p>
      <w:pPr>
        <w:pStyle w:val="ListParagraph"/>
        <w:numPr>
          <w:ilvl w:val="0"/>
          <w:numId w:val="9"/>
        </w:numPr>
        <w:tabs>
          <w:tab w:pos="2625" w:val="left" w:leader="none"/>
        </w:tabs>
        <w:spacing w:line="220" w:lineRule="auto" w:before="115" w:after="0"/>
        <w:ind w:left="2625" w:right="1315" w:hanging="360"/>
        <w:jc w:val="left"/>
        <w:rPr>
          <w:sz w:val="24"/>
        </w:rPr>
      </w:pPr>
      <w:r>
        <w:rPr>
          <w:sz w:val="24"/>
        </w:rPr>
        <w:t>As Despesas Operacionais totalizaram R$ 27,2MM, tendo como principais custos</w:t>
      </w:r>
      <w:r>
        <w:rPr>
          <w:spacing w:val="-4"/>
          <w:sz w:val="24"/>
        </w:rPr>
        <w:t> </w:t>
      </w:r>
      <w:r>
        <w:rPr>
          <w:sz w:val="24"/>
        </w:rPr>
        <w:t>mão</w:t>
      </w:r>
      <w:r>
        <w:rPr>
          <w:spacing w:val="-4"/>
          <w:sz w:val="24"/>
        </w:rPr>
        <w:t> </w:t>
      </w:r>
      <w:r>
        <w:rPr>
          <w:sz w:val="24"/>
        </w:rPr>
        <w:t>de</w:t>
      </w:r>
      <w:r>
        <w:rPr>
          <w:spacing w:val="-3"/>
          <w:sz w:val="24"/>
        </w:rPr>
        <w:t> </w:t>
      </w:r>
      <w:r>
        <w:rPr>
          <w:sz w:val="24"/>
        </w:rPr>
        <w:t>obra</w:t>
      </w:r>
      <w:r>
        <w:rPr>
          <w:spacing w:val="-5"/>
          <w:sz w:val="24"/>
        </w:rPr>
        <w:t> </w:t>
      </w:r>
      <w:r>
        <w:rPr>
          <w:sz w:val="24"/>
        </w:rPr>
        <w:t>(R$</w:t>
      </w:r>
      <w:r>
        <w:rPr>
          <w:spacing w:val="-4"/>
          <w:sz w:val="24"/>
        </w:rPr>
        <w:t> </w:t>
      </w:r>
      <w:r>
        <w:rPr>
          <w:sz w:val="24"/>
        </w:rPr>
        <w:t>15,1MM),</w:t>
      </w:r>
      <w:r>
        <w:rPr>
          <w:spacing w:val="-4"/>
          <w:sz w:val="24"/>
        </w:rPr>
        <w:t> </w:t>
      </w:r>
      <w:r>
        <w:rPr>
          <w:sz w:val="24"/>
        </w:rPr>
        <w:t>serviços</w:t>
      </w:r>
      <w:r>
        <w:rPr>
          <w:spacing w:val="-4"/>
          <w:sz w:val="24"/>
        </w:rPr>
        <w:t> </w:t>
      </w:r>
      <w:r>
        <w:rPr>
          <w:sz w:val="24"/>
        </w:rPr>
        <w:t>fixos</w:t>
      </w:r>
      <w:r>
        <w:rPr>
          <w:spacing w:val="-4"/>
          <w:sz w:val="24"/>
        </w:rPr>
        <w:t> </w:t>
      </w:r>
      <w:r>
        <w:rPr>
          <w:sz w:val="24"/>
        </w:rPr>
        <w:t>(R$</w:t>
      </w:r>
      <w:r>
        <w:rPr>
          <w:spacing w:val="-4"/>
          <w:sz w:val="24"/>
        </w:rPr>
        <w:t> </w:t>
      </w:r>
      <w:r>
        <w:rPr>
          <w:sz w:val="24"/>
        </w:rPr>
        <w:t>3,4MM)</w:t>
      </w:r>
      <w:r>
        <w:rPr>
          <w:spacing w:val="-4"/>
          <w:sz w:val="24"/>
        </w:rPr>
        <w:t> </w:t>
      </w:r>
      <w:r>
        <w:rPr>
          <w:sz w:val="24"/>
        </w:rPr>
        <w:t>e</w:t>
      </w:r>
      <w:r>
        <w:rPr>
          <w:spacing w:val="-5"/>
          <w:sz w:val="24"/>
        </w:rPr>
        <w:t> </w:t>
      </w:r>
      <w:r>
        <w:rPr>
          <w:sz w:val="24"/>
        </w:rPr>
        <w:t>materiais e medicamentos (R$ 4,2MM);</w:t>
      </w:r>
    </w:p>
    <w:p>
      <w:pPr>
        <w:pStyle w:val="ListParagraph"/>
        <w:numPr>
          <w:ilvl w:val="0"/>
          <w:numId w:val="9"/>
        </w:numPr>
        <w:tabs>
          <w:tab w:pos="2625" w:val="left" w:leader="none"/>
        </w:tabs>
        <w:spacing w:line="240" w:lineRule="auto" w:before="104" w:after="0"/>
        <w:ind w:left="2625" w:right="0" w:hanging="360"/>
        <w:jc w:val="left"/>
        <w:rPr>
          <w:sz w:val="24"/>
        </w:rPr>
      </w:pPr>
      <w:r>
        <w:rPr>
          <w:sz w:val="24"/>
        </w:rPr>
        <w:t>O</w:t>
      </w:r>
      <w:r>
        <w:rPr>
          <w:spacing w:val="-6"/>
          <w:sz w:val="24"/>
        </w:rPr>
        <w:t> </w:t>
      </w:r>
      <w:r>
        <w:rPr>
          <w:sz w:val="24"/>
        </w:rPr>
        <w:t>Déficit</w:t>
      </w:r>
      <w:r>
        <w:rPr>
          <w:spacing w:val="-1"/>
          <w:sz w:val="24"/>
        </w:rPr>
        <w:t> </w:t>
      </w:r>
      <w:r>
        <w:rPr>
          <w:sz w:val="24"/>
        </w:rPr>
        <w:t>Operacional</w:t>
      </w:r>
      <w:r>
        <w:rPr>
          <w:spacing w:val="-1"/>
          <w:sz w:val="24"/>
        </w:rPr>
        <w:t> </w:t>
      </w:r>
      <w:r>
        <w:rPr>
          <w:sz w:val="24"/>
        </w:rPr>
        <w:t>totalizou</w:t>
      </w:r>
      <w:r>
        <w:rPr>
          <w:spacing w:val="-1"/>
          <w:sz w:val="24"/>
        </w:rPr>
        <w:t> </w:t>
      </w:r>
      <w:r>
        <w:rPr>
          <w:sz w:val="24"/>
        </w:rPr>
        <w:t>-</w:t>
      </w:r>
      <w:r>
        <w:rPr>
          <w:spacing w:val="-4"/>
          <w:sz w:val="24"/>
        </w:rPr>
        <w:t> </w:t>
      </w:r>
      <w:r>
        <w:rPr>
          <w:sz w:val="24"/>
        </w:rPr>
        <w:t>R$</w:t>
      </w:r>
      <w:r>
        <w:rPr>
          <w:spacing w:val="-3"/>
          <w:sz w:val="24"/>
        </w:rPr>
        <w:t> </w:t>
      </w:r>
      <w:r>
        <w:rPr>
          <w:spacing w:val="-2"/>
          <w:sz w:val="24"/>
        </w:rPr>
        <w:t>2,9MM;</w:t>
      </w:r>
    </w:p>
    <w:p>
      <w:pPr>
        <w:pStyle w:val="ListParagraph"/>
        <w:numPr>
          <w:ilvl w:val="0"/>
          <w:numId w:val="9"/>
        </w:numPr>
        <w:tabs>
          <w:tab w:pos="2625" w:val="left" w:leader="none"/>
        </w:tabs>
        <w:spacing w:line="220" w:lineRule="auto" w:before="116" w:after="0"/>
        <w:ind w:left="2625" w:right="1596" w:hanging="360"/>
        <w:jc w:val="left"/>
        <w:rPr>
          <w:sz w:val="24"/>
        </w:rPr>
      </w:pPr>
      <w:r>
        <w:rPr>
          <w:sz w:val="24"/>
        </w:rPr>
        <w:t>O</w:t>
      </w:r>
      <w:r>
        <w:rPr>
          <w:spacing w:val="-7"/>
          <w:sz w:val="24"/>
        </w:rPr>
        <w:t> </w:t>
      </w:r>
      <w:r>
        <w:rPr>
          <w:sz w:val="24"/>
        </w:rPr>
        <w:t>Resultado</w:t>
      </w:r>
      <w:r>
        <w:rPr>
          <w:spacing w:val="-4"/>
          <w:sz w:val="24"/>
        </w:rPr>
        <w:t> </w:t>
      </w:r>
      <w:r>
        <w:rPr>
          <w:sz w:val="24"/>
        </w:rPr>
        <w:t>Financeiro</w:t>
      </w:r>
      <w:r>
        <w:rPr>
          <w:spacing w:val="-4"/>
          <w:sz w:val="24"/>
        </w:rPr>
        <w:t> </w:t>
      </w:r>
      <w:r>
        <w:rPr>
          <w:sz w:val="24"/>
        </w:rPr>
        <w:t>totalizou</w:t>
      </w:r>
      <w:r>
        <w:rPr>
          <w:spacing w:val="-4"/>
          <w:sz w:val="24"/>
        </w:rPr>
        <w:t> </w:t>
      </w:r>
      <w:r>
        <w:rPr>
          <w:sz w:val="24"/>
        </w:rPr>
        <w:t>R$</w:t>
      </w:r>
      <w:r>
        <w:rPr>
          <w:spacing w:val="-5"/>
          <w:sz w:val="24"/>
        </w:rPr>
        <w:t> </w:t>
      </w:r>
      <w:r>
        <w:rPr>
          <w:sz w:val="24"/>
        </w:rPr>
        <w:t>0,3MM,</w:t>
      </w:r>
      <w:r>
        <w:rPr>
          <w:spacing w:val="-5"/>
          <w:sz w:val="24"/>
        </w:rPr>
        <w:t> </w:t>
      </w:r>
      <w:r>
        <w:rPr>
          <w:sz w:val="24"/>
        </w:rPr>
        <w:t>relativo</w:t>
      </w:r>
      <w:r>
        <w:rPr>
          <w:spacing w:val="-4"/>
          <w:sz w:val="24"/>
        </w:rPr>
        <w:t> </w:t>
      </w:r>
      <w:r>
        <w:rPr>
          <w:sz w:val="24"/>
        </w:rPr>
        <w:t>ao</w:t>
      </w:r>
      <w:r>
        <w:rPr>
          <w:spacing w:val="-5"/>
          <w:sz w:val="24"/>
        </w:rPr>
        <w:t> </w:t>
      </w:r>
      <w:r>
        <w:rPr>
          <w:sz w:val="24"/>
        </w:rPr>
        <w:t>rendimento</w:t>
      </w:r>
      <w:r>
        <w:rPr>
          <w:spacing w:val="-2"/>
          <w:sz w:val="24"/>
        </w:rPr>
        <w:t> </w:t>
      </w:r>
      <w:r>
        <w:rPr>
          <w:sz w:val="24"/>
        </w:rPr>
        <w:t>das aplicações financeiras;</w:t>
      </w:r>
    </w:p>
    <w:p>
      <w:pPr>
        <w:pStyle w:val="ListParagraph"/>
        <w:spacing w:after="0" w:line="220" w:lineRule="auto"/>
        <w:jc w:val="left"/>
        <w:rPr>
          <w:sz w:val="24"/>
        </w:rPr>
        <w:sectPr>
          <w:pgSz w:w="11910" w:h="16840"/>
          <w:pgMar w:header="358" w:footer="560" w:top="1580" w:bottom="780" w:left="708" w:right="0"/>
        </w:sectPr>
      </w:pPr>
    </w:p>
    <w:p>
      <w:pPr>
        <w:pStyle w:val="BodyText"/>
      </w:pPr>
    </w:p>
    <w:p>
      <w:pPr>
        <w:pStyle w:val="BodyText"/>
        <w:spacing w:before="261"/>
      </w:pPr>
    </w:p>
    <w:p>
      <w:pPr>
        <w:pStyle w:val="ListParagraph"/>
        <w:numPr>
          <w:ilvl w:val="0"/>
          <w:numId w:val="9"/>
        </w:numPr>
        <w:tabs>
          <w:tab w:pos="2625" w:val="left" w:leader="none"/>
        </w:tabs>
        <w:spacing w:line="240" w:lineRule="auto" w:before="0" w:after="0"/>
        <w:ind w:left="2625" w:right="0" w:hanging="360"/>
        <w:jc w:val="left"/>
        <w:rPr>
          <w:sz w:val="24"/>
        </w:rPr>
      </w:pPr>
      <w:r>
        <w:rPr>
          <w:sz w:val="24"/>
        </w:rPr>
        <w:t>O</w:t>
      </w:r>
      <w:r>
        <w:rPr>
          <w:spacing w:val="-7"/>
          <w:sz w:val="24"/>
        </w:rPr>
        <w:t> </w:t>
      </w:r>
      <w:r>
        <w:rPr>
          <w:sz w:val="24"/>
        </w:rPr>
        <w:t>Déficit do</w:t>
      </w:r>
      <w:r>
        <w:rPr>
          <w:spacing w:val="-3"/>
          <w:sz w:val="24"/>
        </w:rPr>
        <w:t> </w:t>
      </w:r>
      <w:r>
        <w:rPr>
          <w:sz w:val="24"/>
        </w:rPr>
        <w:t>Exercício</w:t>
      </w:r>
      <w:r>
        <w:rPr>
          <w:spacing w:val="-2"/>
          <w:sz w:val="24"/>
        </w:rPr>
        <w:t> </w:t>
      </w:r>
      <w:r>
        <w:rPr>
          <w:sz w:val="24"/>
        </w:rPr>
        <w:t>totalizou</w:t>
      </w:r>
      <w:r>
        <w:rPr>
          <w:spacing w:val="-3"/>
          <w:sz w:val="24"/>
        </w:rPr>
        <w:t> </w:t>
      </w:r>
      <w:r>
        <w:rPr>
          <w:sz w:val="24"/>
        </w:rPr>
        <w:t>-R$</w:t>
      </w:r>
      <w:r>
        <w:rPr>
          <w:spacing w:val="-2"/>
          <w:sz w:val="24"/>
        </w:rPr>
        <w:t> 2,6MM;</w:t>
      </w:r>
    </w:p>
    <w:p>
      <w:pPr>
        <w:pStyle w:val="BodyText"/>
        <w:rPr>
          <w:sz w:val="20"/>
        </w:rPr>
      </w:pPr>
    </w:p>
    <w:p>
      <w:pPr>
        <w:pStyle w:val="BodyText"/>
        <w:rPr>
          <w:sz w:val="20"/>
        </w:rPr>
      </w:pPr>
    </w:p>
    <w:p>
      <w:pPr>
        <w:pStyle w:val="BodyText"/>
        <w:spacing w:before="90"/>
        <w:rPr>
          <w:sz w:val="20"/>
        </w:rPr>
      </w:pPr>
    </w:p>
    <w:tbl>
      <w:tblPr>
        <w:tblW w:w="0" w:type="auto"/>
        <w:jc w:val="left"/>
        <w:tblInd w:w="295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top w:w="0" w:type="dxa"/>
          <w:left w:w="0" w:type="dxa"/>
          <w:bottom w:w="0" w:type="dxa"/>
          <w:right w:w="0" w:type="dxa"/>
        </w:tblCellMar>
        <w:tblLook w:val="01E0"/>
      </w:tblPr>
      <w:tblGrid>
        <w:gridCol w:w="3256"/>
        <w:gridCol w:w="1108"/>
        <w:gridCol w:w="792"/>
      </w:tblGrid>
      <w:tr>
        <w:trPr>
          <w:trHeight w:val="210" w:hRule="atLeast"/>
        </w:trPr>
        <w:tc>
          <w:tcPr>
            <w:tcW w:w="3256" w:type="dxa"/>
            <w:tcBorders>
              <w:left w:val="nil"/>
              <w:bottom w:val="nil"/>
            </w:tcBorders>
            <w:shd w:val="clear" w:color="auto" w:fill="F1F1F1"/>
          </w:tcPr>
          <w:p>
            <w:pPr>
              <w:pStyle w:val="TableParagraph"/>
              <w:spacing w:line="80" w:lineRule="exact" w:before="110"/>
              <w:ind w:left="892"/>
              <w:jc w:val="left"/>
              <w:rPr>
                <w:rFonts w:ascii="Segoe UI"/>
                <w:b/>
                <w:sz w:val="15"/>
              </w:rPr>
            </w:pPr>
            <w:r>
              <w:rPr>
                <w:rFonts w:ascii="Segoe UI"/>
                <w:b/>
                <w:sz w:val="15"/>
              </w:rPr>
              <w:t>DRE</w:t>
            </w:r>
            <w:r>
              <w:rPr>
                <w:rFonts w:ascii="Segoe UI"/>
                <w:b/>
                <w:spacing w:val="8"/>
                <w:sz w:val="15"/>
              </w:rPr>
              <w:t> </w:t>
            </w:r>
            <w:r>
              <w:rPr>
                <w:rFonts w:ascii="Segoe UI"/>
                <w:b/>
                <w:sz w:val="15"/>
              </w:rPr>
              <w:t>HUGO</w:t>
            </w:r>
            <w:r>
              <w:rPr>
                <w:rFonts w:ascii="Segoe UI"/>
                <w:b/>
                <w:spacing w:val="12"/>
                <w:sz w:val="15"/>
              </w:rPr>
              <w:t> </w:t>
            </w:r>
            <w:r>
              <w:rPr>
                <w:rFonts w:ascii="Segoe UI"/>
                <w:b/>
                <w:sz w:val="15"/>
              </w:rPr>
              <w:t>-</w:t>
            </w:r>
            <w:r>
              <w:rPr>
                <w:rFonts w:ascii="Segoe UI"/>
                <w:b/>
                <w:spacing w:val="2"/>
                <w:sz w:val="15"/>
              </w:rPr>
              <w:t> </w:t>
            </w:r>
            <w:r>
              <w:rPr>
                <w:rFonts w:ascii="Segoe UI"/>
                <w:b/>
                <w:sz w:val="15"/>
              </w:rPr>
              <w:t>R$</w:t>
            </w:r>
            <w:r>
              <w:rPr>
                <w:rFonts w:ascii="Segoe UI"/>
                <w:b/>
                <w:spacing w:val="2"/>
                <w:sz w:val="15"/>
              </w:rPr>
              <w:t> </w:t>
            </w:r>
            <w:r>
              <w:rPr>
                <w:rFonts w:ascii="Segoe UI"/>
                <w:b/>
                <w:spacing w:val="-5"/>
                <w:sz w:val="15"/>
              </w:rPr>
              <w:t>MM</w:t>
            </w:r>
          </w:p>
        </w:tc>
        <w:tc>
          <w:tcPr>
            <w:tcW w:w="1900" w:type="dxa"/>
            <w:gridSpan w:val="2"/>
            <w:tcBorders>
              <w:right w:val="nil"/>
            </w:tcBorders>
            <w:shd w:val="clear" w:color="auto" w:fill="F1F1F1"/>
          </w:tcPr>
          <w:p>
            <w:pPr>
              <w:pStyle w:val="TableParagraph"/>
              <w:spacing w:line="190" w:lineRule="exact"/>
              <w:ind w:left="7"/>
              <w:rPr>
                <w:rFonts w:ascii="Segoe UI"/>
                <w:b/>
                <w:sz w:val="15"/>
              </w:rPr>
            </w:pPr>
            <w:r>
              <w:rPr>
                <w:rFonts w:ascii="Segoe UI"/>
                <w:b/>
                <w:spacing w:val="-2"/>
                <w:sz w:val="15"/>
              </w:rPr>
              <w:t>MENSAL</w:t>
            </w:r>
          </w:p>
        </w:tc>
      </w:tr>
      <w:tr>
        <w:trPr>
          <w:trHeight w:val="211" w:hRule="atLeast"/>
        </w:trPr>
        <w:tc>
          <w:tcPr>
            <w:tcW w:w="3256" w:type="dxa"/>
            <w:tcBorders>
              <w:top w:val="nil"/>
              <w:left w:val="nil"/>
            </w:tcBorders>
            <w:shd w:val="clear" w:color="auto" w:fill="F1F1F1"/>
          </w:tcPr>
          <w:p>
            <w:pPr>
              <w:pStyle w:val="TableParagraph"/>
              <w:jc w:val="left"/>
              <w:rPr>
                <w:sz w:val="14"/>
              </w:rPr>
            </w:pPr>
          </w:p>
        </w:tc>
        <w:tc>
          <w:tcPr>
            <w:tcW w:w="1108" w:type="dxa"/>
            <w:shd w:val="clear" w:color="auto" w:fill="F1F1F1"/>
          </w:tcPr>
          <w:p>
            <w:pPr>
              <w:pStyle w:val="TableParagraph"/>
              <w:spacing w:line="186" w:lineRule="exact" w:before="5"/>
              <w:ind w:right="15"/>
              <w:jc w:val="right"/>
              <w:rPr>
                <w:rFonts w:ascii="Segoe UI"/>
                <w:b/>
                <w:sz w:val="15"/>
              </w:rPr>
            </w:pPr>
            <w:r>
              <w:rPr>
                <w:rFonts w:ascii="Segoe UI"/>
                <w:b/>
                <w:spacing w:val="-2"/>
                <w:sz w:val="15"/>
              </w:rPr>
              <w:t>NOV/25R</w:t>
            </w:r>
          </w:p>
        </w:tc>
        <w:tc>
          <w:tcPr>
            <w:tcW w:w="792" w:type="dxa"/>
            <w:tcBorders>
              <w:right w:val="nil"/>
            </w:tcBorders>
            <w:shd w:val="clear" w:color="auto" w:fill="D8D8D8"/>
          </w:tcPr>
          <w:p>
            <w:pPr>
              <w:pStyle w:val="TableParagraph"/>
              <w:spacing w:line="186" w:lineRule="exact" w:before="5"/>
              <w:ind w:right="46"/>
              <w:jc w:val="right"/>
              <w:rPr>
                <w:rFonts w:ascii="Segoe UI"/>
                <w:b/>
                <w:sz w:val="15"/>
              </w:rPr>
            </w:pPr>
            <w:r>
              <w:rPr>
                <w:rFonts w:ascii="Segoe UI"/>
                <w:b/>
                <w:spacing w:val="-2"/>
                <w:sz w:val="15"/>
              </w:rPr>
              <w:t>NOV/25P</w:t>
            </w:r>
          </w:p>
        </w:tc>
      </w:tr>
      <w:tr>
        <w:trPr>
          <w:trHeight w:val="211" w:hRule="atLeast"/>
        </w:trPr>
        <w:tc>
          <w:tcPr>
            <w:tcW w:w="3256" w:type="dxa"/>
            <w:tcBorders>
              <w:left w:val="nil"/>
            </w:tcBorders>
          </w:tcPr>
          <w:p>
            <w:pPr>
              <w:pStyle w:val="TableParagraph"/>
              <w:jc w:val="left"/>
              <w:rPr>
                <w:sz w:val="14"/>
              </w:rPr>
            </w:pPr>
          </w:p>
        </w:tc>
        <w:tc>
          <w:tcPr>
            <w:tcW w:w="1108" w:type="dxa"/>
          </w:tcPr>
          <w:p>
            <w:pPr>
              <w:pStyle w:val="TableParagraph"/>
              <w:jc w:val="left"/>
              <w:rPr>
                <w:sz w:val="14"/>
              </w:rPr>
            </w:pPr>
          </w:p>
        </w:tc>
        <w:tc>
          <w:tcPr>
            <w:tcW w:w="792" w:type="dxa"/>
            <w:tcBorders>
              <w:right w:val="nil"/>
            </w:tcBorders>
          </w:tcPr>
          <w:p>
            <w:pPr>
              <w:pStyle w:val="TableParagraph"/>
              <w:jc w:val="left"/>
              <w:rPr>
                <w:sz w:val="14"/>
              </w:rPr>
            </w:pPr>
          </w:p>
        </w:tc>
      </w:tr>
      <w:tr>
        <w:trPr>
          <w:trHeight w:val="210" w:hRule="atLeast"/>
        </w:trPr>
        <w:tc>
          <w:tcPr>
            <w:tcW w:w="3256" w:type="dxa"/>
            <w:tcBorders>
              <w:left w:val="nil"/>
            </w:tcBorders>
            <w:shd w:val="clear" w:color="auto" w:fill="1F3663"/>
          </w:tcPr>
          <w:p>
            <w:pPr>
              <w:pStyle w:val="TableParagraph"/>
              <w:spacing w:line="187" w:lineRule="exact" w:before="4"/>
              <w:ind w:left="24"/>
              <w:jc w:val="left"/>
              <w:rPr>
                <w:rFonts w:ascii="Segoe UI" w:hAnsi="Segoe UI"/>
                <w:b/>
                <w:sz w:val="15"/>
              </w:rPr>
            </w:pPr>
            <w:r>
              <w:rPr>
                <w:rFonts w:ascii="Segoe UI" w:hAnsi="Segoe UI"/>
                <w:b/>
                <w:color w:val="FFFFFF"/>
                <w:sz w:val="15"/>
              </w:rPr>
              <w:t>(</w:t>
            </w:r>
            <w:r>
              <w:rPr>
                <w:rFonts w:ascii="Segoe UI" w:hAnsi="Segoe UI"/>
                <w:b/>
                <w:color w:val="FFFFFF"/>
                <w:spacing w:val="15"/>
                <w:sz w:val="15"/>
              </w:rPr>
              <w:t> </w:t>
            </w:r>
            <w:r>
              <w:rPr>
                <w:rFonts w:ascii="Segoe UI" w:hAnsi="Segoe UI"/>
                <w:b/>
                <w:color w:val="FFFFFF"/>
                <w:sz w:val="15"/>
              </w:rPr>
              <w:t>=</w:t>
            </w:r>
            <w:r>
              <w:rPr>
                <w:rFonts w:ascii="Segoe UI" w:hAnsi="Segoe UI"/>
                <w:b/>
                <w:color w:val="FFFFFF"/>
                <w:spacing w:val="12"/>
                <w:sz w:val="15"/>
              </w:rPr>
              <w:t> </w:t>
            </w:r>
            <w:r>
              <w:rPr>
                <w:rFonts w:ascii="Segoe UI" w:hAnsi="Segoe UI"/>
                <w:b/>
                <w:color w:val="FFFFFF"/>
                <w:sz w:val="15"/>
              </w:rPr>
              <w:t>)</w:t>
            </w:r>
            <w:r>
              <w:rPr>
                <w:rFonts w:ascii="Segoe UI" w:hAnsi="Segoe UI"/>
                <w:b/>
                <w:color w:val="FFFFFF"/>
                <w:spacing w:val="13"/>
                <w:sz w:val="15"/>
              </w:rPr>
              <w:t> </w:t>
            </w:r>
            <w:r>
              <w:rPr>
                <w:rFonts w:ascii="Segoe UI" w:hAnsi="Segoe UI"/>
                <w:b/>
                <w:color w:val="FFFFFF"/>
                <w:sz w:val="15"/>
              </w:rPr>
              <w:t>Repasse</w:t>
            </w:r>
            <w:r>
              <w:rPr>
                <w:rFonts w:ascii="Segoe UI" w:hAnsi="Segoe UI"/>
                <w:b/>
                <w:color w:val="FFFFFF"/>
                <w:spacing w:val="12"/>
                <w:sz w:val="15"/>
              </w:rPr>
              <w:t> </w:t>
            </w:r>
            <w:r>
              <w:rPr>
                <w:rFonts w:ascii="Segoe UI" w:hAnsi="Segoe UI"/>
                <w:b/>
                <w:color w:val="FFFFFF"/>
                <w:sz w:val="15"/>
              </w:rPr>
              <w:t>Operacional</w:t>
            </w:r>
            <w:r>
              <w:rPr>
                <w:rFonts w:ascii="Segoe UI" w:hAnsi="Segoe UI"/>
                <w:b/>
                <w:color w:val="FFFFFF"/>
                <w:spacing w:val="16"/>
                <w:sz w:val="15"/>
              </w:rPr>
              <w:t> </w:t>
            </w:r>
            <w:r>
              <w:rPr>
                <w:rFonts w:ascii="Segoe UI" w:hAnsi="Segoe UI"/>
                <w:b/>
                <w:color w:val="FFFFFF"/>
                <w:spacing w:val="-2"/>
                <w:sz w:val="15"/>
              </w:rPr>
              <w:t>Líquido</w:t>
            </w:r>
          </w:p>
        </w:tc>
        <w:tc>
          <w:tcPr>
            <w:tcW w:w="1108" w:type="dxa"/>
            <w:shd w:val="clear" w:color="auto" w:fill="1F3663"/>
          </w:tcPr>
          <w:p>
            <w:pPr>
              <w:pStyle w:val="TableParagraph"/>
              <w:spacing w:line="187" w:lineRule="exact" w:before="4"/>
              <w:ind w:right="15"/>
              <w:jc w:val="right"/>
              <w:rPr>
                <w:rFonts w:ascii="Segoe UI"/>
                <w:b/>
                <w:sz w:val="15"/>
              </w:rPr>
            </w:pPr>
            <w:r>
              <w:rPr>
                <w:rFonts w:ascii="Segoe UI"/>
                <w:b/>
                <w:color w:val="FFFFFF"/>
                <w:spacing w:val="-4"/>
                <w:sz w:val="15"/>
              </w:rPr>
              <w:t>24,3</w:t>
            </w:r>
          </w:p>
        </w:tc>
        <w:tc>
          <w:tcPr>
            <w:tcW w:w="792" w:type="dxa"/>
            <w:tcBorders>
              <w:right w:val="nil"/>
            </w:tcBorders>
            <w:shd w:val="clear" w:color="auto" w:fill="1F3663"/>
          </w:tcPr>
          <w:p>
            <w:pPr>
              <w:pStyle w:val="TableParagraph"/>
              <w:spacing w:line="187" w:lineRule="exact" w:before="4"/>
              <w:ind w:right="15"/>
              <w:jc w:val="right"/>
              <w:rPr>
                <w:rFonts w:ascii="Segoe UI"/>
                <w:b/>
                <w:sz w:val="15"/>
              </w:rPr>
            </w:pPr>
            <w:r>
              <w:rPr>
                <w:rFonts w:ascii="Segoe UI"/>
                <w:b/>
                <w:color w:val="FFFFFF"/>
                <w:spacing w:val="-4"/>
                <w:sz w:val="15"/>
              </w:rPr>
              <w:t>25,1</w:t>
            </w:r>
          </w:p>
        </w:tc>
      </w:tr>
      <w:tr>
        <w:trPr>
          <w:trHeight w:val="211" w:hRule="atLeast"/>
        </w:trPr>
        <w:tc>
          <w:tcPr>
            <w:tcW w:w="3256" w:type="dxa"/>
            <w:tcBorders>
              <w:left w:val="nil"/>
            </w:tcBorders>
            <w:shd w:val="clear" w:color="auto" w:fill="2F5395"/>
          </w:tcPr>
          <w:p>
            <w:pPr>
              <w:pStyle w:val="TableParagraph"/>
              <w:spacing w:line="187" w:lineRule="exact" w:before="4"/>
              <w:ind w:left="24"/>
              <w:jc w:val="left"/>
              <w:rPr>
                <w:rFonts w:ascii="Segoe UI"/>
                <w:b/>
                <w:sz w:val="15"/>
              </w:rPr>
            </w:pPr>
            <w:r>
              <w:rPr>
                <w:rFonts w:ascii="Segoe UI"/>
                <w:b/>
                <w:color w:val="FFFFFF"/>
                <w:sz w:val="15"/>
              </w:rPr>
              <w:t>(</w:t>
            </w:r>
            <w:r>
              <w:rPr>
                <w:rFonts w:ascii="Segoe UI"/>
                <w:b/>
                <w:color w:val="FFFFFF"/>
                <w:spacing w:val="11"/>
                <w:sz w:val="15"/>
              </w:rPr>
              <w:t> </w:t>
            </w:r>
            <w:r>
              <w:rPr>
                <w:rFonts w:ascii="Segoe UI"/>
                <w:b/>
                <w:color w:val="FFFFFF"/>
                <w:sz w:val="15"/>
              </w:rPr>
              <w:t>-</w:t>
            </w:r>
            <w:r>
              <w:rPr>
                <w:rFonts w:ascii="Segoe UI"/>
                <w:b/>
                <w:color w:val="FFFFFF"/>
                <w:spacing w:val="5"/>
                <w:sz w:val="15"/>
              </w:rPr>
              <w:t> </w:t>
            </w:r>
            <w:r>
              <w:rPr>
                <w:rFonts w:ascii="Segoe UI"/>
                <w:b/>
                <w:color w:val="FFFFFF"/>
                <w:sz w:val="15"/>
              </w:rPr>
              <w:t>)</w:t>
            </w:r>
            <w:r>
              <w:rPr>
                <w:rFonts w:ascii="Segoe UI"/>
                <w:b/>
                <w:color w:val="FFFFFF"/>
                <w:spacing w:val="14"/>
                <w:sz w:val="15"/>
              </w:rPr>
              <w:t> </w:t>
            </w:r>
            <w:r>
              <w:rPr>
                <w:rFonts w:ascii="Segoe UI"/>
                <w:b/>
                <w:color w:val="FFFFFF"/>
                <w:sz w:val="15"/>
              </w:rPr>
              <w:t>Custos</w:t>
            </w:r>
            <w:r>
              <w:rPr>
                <w:rFonts w:ascii="Segoe UI"/>
                <w:b/>
                <w:color w:val="FFFFFF"/>
                <w:spacing w:val="13"/>
                <w:sz w:val="15"/>
              </w:rPr>
              <w:t> </w:t>
            </w:r>
            <w:r>
              <w:rPr>
                <w:rFonts w:ascii="Segoe UI"/>
                <w:b/>
                <w:color w:val="FFFFFF"/>
                <w:sz w:val="15"/>
              </w:rPr>
              <w:t>e</w:t>
            </w:r>
            <w:r>
              <w:rPr>
                <w:rFonts w:ascii="Segoe UI"/>
                <w:b/>
                <w:color w:val="FFFFFF"/>
                <w:spacing w:val="8"/>
                <w:sz w:val="15"/>
              </w:rPr>
              <w:t> </w:t>
            </w:r>
            <w:r>
              <w:rPr>
                <w:rFonts w:ascii="Segoe UI"/>
                <w:b/>
                <w:color w:val="FFFFFF"/>
                <w:spacing w:val="-2"/>
                <w:sz w:val="15"/>
              </w:rPr>
              <w:t>Despesas</w:t>
            </w:r>
          </w:p>
        </w:tc>
        <w:tc>
          <w:tcPr>
            <w:tcW w:w="1108" w:type="dxa"/>
            <w:shd w:val="clear" w:color="auto" w:fill="2F5395"/>
          </w:tcPr>
          <w:p>
            <w:pPr>
              <w:pStyle w:val="TableParagraph"/>
              <w:spacing w:line="187" w:lineRule="exact" w:before="4"/>
              <w:ind w:right="15"/>
              <w:jc w:val="right"/>
              <w:rPr>
                <w:rFonts w:ascii="Segoe UI"/>
                <w:b/>
                <w:sz w:val="15"/>
              </w:rPr>
            </w:pPr>
            <w:r>
              <w:rPr>
                <w:rFonts w:ascii="Segoe UI"/>
                <w:b/>
                <w:color w:val="FFFFFF"/>
                <w:spacing w:val="-4"/>
                <w:sz w:val="15"/>
              </w:rPr>
              <w:t>27,2</w:t>
            </w:r>
          </w:p>
        </w:tc>
        <w:tc>
          <w:tcPr>
            <w:tcW w:w="792" w:type="dxa"/>
            <w:tcBorders>
              <w:right w:val="nil"/>
            </w:tcBorders>
            <w:shd w:val="clear" w:color="auto" w:fill="2F5395"/>
          </w:tcPr>
          <w:p>
            <w:pPr>
              <w:pStyle w:val="TableParagraph"/>
              <w:spacing w:line="187" w:lineRule="exact" w:before="4"/>
              <w:ind w:right="15"/>
              <w:jc w:val="right"/>
              <w:rPr>
                <w:rFonts w:ascii="Segoe UI"/>
                <w:b/>
                <w:sz w:val="15"/>
              </w:rPr>
            </w:pPr>
            <w:r>
              <w:rPr>
                <w:rFonts w:ascii="Segoe UI"/>
                <w:b/>
                <w:color w:val="FFFFFF"/>
                <w:spacing w:val="-4"/>
                <w:sz w:val="15"/>
              </w:rPr>
              <w:t>25,1</w:t>
            </w:r>
          </w:p>
        </w:tc>
      </w:tr>
      <w:tr>
        <w:trPr>
          <w:trHeight w:val="211" w:hRule="atLeast"/>
        </w:trPr>
        <w:tc>
          <w:tcPr>
            <w:tcW w:w="3256" w:type="dxa"/>
            <w:tcBorders>
              <w:left w:val="nil"/>
            </w:tcBorders>
          </w:tcPr>
          <w:p>
            <w:pPr>
              <w:pStyle w:val="TableParagraph"/>
              <w:spacing w:line="185" w:lineRule="exact" w:before="6"/>
              <w:ind w:left="238"/>
              <w:jc w:val="left"/>
              <w:rPr>
                <w:rFonts w:ascii="Segoe UI"/>
                <w:b/>
                <w:sz w:val="15"/>
              </w:rPr>
            </w:pPr>
            <w:r>
              <w:rPr>
                <w:rFonts w:ascii="Segoe UI"/>
                <w:b/>
                <w:sz w:val="15"/>
              </w:rPr>
              <w:t>Materiais</w:t>
            </w:r>
            <w:r>
              <w:rPr>
                <w:rFonts w:ascii="Segoe UI"/>
                <w:b/>
                <w:spacing w:val="14"/>
                <w:sz w:val="15"/>
              </w:rPr>
              <w:t> </w:t>
            </w:r>
            <w:r>
              <w:rPr>
                <w:rFonts w:ascii="Segoe UI"/>
                <w:b/>
                <w:sz w:val="15"/>
              </w:rPr>
              <w:t>e</w:t>
            </w:r>
            <w:r>
              <w:rPr>
                <w:rFonts w:ascii="Segoe UI"/>
                <w:b/>
                <w:spacing w:val="12"/>
                <w:sz w:val="15"/>
              </w:rPr>
              <w:t> </w:t>
            </w:r>
            <w:r>
              <w:rPr>
                <w:rFonts w:ascii="Segoe UI"/>
                <w:b/>
                <w:spacing w:val="-2"/>
                <w:sz w:val="15"/>
              </w:rPr>
              <w:t>Medicamentos</w:t>
            </w:r>
          </w:p>
        </w:tc>
        <w:tc>
          <w:tcPr>
            <w:tcW w:w="1108" w:type="dxa"/>
          </w:tcPr>
          <w:p>
            <w:pPr>
              <w:pStyle w:val="TableParagraph"/>
              <w:spacing w:line="185" w:lineRule="exact" w:before="6"/>
              <w:ind w:right="14"/>
              <w:jc w:val="right"/>
              <w:rPr>
                <w:rFonts w:ascii="Segoe UI"/>
                <w:b/>
                <w:sz w:val="15"/>
              </w:rPr>
            </w:pPr>
            <w:r>
              <w:rPr>
                <w:rFonts w:ascii="Segoe UI"/>
                <w:b/>
                <w:spacing w:val="-5"/>
                <w:sz w:val="15"/>
              </w:rPr>
              <w:t>4,2</w:t>
            </w:r>
          </w:p>
        </w:tc>
        <w:tc>
          <w:tcPr>
            <w:tcW w:w="792" w:type="dxa"/>
            <w:tcBorders>
              <w:right w:val="nil"/>
            </w:tcBorders>
          </w:tcPr>
          <w:p>
            <w:pPr>
              <w:pStyle w:val="TableParagraph"/>
              <w:spacing w:line="185" w:lineRule="exact" w:before="6"/>
              <w:ind w:right="16"/>
              <w:jc w:val="right"/>
              <w:rPr>
                <w:rFonts w:ascii="Segoe UI"/>
                <w:b/>
                <w:sz w:val="15"/>
              </w:rPr>
            </w:pPr>
            <w:r>
              <w:rPr>
                <w:rFonts w:ascii="Segoe UI"/>
                <w:b/>
                <w:spacing w:val="-5"/>
                <w:sz w:val="15"/>
              </w:rPr>
              <w:t>3,8</w:t>
            </w:r>
          </w:p>
        </w:tc>
      </w:tr>
      <w:tr>
        <w:trPr>
          <w:trHeight w:val="211" w:hRule="atLeast"/>
        </w:trPr>
        <w:tc>
          <w:tcPr>
            <w:tcW w:w="3256" w:type="dxa"/>
            <w:tcBorders>
              <w:left w:val="nil"/>
            </w:tcBorders>
          </w:tcPr>
          <w:p>
            <w:pPr>
              <w:pStyle w:val="TableParagraph"/>
              <w:spacing w:line="188" w:lineRule="exact" w:before="3"/>
              <w:ind w:left="238"/>
              <w:jc w:val="left"/>
              <w:rPr>
                <w:rFonts w:ascii="Segoe UI"/>
                <w:b/>
                <w:sz w:val="15"/>
              </w:rPr>
            </w:pPr>
            <w:r>
              <w:rPr>
                <w:rFonts w:ascii="Segoe UI"/>
                <w:b/>
                <w:spacing w:val="-2"/>
                <w:sz w:val="15"/>
              </w:rPr>
              <w:t>Gasoterapia</w:t>
            </w:r>
          </w:p>
        </w:tc>
        <w:tc>
          <w:tcPr>
            <w:tcW w:w="1108" w:type="dxa"/>
          </w:tcPr>
          <w:p>
            <w:pPr>
              <w:pStyle w:val="TableParagraph"/>
              <w:spacing w:line="188" w:lineRule="exact" w:before="3"/>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8" w:lineRule="exact" w:before="3"/>
              <w:ind w:right="16"/>
              <w:jc w:val="right"/>
              <w:rPr>
                <w:rFonts w:ascii="Segoe UI"/>
                <w:b/>
                <w:sz w:val="15"/>
              </w:rPr>
            </w:pPr>
            <w:r>
              <w:rPr>
                <w:rFonts w:ascii="Segoe UI"/>
                <w:b/>
                <w:spacing w:val="-5"/>
                <w:sz w:val="15"/>
              </w:rPr>
              <w:t>0,1</w:t>
            </w:r>
          </w:p>
        </w:tc>
      </w:tr>
      <w:tr>
        <w:trPr>
          <w:trHeight w:val="210" w:hRule="atLeast"/>
        </w:trPr>
        <w:tc>
          <w:tcPr>
            <w:tcW w:w="3256" w:type="dxa"/>
            <w:tcBorders>
              <w:left w:val="nil"/>
            </w:tcBorders>
          </w:tcPr>
          <w:p>
            <w:pPr>
              <w:pStyle w:val="TableParagraph"/>
              <w:spacing w:line="186" w:lineRule="exact" w:before="5"/>
              <w:ind w:left="238"/>
              <w:jc w:val="left"/>
              <w:rPr>
                <w:rFonts w:ascii="Segoe UI" w:hAnsi="Segoe UI"/>
                <w:b/>
                <w:sz w:val="15"/>
              </w:rPr>
            </w:pPr>
            <w:r>
              <w:rPr>
                <w:rFonts w:ascii="Segoe UI" w:hAnsi="Segoe UI"/>
                <w:b/>
                <w:spacing w:val="-2"/>
                <w:sz w:val="15"/>
              </w:rPr>
              <w:t>Alimentação</w:t>
            </w:r>
          </w:p>
        </w:tc>
        <w:tc>
          <w:tcPr>
            <w:tcW w:w="1108" w:type="dxa"/>
          </w:tcPr>
          <w:p>
            <w:pPr>
              <w:pStyle w:val="TableParagraph"/>
              <w:spacing w:line="186" w:lineRule="exact" w:before="5"/>
              <w:ind w:right="14"/>
              <w:jc w:val="right"/>
              <w:rPr>
                <w:rFonts w:ascii="Segoe UI"/>
                <w:b/>
                <w:sz w:val="15"/>
              </w:rPr>
            </w:pPr>
            <w:r>
              <w:rPr>
                <w:rFonts w:ascii="Segoe UI"/>
                <w:b/>
                <w:spacing w:val="-5"/>
                <w:sz w:val="15"/>
              </w:rPr>
              <w:t>1,1</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1,3</w:t>
            </w:r>
          </w:p>
        </w:tc>
      </w:tr>
      <w:tr>
        <w:trPr>
          <w:trHeight w:val="211" w:hRule="atLeast"/>
        </w:trPr>
        <w:tc>
          <w:tcPr>
            <w:tcW w:w="3256" w:type="dxa"/>
            <w:tcBorders>
              <w:left w:val="nil"/>
            </w:tcBorders>
          </w:tcPr>
          <w:p>
            <w:pPr>
              <w:pStyle w:val="TableParagraph"/>
              <w:spacing w:line="186" w:lineRule="exact" w:before="5"/>
              <w:ind w:left="238"/>
              <w:jc w:val="left"/>
              <w:rPr>
                <w:rFonts w:ascii="Segoe UI" w:hAnsi="Segoe UI"/>
                <w:b/>
                <w:sz w:val="15"/>
              </w:rPr>
            </w:pPr>
            <w:r>
              <w:rPr>
                <w:rFonts w:ascii="Segoe UI" w:hAnsi="Segoe UI"/>
                <w:b/>
                <w:sz w:val="15"/>
              </w:rPr>
              <w:t>Serviços</w:t>
            </w:r>
            <w:r>
              <w:rPr>
                <w:rFonts w:ascii="Segoe UI" w:hAnsi="Segoe UI"/>
                <w:b/>
                <w:spacing w:val="14"/>
                <w:sz w:val="15"/>
              </w:rPr>
              <w:t> </w:t>
            </w:r>
            <w:r>
              <w:rPr>
                <w:rFonts w:ascii="Segoe UI" w:hAnsi="Segoe UI"/>
                <w:b/>
                <w:spacing w:val="-2"/>
                <w:sz w:val="15"/>
              </w:rPr>
              <w:t>Variáveis</w:t>
            </w:r>
          </w:p>
        </w:tc>
        <w:tc>
          <w:tcPr>
            <w:tcW w:w="1108" w:type="dxa"/>
          </w:tcPr>
          <w:p>
            <w:pPr>
              <w:pStyle w:val="TableParagraph"/>
              <w:spacing w:line="186" w:lineRule="exact" w:before="5"/>
              <w:ind w:right="14"/>
              <w:jc w:val="right"/>
              <w:rPr>
                <w:rFonts w:ascii="Segoe UI"/>
                <w:b/>
                <w:sz w:val="15"/>
              </w:rPr>
            </w:pPr>
            <w:r>
              <w:rPr>
                <w:rFonts w:ascii="Segoe UI"/>
                <w:b/>
                <w:spacing w:val="-5"/>
                <w:sz w:val="15"/>
              </w:rPr>
              <w:t>0,6</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0,9</w:t>
            </w:r>
          </w:p>
        </w:tc>
      </w:tr>
      <w:tr>
        <w:trPr>
          <w:trHeight w:val="211" w:hRule="atLeast"/>
        </w:trPr>
        <w:tc>
          <w:tcPr>
            <w:tcW w:w="3256" w:type="dxa"/>
            <w:tcBorders>
              <w:left w:val="nil"/>
            </w:tcBorders>
          </w:tcPr>
          <w:p>
            <w:pPr>
              <w:pStyle w:val="TableParagraph"/>
              <w:spacing w:line="187" w:lineRule="exact" w:before="4"/>
              <w:ind w:left="238"/>
              <w:jc w:val="left"/>
              <w:rPr>
                <w:rFonts w:ascii="Segoe UI" w:hAnsi="Segoe UI"/>
                <w:b/>
                <w:sz w:val="15"/>
              </w:rPr>
            </w:pPr>
            <w:r>
              <w:rPr>
                <w:rFonts w:ascii="Segoe UI" w:hAnsi="Segoe UI"/>
                <w:b/>
                <w:sz w:val="15"/>
              </w:rPr>
              <w:t>Mão</w:t>
            </w:r>
            <w:r>
              <w:rPr>
                <w:rFonts w:ascii="Segoe UI" w:hAnsi="Segoe UI"/>
                <w:b/>
                <w:spacing w:val="7"/>
                <w:sz w:val="15"/>
              </w:rPr>
              <w:t> </w:t>
            </w:r>
            <w:r>
              <w:rPr>
                <w:rFonts w:ascii="Segoe UI" w:hAnsi="Segoe UI"/>
                <w:b/>
                <w:sz w:val="15"/>
              </w:rPr>
              <w:t>de</w:t>
            </w:r>
            <w:r>
              <w:rPr>
                <w:rFonts w:ascii="Segoe UI" w:hAnsi="Segoe UI"/>
                <w:b/>
                <w:spacing w:val="5"/>
                <w:sz w:val="15"/>
              </w:rPr>
              <w:t> </w:t>
            </w:r>
            <w:r>
              <w:rPr>
                <w:rFonts w:ascii="Segoe UI" w:hAnsi="Segoe UI"/>
                <w:b/>
                <w:spacing w:val="-4"/>
                <w:sz w:val="15"/>
              </w:rPr>
              <w:t>Obra</w:t>
            </w:r>
          </w:p>
        </w:tc>
        <w:tc>
          <w:tcPr>
            <w:tcW w:w="1108" w:type="dxa"/>
          </w:tcPr>
          <w:p>
            <w:pPr>
              <w:pStyle w:val="TableParagraph"/>
              <w:spacing w:line="187" w:lineRule="exact" w:before="4"/>
              <w:ind w:right="15"/>
              <w:jc w:val="right"/>
              <w:rPr>
                <w:rFonts w:ascii="Segoe UI"/>
                <w:b/>
                <w:sz w:val="15"/>
              </w:rPr>
            </w:pPr>
            <w:r>
              <w:rPr>
                <w:rFonts w:ascii="Segoe UI"/>
                <w:b/>
                <w:spacing w:val="-4"/>
                <w:sz w:val="15"/>
              </w:rPr>
              <w:t>15,1</w:t>
            </w:r>
          </w:p>
        </w:tc>
        <w:tc>
          <w:tcPr>
            <w:tcW w:w="792" w:type="dxa"/>
            <w:tcBorders>
              <w:right w:val="nil"/>
            </w:tcBorders>
          </w:tcPr>
          <w:p>
            <w:pPr>
              <w:pStyle w:val="TableParagraph"/>
              <w:spacing w:line="187" w:lineRule="exact" w:before="4"/>
              <w:ind w:right="15"/>
              <w:jc w:val="right"/>
              <w:rPr>
                <w:rFonts w:ascii="Segoe UI"/>
                <w:b/>
                <w:sz w:val="15"/>
              </w:rPr>
            </w:pPr>
            <w:r>
              <w:rPr>
                <w:rFonts w:ascii="Segoe UI"/>
                <w:b/>
                <w:spacing w:val="-4"/>
                <w:sz w:val="15"/>
              </w:rPr>
              <w:t>14,5</w:t>
            </w:r>
          </w:p>
        </w:tc>
      </w:tr>
      <w:tr>
        <w:trPr>
          <w:trHeight w:val="210" w:hRule="atLeast"/>
        </w:trPr>
        <w:tc>
          <w:tcPr>
            <w:tcW w:w="3256" w:type="dxa"/>
            <w:tcBorders>
              <w:left w:val="nil"/>
            </w:tcBorders>
          </w:tcPr>
          <w:p>
            <w:pPr>
              <w:pStyle w:val="TableParagraph"/>
              <w:spacing w:line="187" w:lineRule="exact" w:before="4"/>
              <w:ind w:left="238"/>
              <w:jc w:val="left"/>
              <w:rPr>
                <w:rFonts w:ascii="Segoe UI"/>
                <w:b/>
                <w:sz w:val="15"/>
              </w:rPr>
            </w:pPr>
            <w:r>
              <w:rPr>
                <w:rFonts w:ascii="Segoe UI"/>
                <w:b/>
                <w:sz w:val="15"/>
              </w:rPr>
              <w:t>Consultoria</w:t>
            </w:r>
            <w:r>
              <w:rPr>
                <w:rFonts w:ascii="Segoe UI"/>
                <w:b/>
                <w:spacing w:val="20"/>
                <w:sz w:val="15"/>
              </w:rPr>
              <w:t> </w:t>
            </w:r>
            <w:r>
              <w:rPr>
                <w:rFonts w:ascii="Segoe UI"/>
                <w:b/>
                <w:sz w:val="15"/>
              </w:rPr>
              <w:t>e</w:t>
            </w:r>
            <w:r>
              <w:rPr>
                <w:rFonts w:ascii="Segoe UI"/>
                <w:b/>
                <w:spacing w:val="17"/>
                <w:sz w:val="15"/>
              </w:rPr>
              <w:t> </w:t>
            </w:r>
            <w:r>
              <w:rPr>
                <w:rFonts w:ascii="Segoe UI"/>
                <w:b/>
                <w:spacing w:val="-2"/>
                <w:sz w:val="15"/>
              </w:rPr>
              <w:t>Auditoria</w:t>
            </w:r>
          </w:p>
        </w:tc>
        <w:tc>
          <w:tcPr>
            <w:tcW w:w="1108" w:type="dxa"/>
          </w:tcPr>
          <w:p>
            <w:pPr>
              <w:pStyle w:val="TableParagraph"/>
              <w:spacing w:line="187" w:lineRule="exact" w:before="4"/>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7" w:lineRule="exact" w:before="4"/>
              <w:ind w:right="16"/>
              <w:jc w:val="right"/>
              <w:rPr>
                <w:rFonts w:ascii="Segoe UI"/>
                <w:b/>
                <w:sz w:val="15"/>
              </w:rPr>
            </w:pPr>
            <w:r>
              <w:rPr>
                <w:rFonts w:ascii="Segoe UI"/>
                <w:b/>
                <w:spacing w:val="-5"/>
                <w:sz w:val="15"/>
              </w:rPr>
              <w:t>0,0</w:t>
            </w:r>
          </w:p>
        </w:tc>
      </w:tr>
      <w:tr>
        <w:trPr>
          <w:trHeight w:val="211" w:hRule="atLeast"/>
        </w:trPr>
        <w:tc>
          <w:tcPr>
            <w:tcW w:w="3256" w:type="dxa"/>
            <w:tcBorders>
              <w:left w:val="nil"/>
            </w:tcBorders>
          </w:tcPr>
          <w:p>
            <w:pPr>
              <w:pStyle w:val="TableParagraph"/>
              <w:spacing w:line="187" w:lineRule="exact" w:before="4"/>
              <w:ind w:left="238"/>
              <w:jc w:val="left"/>
              <w:rPr>
                <w:rFonts w:ascii="Segoe UI" w:hAnsi="Segoe UI"/>
                <w:b/>
                <w:sz w:val="15"/>
              </w:rPr>
            </w:pPr>
            <w:r>
              <w:rPr>
                <w:rFonts w:ascii="Segoe UI" w:hAnsi="Segoe UI"/>
                <w:b/>
                <w:spacing w:val="-2"/>
                <w:sz w:val="15"/>
              </w:rPr>
              <w:t>Depreciação</w:t>
            </w:r>
          </w:p>
        </w:tc>
        <w:tc>
          <w:tcPr>
            <w:tcW w:w="1108" w:type="dxa"/>
          </w:tcPr>
          <w:p>
            <w:pPr>
              <w:pStyle w:val="TableParagraph"/>
              <w:spacing w:line="187" w:lineRule="exact" w:before="4"/>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7" w:lineRule="exact" w:before="4"/>
              <w:ind w:right="16"/>
              <w:jc w:val="right"/>
              <w:rPr>
                <w:rFonts w:ascii="Segoe UI"/>
                <w:b/>
                <w:sz w:val="15"/>
              </w:rPr>
            </w:pPr>
            <w:r>
              <w:rPr>
                <w:rFonts w:ascii="Segoe UI"/>
                <w:b/>
                <w:spacing w:val="-5"/>
                <w:sz w:val="15"/>
              </w:rPr>
              <w:t>0,0</w:t>
            </w:r>
          </w:p>
        </w:tc>
      </w:tr>
      <w:tr>
        <w:trPr>
          <w:trHeight w:val="211" w:hRule="atLeast"/>
        </w:trPr>
        <w:tc>
          <w:tcPr>
            <w:tcW w:w="3256" w:type="dxa"/>
            <w:tcBorders>
              <w:left w:val="nil"/>
            </w:tcBorders>
          </w:tcPr>
          <w:p>
            <w:pPr>
              <w:pStyle w:val="TableParagraph"/>
              <w:spacing w:line="187" w:lineRule="exact" w:before="3"/>
              <w:ind w:left="238"/>
              <w:jc w:val="left"/>
              <w:rPr>
                <w:rFonts w:ascii="Segoe UI"/>
                <w:b/>
                <w:sz w:val="15"/>
              </w:rPr>
            </w:pPr>
            <w:r>
              <w:rPr>
                <w:rFonts w:ascii="Segoe UI"/>
                <w:b/>
                <w:sz w:val="15"/>
              </w:rPr>
              <w:t>Devedores</w:t>
            </w:r>
            <w:r>
              <w:rPr>
                <w:rFonts w:ascii="Segoe UI"/>
                <w:b/>
                <w:spacing w:val="23"/>
                <w:sz w:val="15"/>
              </w:rPr>
              <w:t> </w:t>
            </w:r>
            <w:r>
              <w:rPr>
                <w:rFonts w:ascii="Segoe UI"/>
                <w:b/>
                <w:spacing w:val="-2"/>
                <w:sz w:val="15"/>
              </w:rPr>
              <w:t>Duvidosos</w:t>
            </w:r>
          </w:p>
        </w:tc>
        <w:tc>
          <w:tcPr>
            <w:tcW w:w="1108" w:type="dxa"/>
          </w:tcPr>
          <w:p>
            <w:pPr>
              <w:pStyle w:val="TableParagraph"/>
              <w:spacing w:line="187" w:lineRule="exact" w:before="3"/>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7" w:lineRule="exact" w:before="3"/>
              <w:ind w:right="16"/>
              <w:jc w:val="right"/>
              <w:rPr>
                <w:rFonts w:ascii="Segoe UI"/>
                <w:b/>
                <w:sz w:val="15"/>
              </w:rPr>
            </w:pPr>
            <w:r>
              <w:rPr>
                <w:rFonts w:ascii="Segoe UI"/>
                <w:b/>
                <w:spacing w:val="-5"/>
                <w:sz w:val="15"/>
              </w:rPr>
              <w:t>0,0</w:t>
            </w:r>
          </w:p>
        </w:tc>
      </w:tr>
      <w:tr>
        <w:trPr>
          <w:trHeight w:val="211" w:hRule="atLeast"/>
        </w:trPr>
        <w:tc>
          <w:tcPr>
            <w:tcW w:w="3256" w:type="dxa"/>
            <w:tcBorders>
              <w:left w:val="nil"/>
            </w:tcBorders>
          </w:tcPr>
          <w:p>
            <w:pPr>
              <w:pStyle w:val="TableParagraph"/>
              <w:spacing w:line="186" w:lineRule="exact" w:before="5"/>
              <w:ind w:left="238"/>
              <w:jc w:val="left"/>
              <w:rPr>
                <w:rFonts w:ascii="Segoe UI"/>
                <w:b/>
                <w:sz w:val="15"/>
              </w:rPr>
            </w:pPr>
            <w:r>
              <w:rPr>
                <w:rFonts w:ascii="Segoe UI"/>
                <w:b/>
                <w:spacing w:val="-2"/>
                <w:sz w:val="15"/>
              </w:rPr>
              <w:t>Insumos</w:t>
            </w:r>
          </w:p>
        </w:tc>
        <w:tc>
          <w:tcPr>
            <w:tcW w:w="1108" w:type="dxa"/>
          </w:tcPr>
          <w:p>
            <w:pPr>
              <w:pStyle w:val="TableParagraph"/>
              <w:spacing w:line="186" w:lineRule="exact" w:before="5"/>
              <w:ind w:right="14"/>
              <w:jc w:val="right"/>
              <w:rPr>
                <w:rFonts w:ascii="Segoe UI"/>
                <w:b/>
                <w:sz w:val="15"/>
              </w:rPr>
            </w:pPr>
            <w:r>
              <w:rPr>
                <w:rFonts w:ascii="Segoe UI"/>
                <w:b/>
                <w:spacing w:val="-5"/>
                <w:sz w:val="15"/>
              </w:rPr>
              <w:t>0,4</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0,3</w:t>
            </w:r>
          </w:p>
        </w:tc>
      </w:tr>
      <w:tr>
        <w:trPr>
          <w:trHeight w:val="210" w:hRule="atLeast"/>
        </w:trPr>
        <w:tc>
          <w:tcPr>
            <w:tcW w:w="3256" w:type="dxa"/>
            <w:tcBorders>
              <w:left w:val="nil"/>
            </w:tcBorders>
          </w:tcPr>
          <w:p>
            <w:pPr>
              <w:pStyle w:val="TableParagraph"/>
              <w:spacing w:line="186" w:lineRule="exact" w:before="5"/>
              <w:ind w:left="238"/>
              <w:jc w:val="left"/>
              <w:rPr>
                <w:rFonts w:ascii="Segoe UI" w:hAnsi="Segoe UI"/>
                <w:b/>
                <w:sz w:val="15"/>
              </w:rPr>
            </w:pPr>
            <w:r>
              <w:rPr>
                <w:rFonts w:ascii="Segoe UI" w:hAnsi="Segoe UI"/>
                <w:b/>
                <w:spacing w:val="-2"/>
                <w:sz w:val="15"/>
              </w:rPr>
              <w:t>Manutenção</w:t>
            </w:r>
          </w:p>
        </w:tc>
        <w:tc>
          <w:tcPr>
            <w:tcW w:w="1108" w:type="dxa"/>
          </w:tcPr>
          <w:p>
            <w:pPr>
              <w:pStyle w:val="TableParagraph"/>
              <w:spacing w:line="186" w:lineRule="exact" w:before="5"/>
              <w:ind w:right="14"/>
              <w:jc w:val="right"/>
              <w:rPr>
                <w:rFonts w:ascii="Segoe UI"/>
                <w:b/>
                <w:sz w:val="15"/>
              </w:rPr>
            </w:pPr>
            <w:r>
              <w:rPr>
                <w:rFonts w:ascii="Segoe UI"/>
                <w:b/>
                <w:spacing w:val="-5"/>
                <w:sz w:val="15"/>
              </w:rPr>
              <w:t>1,4</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0,9</w:t>
            </w:r>
          </w:p>
        </w:tc>
      </w:tr>
      <w:tr>
        <w:trPr>
          <w:trHeight w:val="211" w:hRule="atLeast"/>
        </w:trPr>
        <w:tc>
          <w:tcPr>
            <w:tcW w:w="3256" w:type="dxa"/>
            <w:tcBorders>
              <w:left w:val="nil"/>
            </w:tcBorders>
          </w:tcPr>
          <w:p>
            <w:pPr>
              <w:pStyle w:val="TableParagraph"/>
              <w:spacing w:line="186" w:lineRule="exact" w:before="5"/>
              <w:ind w:left="238"/>
              <w:jc w:val="left"/>
              <w:rPr>
                <w:rFonts w:ascii="Segoe UI" w:hAnsi="Segoe UI"/>
                <w:b/>
                <w:sz w:val="15"/>
              </w:rPr>
            </w:pPr>
            <w:r>
              <w:rPr>
                <w:rFonts w:ascii="Segoe UI" w:hAnsi="Segoe UI"/>
                <w:b/>
                <w:spacing w:val="-2"/>
                <w:sz w:val="15"/>
              </w:rPr>
              <w:t>Patrimônio</w:t>
            </w:r>
          </w:p>
        </w:tc>
        <w:tc>
          <w:tcPr>
            <w:tcW w:w="1108" w:type="dxa"/>
          </w:tcPr>
          <w:p>
            <w:pPr>
              <w:pStyle w:val="TableParagraph"/>
              <w:spacing w:line="186" w:lineRule="exact" w:before="5"/>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0,0</w:t>
            </w:r>
          </w:p>
        </w:tc>
      </w:tr>
      <w:tr>
        <w:trPr>
          <w:trHeight w:val="211" w:hRule="atLeast"/>
        </w:trPr>
        <w:tc>
          <w:tcPr>
            <w:tcW w:w="3256" w:type="dxa"/>
            <w:tcBorders>
              <w:left w:val="nil"/>
            </w:tcBorders>
          </w:tcPr>
          <w:p>
            <w:pPr>
              <w:pStyle w:val="TableParagraph"/>
              <w:spacing w:line="187" w:lineRule="exact" w:before="4"/>
              <w:ind w:left="238"/>
              <w:jc w:val="left"/>
              <w:rPr>
                <w:rFonts w:ascii="Segoe UI" w:hAnsi="Segoe UI"/>
                <w:b/>
                <w:sz w:val="15"/>
              </w:rPr>
            </w:pPr>
            <w:r>
              <w:rPr>
                <w:rFonts w:ascii="Segoe UI" w:hAnsi="Segoe UI"/>
                <w:b/>
                <w:spacing w:val="-2"/>
                <w:sz w:val="15"/>
              </w:rPr>
              <w:t>Serviços</w:t>
            </w:r>
          </w:p>
        </w:tc>
        <w:tc>
          <w:tcPr>
            <w:tcW w:w="1108" w:type="dxa"/>
          </w:tcPr>
          <w:p>
            <w:pPr>
              <w:pStyle w:val="TableParagraph"/>
              <w:spacing w:line="187" w:lineRule="exact" w:before="4"/>
              <w:ind w:right="14"/>
              <w:jc w:val="right"/>
              <w:rPr>
                <w:rFonts w:ascii="Segoe UI"/>
                <w:b/>
                <w:sz w:val="15"/>
              </w:rPr>
            </w:pPr>
            <w:r>
              <w:rPr>
                <w:rFonts w:ascii="Segoe UI"/>
                <w:b/>
                <w:spacing w:val="-5"/>
                <w:sz w:val="15"/>
              </w:rPr>
              <w:t>3,4</w:t>
            </w:r>
          </w:p>
        </w:tc>
        <w:tc>
          <w:tcPr>
            <w:tcW w:w="792" w:type="dxa"/>
            <w:tcBorders>
              <w:right w:val="nil"/>
            </w:tcBorders>
          </w:tcPr>
          <w:p>
            <w:pPr>
              <w:pStyle w:val="TableParagraph"/>
              <w:spacing w:line="187" w:lineRule="exact" w:before="4"/>
              <w:ind w:right="16"/>
              <w:jc w:val="right"/>
              <w:rPr>
                <w:rFonts w:ascii="Segoe UI"/>
                <w:b/>
                <w:sz w:val="15"/>
              </w:rPr>
            </w:pPr>
            <w:r>
              <w:rPr>
                <w:rFonts w:ascii="Segoe UI"/>
                <w:b/>
                <w:spacing w:val="-5"/>
                <w:sz w:val="15"/>
              </w:rPr>
              <w:t>2,4</w:t>
            </w:r>
          </w:p>
        </w:tc>
      </w:tr>
      <w:tr>
        <w:trPr>
          <w:trHeight w:val="211" w:hRule="atLeast"/>
        </w:trPr>
        <w:tc>
          <w:tcPr>
            <w:tcW w:w="3256" w:type="dxa"/>
            <w:tcBorders>
              <w:left w:val="nil"/>
            </w:tcBorders>
          </w:tcPr>
          <w:p>
            <w:pPr>
              <w:pStyle w:val="TableParagraph"/>
              <w:spacing w:line="187" w:lineRule="exact" w:before="4"/>
              <w:ind w:left="238"/>
              <w:jc w:val="left"/>
              <w:rPr>
                <w:rFonts w:ascii="Segoe UI" w:hAnsi="Segoe UI"/>
                <w:b/>
                <w:sz w:val="15"/>
              </w:rPr>
            </w:pPr>
            <w:r>
              <w:rPr>
                <w:rFonts w:ascii="Segoe UI" w:hAnsi="Segoe UI"/>
                <w:b/>
                <w:sz w:val="15"/>
              </w:rPr>
              <w:t>Telefone</w:t>
            </w:r>
            <w:r>
              <w:rPr>
                <w:rFonts w:ascii="Segoe UI" w:hAnsi="Segoe UI"/>
                <w:b/>
                <w:spacing w:val="15"/>
                <w:sz w:val="15"/>
              </w:rPr>
              <w:t> </w:t>
            </w:r>
            <w:r>
              <w:rPr>
                <w:rFonts w:ascii="Segoe UI" w:hAnsi="Segoe UI"/>
                <w:b/>
                <w:sz w:val="15"/>
              </w:rPr>
              <w:t>e</w:t>
            </w:r>
            <w:r>
              <w:rPr>
                <w:rFonts w:ascii="Segoe UI" w:hAnsi="Segoe UI"/>
                <w:b/>
                <w:spacing w:val="18"/>
                <w:sz w:val="15"/>
              </w:rPr>
              <w:t> </w:t>
            </w:r>
            <w:r>
              <w:rPr>
                <w:rFonts w:ascii="Segoe UI" w:hAnsi="Segoe UI"/>
                <w:b/>
                <w:spacing w:val="-2"/>
                <w:sz w:val="15"/>
              </w:rPr>
              <w:t>Informática</w:t>
            </w:r>
          </w:p>
        </w:tc>
        <w:tc>
          <w:tcPr>
            <w:tcW w:w="1108" w:type="dxa"/>
          </w:tcPr>
          <w:p>
            <w:pPr>
              <w:pStyle w:val="TableParagraph"/>
              <w:spacing w:line="187" w:lineRule="exact" w:before="4"/>
              <w:ind w:right="14"/>
              <w:jc w:val="right"/>
              <w:rPr>
                <w:rFonts w:ascii="Segoe UI"/>
                <w:b/>
                <w:sz w:val="15"/>
              </w:rPr>
            </w:pPr>
            <w:r>
              <w:rPr>
                <w:rFonts w:ascii="Segoe UI"/>
                <w:b/>
                <w:spacing w:val="-5"/>
                <w:sz w:val="15"/>
              </w:rPr>
              <w:t>0,5</w:t>
            </w:r>
          </w:p>
        </w:tc>
        <w:tc>
          <w:tcPr>
            <w:tcW w:w="792" w:type="dxa"/>
            <w:tcBorders>
              <w:right w:val="nil"/>
            </w:tcBorders>
          </w:tcPr>
          <w:p>
            <w:pPr>
              <w:pStyle w:val="TableParagraph"/>
              <w:spacing w:line="187" w:lineRule="exact" w:before="4"/>
              <w:ind w:right="16"/>
              <w:jc w:val="right"/>
              <w:rPr>
                <w:rFonts w:ascii="Segoe UI"/>
                <w:b/>
                <w:sz w:val="15"/>
              </w:rPr>
            </w:pPr>
            <w:r>
              <w:rPr>
                <w:rFonts w:ascii="Segoe UI"/>
                <w:b/>
                <w:spacing w:val="-5"/>
                <w:sz w:val="15"/>
              </w:rPr>
              <w:t>0,5</w:t>
            </w:r>
          </w:p>
        </w:tc>
      </w:tr>
      <w:tr>
        <w:trPr>
          <w:trHeight w:val="211" w:hRule="atLeast"/>
        </w:trPr>
        <w:tc>
          <w:tcPr>
            <w:tcW w:w="3256" w:type="dxa"/>
            <w:tcBorders>
              <w:left w:val="nil"/>
            </w:tcBorders>
          </w:tcPr>
          <w:p>
            <w:pPr>
              <w:pStyle w:val="TableParagraph"/>
              <w:spacing w:line="187" w:lineRule="exact" w:before="4"/>
              <w:ind w:left="238"/>
              <w:jc w:val="left"/>
              <w:rPr>
                <w:rFonts w:ascii="Segoe UI"/>
                <w:b/>
                <w:sz w:val="15"/>
              </w:rPr>
            </w:pPr>
            <w:r>
              <w:rPr>
                <w:rFonts w:ascii="Segoe UI"/>
                <w:b/>
                <w:spacing w:val="-2"/>
                <w:sz w:val="15"/>
              </w:rPr>
              <w:t>Treinamento</w:t>
            </w:r>
          </w:p>
        </w:tc>
        <w:tc>
          <w:tcPr>
            <w:tcW w:w="1108" w:type="dxa"/>
          </w:tcPr>
          <w:p>
            <w:pPr>
              <w:pStyle w:val="TableParagraph"/>
              <w:spacing w:line="187" w:lineRule="exact" w:before="4"/>
              <w:ind w:right="14"/>
              <w:jc w:val="right"/>
              <w:rPr>
                <w:rFonts w:ascii="Segoe UI"/>
                <w:b/>
                <w:sz w:val="15"/>
              </w:rPr>
            </w:pPr>
            <w:r>
              <w:rPr>
                <w:rFonts w:ascii="Segoe UI"/>
                <w:b/>
                <w:spacing w:val="-5"/>
                <w:sz w:val="15"/>
              </w:rPr>
              <w:t>0,0</w:t>
            </w:r>
          </w:p>
        </w:tc>
        <w:tc>
          <w:tcPr>
            <w:tcW w:w="792" w:type="dxa"/>
            <w:tcBorders>
              <w:right w:val="nil"/>
            </w:tcBorders>
          </w:tcPr>
          <w:p>
            <w:pPr>
              <w:pStyle w:val="TableParagraph"/>
              <w:spacing w:line="187" w:lineRule="exact" w:before="4"/>
              <w:ind w:right="16"/>
              <w:jc w:val="right"/>
              <w:rPr>
                <w:rFonts w:ascii="Segoe UI"/>
                <w:b/>
                <w:sz w:val="15"/>
              </w:rPr>
            </w:pPr>
            <w:r>
              <w:rPr>
                <w:rFonts w:ascii="Segoe UI"/>
                <w:b/>
                <w:spacing w:val="-5"/>
                <w:sz w:val="15"/>
              </w:rPr>
              <w:t>0,1</w:t>
            </w:r>
          </w:p>
        </w:tc>
      </w:tr>
      <w:tr>
        <w:trPr>
          <w:trHeight w:val="211" w:hRule="atLeast"/>
        </w:trPr>
        <w:tc>
          <w:tcPr>
            <w:tcW w:w="3256" w:type="dxa"/>
            <w:tcBorders>
              <w:left w:val="nil"/>
            </w:tcBorders>
          </w:tcPr>
          <w:p>
            <w:pPr>
              <w:pStyle w:val="TableParagraph"/>
              <w:spacing w:line="188" w:lineRule="exact" w:before="3"/>
              <w:ind w:left="238"/>
              <w:jc w:val="left"/>
              <w:rPr>
                <w:rFonts w:ascii="Segoe UI"/>
                <w:b/>
                <w:sz w:val="15"/>
              </w:rPr>
            </w:pPr>
            <w:r>
              <w:rPr>
                <w:rFonts w:ascii="Segoe UI"/>
                <w:b/>
                <w:spacing w:val="-2"/>
                <w:sz w:val="15"/>
              </w:rPr>
              <w:t>Gerais</w:t>
            </w:r>
          </w:p>
        </w:tc>
        <w:tc>
          <w:tcPr>
            <w:tcW w:w="1108" w:type="dxa"/>
          </w:tcPr>
          <w:p>
            <w:pPr>
              <w:pStyle w:val="TableParagraph"/>
              <w:spacing w:line="188" w:lineRule="exact" w:before="3"/>
              <w:ind w:right="14"/>
              <w:jc w:val="right"/>
              <w:rPr>
                <w:rFonts w:ascii="Segoe UI"/>
                <w:b/>
                <w:sz w:val="15"/>
              </w:rPr>
            </w:pPr>
            <w:r>
              <w:rPr>
                <w:rFonts w:ascii="Segoe UI"/>
                <w:b/>
                <w:spacing w:val="-5"/>
                <w:sz w:val="15"/>
              </w:rPr>
              <w:t>0,2</w:t>
            </w:r>
          </w:p>
        </w:tc>
        <w:tc>
          <w:tcPr>
            <w:tcW w:w="792" w:type="dxa"/>
            <w:tcBorders>
              <w:right w:val="nil"/>
            </w:tcBorders>
          </w:tcPr>
          <w:p>
            <w:pPr>
              <w:pStyle w:val="TableParagraph"/>
              <w:spacing w:line="188" w:lineRule="exact" w:before="3"/>
              <w:ind w:right="16"/>
              <w:jc w:val="right"/>
              <w:rPr>
                <w:rFonts w:ascii="Segoe UI"/>
                <w:b/>
                <w:sz w:val="15"/>
              </w:rPr>
            </w:pPr>
            <w:r>
              <w:rPr>
                <w:rFonts w:ascii="Segoe UI"/>
                <w:b/>
                <w:spacing w:val="-5"/>
                <w:sz w:val="15"/>
              </w:rPr>
              <w:t>0,2</w:t>
            </w:r>
          </w:p>
        </w:tc>
      </w:tr>
      <w:tr>
        <w:trPr>
          <w:trHeight w:val="211" w:hRule="atLeast"/>
        </w:trPr>
        <w:tc>
          <w:tcPr>
            <w:tcW w:w="3256" w:type="dxa"/>
            <w:tcBorders>
              <w:left w:val="nil"/>
            </w:tcBorders>
          </w:tcPr>
          <w:p>
            <w:pPr>
              <w:pStyle w:val="TableParagraph"/>
              <w:spacing w:line="186" w:lineRule="exact" w:before="5"/>
              <w:ind w:left="238"/>
              <w:jc w:val="left"/>
              <w:rPr>
                <w:rFonts w:ascii="Segoe UI"/>
                <w:b/>
                <w:sz w:val="15"/>
              </w:rPr>
            </w:pPr>
            <w:r>
              <w:rPr>
                <w:rFonts w:ascii="Segoe UI"/>
                <w:b/>
                <w:sz w:val="15"/>
              </w:rPr>
              <w:t>Despesas</w:t>
            </w:r>
            <w:r>
              <w:rPr>
                <w:rFonts w:ascii="Segoe UI"/>
                <w:b/>
                <w:spacing w:val="29"/>
                <w:sz w:val="15"/>
              </w:rPr>
              <w:t> </w:t>
            </w:r>
            <w:r>
              <w:rPr>
                <w:rFonts w:ascii="Segoe UI"/>
                <w:b/>
                <w:spacing w:val="-2"/>
                <w:sz w:val="15"/>
              </w:rPr>
              <w:t>Legais</w:t>
            </w:r>
          </w:p>
        </w:tc>
        <w:tc>
          <w:tcPr>
            <w:tcW w:w="1108" w:type="dxa"/>
          </w:tcPr>
          <w:p>
            <w:pPr>
              <w:pStyle w:val="TableParagraph"/>
              <w:spacing w:line="186" w:lineRule="exact" w:before="5"/>
              <w:ind w:right="14"/>
              <w:jc w:val="right"/>
              <w:rPr>
                <w:rFonts w:ascii="Segoe UI"/>
                <w:b/>
                <w:sz w:val="15"/>
              </w:rPr>
            </w:pPr>
            <w:r>
              <w:rPr>
                <w:rFonts w:ascii="Segoe UI"/>
                <w:b/>
                <w:spacing w:val="-5"/>
                <w:sz w:val="15"/>
              </w:rPr>
              <w:t>0,1</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0,0</w:t>
            </w:r>
          </w:p>
        </w:tc>
      </w:tr>
      <w:tr>
        <w:trPr>
          <w:trHeight w:val="211" w:hRule="atLeast"/>
        </w:trPr>
        <w:tc>
          <w:tcPr>
            <w:tcW w:w="3256" w:type="dxa"/>
            <w:tcBorders>
              <w:left w:val="nil"/>
            </w:tcBorders>
          </w:tcPr>
          <w:p>
            <w:pPr>
              <w:pStyle w:val="TableParagraph"/>
              <w:spacing w:line="186" w:lineRule="exact" w:before="5"/>
              <w:ind w:left="238"/>
              <w:jc w:val="left"/>
              <w:rPr>
                <w:rFonts w:ascii="Segoe UI"/>
                <w:b/>
                <w:sz w:val="15"/>
              </w:rPr>
            </w:pPr>
            <w:r>
              <w:rPr>
                <w:rFonts w:ascii="Segoe UI"/>
                <w:b/>
                <w:spacing w:val="-2"/>
                <w:sz w:val="15"/>
              </w:rPr>
              <w:t>Marketing</w:t>
            </w:r>
          </w:p>
        </w:tc>
        <w:tc>
          <w:tcPr>
            <w:tcW w:w="1108" w:type="dxa"/>
          </w:tcPr>
          <w:p>
            <w:pPr>
              <w:pStyle w:val="TableParagraph"/>
              <w:spacing w:line="186" w:lineRule="exact" w:before="5"/>
              <w:ind w:right="14"/>
              <w:jc w:val="right"/>
              <w:rPr>
                <w:rFonts w:ascii="Segoe UI"/>
                <w:b/>
                <w:sz w:val="15"/>
              </w:rPr>
            </w:pPr>
            <w:r>
              <w:rPr>
                <w:rFonts w:ascii="Segoe UI"/>
                <w:b/>
                <w:spacing w:val="-5"/>
                <w:sz w:val="15"/>
              </w:rPr>
              <w:t>0,1</w:t>
            </w:r>
          </w:p>
        </w:tc>
        <w:tc>
          <w:tcPr>
            <w:tcW w:w="792" w:type="dxa"/>
            <w:tcBorders>
              <w:right w:val="nil"/>
            </w:tcBorders>
          </w:tcPr>
          <w:p>
            <w:pPr>
              <w:pStyle w:val="TableParagraph"/>
              <w:spacing w:line="186" w:lineRule="exact" w:before="5"/>
              <w:ind w:right="16"/>
              <w:jc w:val="right"/>
              <w:rPr>
                <w:rFonts w:ascii="Segoe UI"/>
                <w:b/>
                <w:sz w:val="15"/>
              </w:rPr>
            </w:pPr>
            <w:r>
              <w:rPr>
                <w:rFonts w:ascii="Segoe UI"/>
                <w:b/>
                <w:spacing w:val="-5"/>
                <w:sz w:val="15"/>
              </w:rPr>
              <w:t>0,1</w:t>
            </w:r>
          </w:p>
        </w:tc>
      </w:tr>
      <w:tr>
        <w:trPr>
          <w:trHeight w:val="211" w:hRule="atLeast"/>
        </w:trPr>
        <w:tc>
          <w:tcPr>
            <w:tcW w:w="3256" w:type="dxa"/>
            <w:tcBorders>
              <w:left w:val="nil"/>
            </w:tcBorders>
            <w:shd w:val="clear" w:color="auto" w:fill="2F5395"/>
          </w:tcPr>
          <w:p>
            <w:pPr>
              <w:pStyle w:val="TableParagraph"/>
              <w:spacing w:line="186" w:lineRule="exact" w:before="5"/>
              <w:ind w:left="24"/>
              <w:jc w:val="left"/>
              <w:rPr>
                <w:rFonts w:ascii="Segoe UI"/>
                <w:b/>
                <w:sz w:val="15"/>
              </w:rPr>
            </w:pPr>
            <w:r>
              <w:rPr>
                <w:rFonts w:ascii="Segoe UI"/>
                <w:b/>
                <w:color w:val="FFFFFF"/>
                <w:sz w:val="15"/>
              </w:rPr>
              <w:t>(</w:t>
            </w:r>
            <w:r>
              <w:rPr>
                <w:rFonts w:ascii="Segoe UI"/>
                <w:b/>
                <w:color w:val="FFFFFF"/>
                <w:spacing w:val="12"/>
                <w:sz w:val="15"/>
              </w:rPr>
              <w:t> </w:t>
            </w:r>
            <w:r>
              <w:rPr>
                <w:rFonts w:ascii="Segoe UI"/>
                <w:b/>
                <w:color w:val="FFFFFF"/>
                <w:sz w:val="15"/>
              </w:rPr>
              <w:t>=</w:t>
            </w:r>
            <w:r>
              <w:rPr>
                <w:rFonts w:ascii="Segoe UI"/>
                <w:b/>
                <w:color w:val="FFFFFF"/>
                <w:spacing w:val="10"/>
                <w:sz w:val="15"/>
              </w:rPr>
              <w:t> </w:t>
            </w:r>
            <w:r>
              <w:rPr>
                <w:rFonts w:ascii="Segoe UI"/>
                <w:b/>
                <w:color w:val="FFFFFF"/>
                <w:sz w:val="15"/>
              </w:rPr>
              <w:t>)</w:t>
            </w:r>
            <w:r>
              <w:rPr>
                <w:rFonts w:ascii="Segoe UI"/>
                <w:b/>
                <w:color w:val="FFFFFF"/>
                <w:spacing w:val="11"/>
                <w:sz w:val="15"/>
              </w:rPr>
              <w:t> </w:t>
            </w:r>
            <w:r>
              <w:rPr>
                <w:rFonts w:ascii="Segoe UI"/>
                <w:b/>
                <w:color w:val="FFFFFF"/>
                <w:sz w:val="15"/>
              </w:rPr>
              <w:t>Resultado</w:t>
            </w:r>
            <w:r>
              <w:rPr>
                <w:rFonts w:ascii="Segoe UI"/>
                <w:b/>
                <w:color w:val="FFFFFF"/>
                <w:spacing w:val="13"/>
                <w:sz w:val="15"/>
              </w:rPr>
              <w:t> </w:t>
            </w:r>
            <w:r>
              <w:rPr>
                <w:rFonts w:ascii="Segoe UI"/>
                <w:b/>
                <w:color w:val="FFFFFF"/>
                <w:spacing w:val="-2"/>
                <w:sz w:val="15"/>
              </w:rPr>
              <w:t>Operacional</w:t>
            </w:r>
          </w:p>
        </w:tc>
        <w:tc>
          <w:tcPr>
            <w:tcW w:w="1108" w:type="dxa"/>
            <w:shd w:val="clear" w:color="auto" w:fill="2F5395"/>
          </w:tcPr>
          <w:p>
            <w:pPr>
              <w:pStyle w:val="TableParagraph"/>
              <w:spacing w:line="186" w:lineRule="exact" w:before="5"/>
              <w:ind w:right="15"/>
              <w:jc w:val="right"/>
              <w:rPr>
                <w:rFonts w:ascii="Segoe UI"/>
                <w:b/>
                <w:sz w:val="15"/>
              </w:rPr>
            </w:pPr>
            <w:r>
              <w:rPr>
                <w:rFonts w:ascii="Segoe UI"/>
                <w:b/>
                <w:color w:val="FFFFFF"/>
                <w:spacing w:val="-5"/>
                <w:sz w:val="15"/>
              </w:rPr>
              <w:t>-2,9</w:t>
            </w:r>
          </w:p>
        </w:tc>
        <w:tc>
          <w:tcPr>
            <w:tcW w:w="792" w:type="dxa"/>
            <w:tcBorders>
              <w:right w:val="nil"/>
            </w:tcBorders>
            <w:shd w:val="clear" w:color="auto" w:fill="2F5395"/>
          </w:tcPr>
          <w:p>
            <w:pPr>
              <w:pStyle w:val="TableParagraph"/>
              <w:spacing w:line="186" w:lineRule="exact" w:before="5"/>
              <w:ind w:right="16"/>
              <w:jc w:val="right"/>
              <w:rPr>
                <w:rFonts w:ascii="Segoe UI"/>
                <w:b/>
                <w:sz w:val="15"/>
              </w:rPr>
            </w:pPr>
            <w:r>
              <w:rPr>
                <w:rFonts w:ascii="Segoe UI"/>
                <w:b/>
                <w:color w:val="FFFFFF"/>
                <w:spacing w:val="-5"/>
                <w:sz w:val="15"/>
              </w:rPr>
              <w:t>0,0</w:t>
            </w:r>
          </w:p>
        </w:tc>
      </w:tr>
      <w:tr>
        <w:trPr>
          <w:trHeight w:val="211" w:hRule="atLeast"/>
        </w:trPr>
        <w:tc>
          <w:tcPr>
            <w:tcW w:w="3256" w:type="dxa"/>
            <w:tcBorders>
              <w:left w:val="nil"/>
            </w:tcBorders>
            <w:shd w:val="clear" w:color="auto" w:fill="2F5395"/>
          </w:tcPr>
          <w:p>
            <w:pPr>
              <w:pStyle w:val="TableParagraph"/>
              <w:spacing w:line="187" w:lineRule="exact" w:before="4"/>
              <w:ind w:left="24"/>
              <w:jc w:val="left"/>
              <w:rPr>
                <w:rFonts w:ascii="Segoe UI" w:hAnsi="Segoe UI"/>
                <w:b/>
                <w:sz w:val="15"/>
              </w:rPr>
            </w:pPr>
            <w:r>
              <w:rPr>
                <w:rFonts w:ascii="Segoe UI" w:hAnsi="Segoe UI"/>
                <w:b/>
                <w:color w:val="FFFFFF"/>
                <w:sz w:val="15"/>
              </w:rPr>
              <w:t>(+/-)</w:t>
            </w:r>
            <w:r>
              <w:rPr>
                <w:rFonts w:ascii="Segoe UI" w:hAnsi="Segoe UI"/>
                <w:b/>
                <w:color w:val="FFFFFF"/>
                <w:spacing w:val="22"/>
                <w:sz w:val="15"/>
              </w:rPr>
              <w:t> </w:t>
            </w:r>
            <w:r>
              <w:rPr>
                <w:rFonts w:ascii="Segoe UI" w:hAnsi="Segoe UI"/>
                <w:b/>
                <w:color w:val="FFFFFF"/>
                <w:sz w:val="15"/>
              </w:rPr>
              <w:t>Resultado</w:t>
            </w:r>
            <w:r>
              <w:rPr>
                <w:rFonts w:ascii="Segoe UI" w:hAnsi="Segoe UI"/>
                <w:b/>
                <w:color w:val="FFFFFF"/>
                <w:spacing w:val="20"/>
                <w:sz w:val="15"/>
              </w:rPr>
              <w:t> </w:t>
            </w:r>
            <w:r>
              <w:rPr>
                <w:rFonts w:ascii="Segoe UI" w:hAnsi="Segoe UI"/>
                <w:b/>
                <w:color w:val="FFFFFF"/>
                <w:sz w:val="15"/>
              </w:rPr>
              <w:t>Financeiro</w:t>
            </w:r>
            <w:r>
              <w:rPr>
                <w:rFonts w:ascii="Segoe UI" w:hAnsi="Segoe UI"/>
                <w:b/>
                <w:color w:val="FFFFFF"/>
                <w:spacing w:val="20"/>
                <w:sz w:val="15"/>
              </w:rPr>
              <w:t> </w:t>
            </w:r>
            <w:r>
              <w:rPr>
                <w:rFonts w:ascii="Segoe UI" w:hAnsi="Segoe UI"/>
                <w:b/>
                <w:color w:val="FFFFFF"/>
                <w:spacing w:val="-2"/>
                <w:sz w:val="15"/>
              </w:rPr>
              <w:t>Líquido</w:t>
            </w:r>
          </w:p>
        </w:tc>
        <w:tc>
          <w:tcPr>
            <w:tcW w:w="1108" w:type="dxa"/>
            <w:shd w:val="clear" w:color="auto" w:fill="2F5395"/>
          </w:tcPr>
          <w:p>
            <w:pPr>
              <w:pStyle w:val="TableParagraph"/>
              <w:spacing w:line="187" w:lineRule="exact" w:before="4"/>
              <w:ind w:right="14"/>
              <w:jc w:val="right"/>
              <w:rPr>
                <w:rFonts w:ascii="Segoe UI"/>
                <w:b/>
                <w:sz w:val="15"/>
              </w:rPr>
            </w:pPr>
            <w:r>
              <w:rPr>
                <w:rFonts w:ascii="Segoe UI"/>
                <w:b/>
                <w:color w:val="FFFFFF"/>
                <w:spacing w:val="-5"/>
                <w:sz w:val="15"/>
              </w:rPr>
              <w:t>0,3</w:t>
            </w:r>
          </w:p>
        </w:tc>
        <w:tc>
          <w:tcPr>
            <w:tcW w:w="792" w:type="dxa"/>
            <w:tcBorders>
              <w:right w:val="nil"/>
            </w:tcBorders>
            <w:shd w:val="clear" w:color="auto" w:fill="2F5395"/>
          </w:tcPr>
          <w:p>
            <w:pPr>
              <w:pStyle w:val="TableParagraph"/>
              <w:spacing w:line="187" w:lineRule="exact" w:before="4"/>
              <w:ind w:right="16"/>
              <w:jc w:val="right"/>
              <w:rPr>
                <w:rFonts w:ascii="Segoe UI"/>
                <w:b/>
                <w:sz w:val="15"/>
              </w:rPr>
            </w:pPr>
            <w:r>
              <w:rPr>
                <w:rFonts w:ascii="Segoe UI"/>
                <w:b/>
                <w:color w:val="FFFFFF"/>
                <w:spacing w:val="-5"/>
                <w:sz w:val="15"/>
              </w:rPr>
              <w:t>0,0</w:t>
            </w:r>
          </w:p>
        </w:tc>
      </w:tr>
      <w:tr>
        <w:trPr>
          <w:trHeight w:val="213" w:hRule="atLeast"/>
        </w:trPr>
        <w:tc>
          <w:tcPr>
            <w:tcW w:w="3256" w:type="dxa"/>
            <w:tcBorders>
              <w:left w:val="nil"/>
              <w:bottom w:val="nil"/>
            </w:tcBorders>
            <w:shd w:val="clear" w:color="auto" w:fill="1F3663"/>
          </w:tcPr>
          <w:p>
            <w:pPr>
              <w:pStyle w:val="TableParagraph"/>
              <w:spacing w:line="189" w:lineRule="exact" w:before="4"/>
              <w:ind w:left="24"/>
              <w:jc w:val="left"/>
              <w:rPr>
                <w:rFonts w:ascii="Segoe UI" w:hAnsi="Segoe UI"/>
                <w:b/>
                <w:sz w:val="15"/>
              </w:rPr>
            </w:pPr>
            <w:r>
              <w:rPr>
                <w:rFonts w:ascii="Segoe UI" w:hAnsi="Segoe UI"/>
                <w:b/>
                <w:color w:val="FFFFFF"/>
                <w:sz w:val="15"/>
              </w:rPr>
              <w:t>(=)</w:t>
            </w:r>
            <w:r>
              <w:rPr>
                <w:rFonts w:ascii="Segoe UI" w:hAnsi="Segoe UI"/>
                <w:b/>
                <w:color w:val="FFFFFF"/>
                <w:spacing w:val="16"/>
                <w:sz w:val="15"/>
              </w:rPr>
              <w:t> </w:t>
            </w:r>
            <w:r>
              <w:rPr>
                <w:rFonts w:ascii="Segoe UI" w:hAnsi="Segoe UI"/>
                <w:b/>
                <w:color w:val="FFFFFF"/>
                <w:sz w:val="15"/>
              </w:rPr>
              <w:t>Resultado</w:t>
            </w:r>
            <w:r>
              <w:rPr>
                <w:rFonts w:ascii="Segoe UI" w:hAnsi="Segoe UI"/>
                <w:b/>
                <w:color w:val="FFFFFF"/>
                <w:spacing w:val="14"/>
                <w:sz w:val="15"/>
              </w:rPr>
              <w:t> </w:t>
            </w:r>
            <w:r>
              <w:rPr>
                <w:rFonts w:ascii="Segoe UI" w:hAnsi="Segoe UI"/>
                <w:b/>
                <w:color w:val="FFFFFF"/>
                <w:sz w:val="15"/>
              </w:rPr>
              <w:t>do</w:t>
            </w:r>
            <w:r>
              <w:rPr>
                <w:rFonts w:ascii="Segoe UI" w:hAnsi="Segoe UI"/>
                <w:b/>
                <w:color w:val="FFFFFF"/>
                <w:spacing w:val="13"/>
                <w:sz w:val="15"/>
              </w:rPr>
              <w:t> </w:t>
            </w:r>
            <w:r>
              <w:rPr>
                <w:rFonts w:ascii="Segoe UI" w:hAnsi="Segoe UI"/>
                <w:b/>
                <w:color w:val="FFFFFF"/>
                <w:spacing w:val="-2"/>
                <w:sz w:val="15"/>
              </w:rPr>
              <w:t>Período</w:t>
            </w:r>
          </w:p>
        </w:tc>
        <w:tc>
          <w:tcPr>
            <w:tcW w:w="1108" w:type="dxa"/>
            <w:tcBorders>
              <w:bottom w:val="nil"/>
            </w:tcBorders>
            <w:shd w:val="clear" w:color="auto" w:fill="1F3663"/>
          </w:tcPr>
          <w:p>
            <w:pPr>
              <w:pStyle w:val="TableParagraph"/>
              <w:spacing w:line="189" w:lineRule="exact" w:before="4"/>
              <w:ind w:right="15"/>
              <w:jc w:val="right"/>
              <w:rPr>
                <w:rFonts w:ascii="Segoe UI"/>
                <w:b/>
                <w:sz w:val="15"/>
              </w:rPr>
            </w:pPr>
            <w:r>
              <w:rPr>
                <w:rFonts w:ascii="Segoe UI"/>
                <w:b/>
                <w:color w:val="FFFFFF"/>
                <w:spacing w:val="-5"/>
                <w:sz w:val="15"/>
              </w:rPr>
              <w:t>-2,6</w:t>
            </w:r>
          </w:p>
        </w:tc>
        <w:tc>
          <w:tcPr>
            <w:tcW w:w="792" w:type="dxa"/>
            <w:tcBorders>
              <w:bottom w:val="nil"/>
              <w:right w:val="nil"/>
            </w:tcBorders>
            <w:shd w:val="clear" w:color="auto" w:fill="1F3663"/>
          </w:tcPr>
          <w:p>
            <w:pPr>
              <w:pStyle w:val="TableParagraph"/>
              <w:spacing w:line="189" w:lineRule="exact" w:before="4"/>
              <w:ind w:right="16"/>
              <w:jc w:val="right"/>
              <w:rPr>
                <w:rFonts w:ascii="Segoe UI"/>
                <w:b/>
                <w:sz w:val="15"/>
              </w:rPr>
            </w:pPr>
            <w:r>
              <w:rPr>
                <w:rFonts w:ascii="Segoe UI"/>
                <w:b/>
                <w:color w:val="FFFFFF"/>
                <w:spacing w:val="-5"/>
                <w:sz w:val="15"/>
              </w:rPr>
              <w:t>0,0</w:t>
            </w:r>
          </w:p>
        </w:tc>
      </w:tr>
    </w:tbl>
    <w:p>
      <w:pPr>
        <w:pStyle w:val="BodyText"/>
      </w:pPr>
    </w:p>
    <w:p>
      <w:pPr>
        <w:pStyle w:val="BodyText"/>
        <w:spacing w:before="23"/>
      </w:pPr>
    </w:p>
    <w:p>
      <w:pPr>
        <w:pStyle w:val="ListParagraph"/>
        <w:numPr>
          <w:ilvl w:val="1"/>
          <w:numId w:val="2"/>
        </w:numPr>
        <w:tabs>
          <w:tab w:pos="1313" w:val="left" w:leader="none"/>
        </w:tabs>
        <w:spacing w:line="240" w:lineRule="auto" w:before="1" w:after="0"/>
        <w:ind w:left="1313" w:right="0" w:hanging="720"/>
        <w:jc w:val="left"/>
        <w:rPr>
          <w:b/>
          <w:sz w:val="24"/>
        </w:rPr>
      </w:pPr>
      <w:bookmarkStart w:name="5.3. Análise de Custo KPIH" w:id="33"/>
      <w:bookmarkEnd w:id="33"/>
      <w:r>
        <w:rPr>
          <w:rFonts w:ascii="Arial" w:hAnsi="Arial"/>
          <w:b/>
          <w:sz w:val="24"/>
        </w:rPr>
      </w:r>
      <w:r>
        <w:rPr>
          <w:b/>
          <w:sz w:val="24"/>
        </w:rPr>
        <w:t>Análise</w:t>
      </w:r>
      <w:r>
        <w:rPr>
          <w:b/>
          <w:spacing w:val="-4"/>
          <w:sz w:val="24"/>
        </w:rPr>
        <w:t> </w:t>
      </w:r>
      <w:r>
        <w:rPr>
          <w:b/>
          <w:sz w:val="24"/>
        </w:rPr>
        <w:t>de</w:t>
      </w:r>
      <w:r>
        <w:rPr>
          <w:b/>
          <w:spacing w:val="-3"/>
          <w:sz w:val="24"/>
        </w:rPr>
        <w:t> </w:t>
      </w:r>
      <w:r>
        <w:rPr>
          <w:b/>
          <w:sz w:val="24"/>
        </w:rPr>
        <w:t>Custo</w:t>
      </w:r>
      <w:r>
        <w:rPr>
          <w:b/>
          <w:spacing w:val="-2"/>
          <w:sz w:val="24"/>
        </w:rPr>
        <w:t> </w:t>
      </w:r>
      <w:r>
        <w:rPr>
          <w:b/>
          <w:spacing w:val="-4"/>
          <w:sz w:val="24"/>
        </w:rPr>
        <w:t>KPIH</w:t>
      </w:r>
    </w:p>
    <w:p>
      <w:pPr>
        <w:pStyle w:val="BodyText"/>
        <w:spacing w:before="113"/>
        <w:rPr>
          <w:b/>
        </w:rPr>
      </w:pPr>
    </w:p>
    <w:p>
      <w:pPr>
        <w:pStyle w:val="BodyText"/>
        <w:spacing w:line="360" w:lineRule="auto" w:before="1"/>
        <w:ind w:left="593" w:right="542" w:firstLine="720"/>
      </w:pPr>
      <w:r>
        <w:rPr/>
        <w:t>A</w:t>
      </w:r>
      <w:r>
        <w:rPr>
          <w:spacing w:val="40"/>
        </w:rPr>
        <w:t> </w:t>
      </w:r>
      <w:r>
        <w:rPr/>
        <w:t>competência</w:t>
      </w:r>
      <w:r>
        <w:rPr>
          <w:spacing w:val="40"/>
        </w:rPr>
        <w:t> </w:t>
      </w:r>
      <w:r>
        <w:rPr/>
        <w:t>de</w:t>
      </w:r>
      <w:r>
        <w:rPr>
          <w:spacing w:val="40"/>
        </w:rPr>
        <w:t> </w:t>
      </w:r>
      <w:r>
        <w:rPr>
          <w:b/>
        </w:rPr>
        <w:t>outubro</w:t>
      </w:r>
      <w:r>
        <w:rPr>
          <w:b/>
          <w:spacing w:val="40"/>
        </w:rPr>
        <w:t> </w:t>
      </w:r>
      <w:r>
        <w:rPr>
          <w:b/>
        </w:rPr>
        <w:t>de</w:t>
      </w:r>
      <w:r>
        <w:rPr>
          <w:b/>
          <w:spacing w:val="40"/>
        </w:rPr>
        <w:t> </w:t>
      </w:r>
      <w:r>
        <w:rPr>
          <w:b/>
        </w:rPr>
        <w:t>2025</w:t>
      </w:r>
      <w:r>
        <w:rPr>
          <w:b/>
          <w:spacing w:val="40"/>
        </w:rPr>
        <w:t> </w:t>
      </w:r>
      <w:r>
        <w:rPr/>
        <w:t>foi</w:t>
      </w:r>
      <w:r>
        <w:rPr>
          <w:spacing w:val="40"/>
        </w:rPr>
        <w:t> </w:t>
      </w:r>
      <w:r>
        <w:rPr/>
        <w:t>entregue</w:t>
      </w:r>
      <w:r>
        <w:rPr>
          <w:spacing w:val="40"/>
        </w:rPr>
        <w:t> </w:t>
      </w:r>
      <w:r>
        <w:rPr/>
        <w:t>no</w:t>
      </w:r>
      <w:r>
        <w:rPr>
          <w:spacing w:val="40"/>
        </w:rPr>
        <w:t> </w:t>
      </w:r>
      <w:r>
        <w:rPr/>
        <w:t>dia</w:t>
      </w:r>
      <w:r>
        <w:rPr>
          <w:spacing w:val="40"/>
        </w:rPr>
        <w:t> </w:t>
      </w:r>
      <w:r>
        <w:rPr>
          <w:b/>
        </w:rPr>
        <w:t>10/12/2025</w:t>
      </w:r>
      <w:r>
        <w:rPr>
          <w:b/>
          <w:spacing w:val="40"/>
        </w:rPr>
        <w:t> </w:t>
      </w:r>
      <w:r>
        <w:rPr/>
        <w:t>na</w:t>
      </w:r>
      <w:r>
        <w:rPr>
          <w:spacing w:val="40"/>
        </w:rPr>
        <w:t> </w:t>
      </w:r>
      <w:r>
        <w:rPr/>
        <w:t>plataforma</w:t>
      </w:r>
      <w:r>
        <w:rPr>
          <w:spacing w:val="40"/>
        </w:rPr>
        <w:t> </w:t>
      </w:r>
      <w:r>
        <w:rPr/>
        <w:t>KPIH. Segue abaixo o cronograma referente ao fechamento do mês de novembro de 2025:</w:t>
      </w:r>
    </w:p>
    <w:p>
      <w:pPr>
        <w:pStyle w:val="BodyText"/>
        <w:spacing w:before="176"/>
        <w:rPr>
          <w:sz w:val="20"/>
        </w:rPr>
      </w:pPr>
    </w:p>
    <w:tbl>
      <w:tblPr>
        <w:tblW w:w="0" w:type="auto"/>
        <w:jc w:val="left"/>
        <w:tblInd w:w="6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266"/>
        <w:gridCol w:w="1676"/>
        <w:gridCol w:w="1926"/>
      </w:tblGrid>
      <w:tr>
        <w:trPr>
          <w:trHeight w:val="307" w:hRule="atLeast"/>
        </w:trPr>
        <w:tc>
          <w:tcPr>
            <w:tcW w:w="6266" w:type="dxa"/>
            <w:tcBorders>
              <w:top w:val="nil"/>
              <w:bottom w:val="nil"/>
            </w:tcBorders>
            <w:shd w:val="clear" w:color="auto" w:fill="000000"/>
          </w:tcPr>
          <w:p>
            <w:pPr>
              <w:pStyle w:val="TableParagraph"/>
              <w:spacing w:line="272" w:lineRule="exact" w:before="16"/>
              <w:ind w:left="105"/>
              <w:jc w:val="left"/>
              <w:rPr>
                <w:b/>
                <w:sz w:val="24"/>
              </w:rPr>
            </w:pPr>
            <w:r>
              <w:rPr>
                <w:b/>
                <w:color w:val="FFFFFF"/>
                <w:spacing w:val="-2"/>
                <w:sz w:val="24"/>
              </w:rPr>
              <w:t>Descrição</w:t>
            </w:r>
          </w:p>
        </w:tc>
        <w:tc>
          <w:tcPr>
            <w:tcW w:w="1676" w:type="dxa"/>
            <w:tcBorders>
              <w:top w:val="nil"/>
              <w:bottom w:val="nil"/>
            </w:tcBorders>
            <w:shd w:val="clear" w:color="auto" w:fill="000000"/>
          </w:tcPr>
          <w:p>
            <w:pPr>
              <w:pStyle w:val="TableParagraph"/>
              <w:spacing w:line="272" w:lineRule="exact" w:before="16"/>
              <w:ind w:left="18" w:right="2"/>
              <w:rPr>
                <w:b/>
                <w:sz w:val="24"/>
              </w:rPr>
            </w:pPr>
            <w:r>
              <w:rPr>
                <w:b/>
                <w:color w:val="FFFFFF"/>
                <w:spacing w:val="-2"/>
                <w:sz w:val="24"/>
              </w:rPr>
              <w:t>Prazo</w:t>
            </w:r>
          </w:p>
        </w:tc>
        <w:tc>
          <w:tcPr>
            <w:tcW w:w="1926" w:type="dxa"/>
            <w:tcBorders>
              <w:top w:val="nil"/>
              <w:bottom w:val="nil"/>
            </w:tcBorders>
            <w:shd w:val="clear" w:color="auto" w:fill="000000"/>
          </w:tcPr>
          <w:p>
            <w:pPr>
              <w:pStyle w:val="TableParagraph"/>
              <w:spacing w:line="272" w:lineRule="exact" w:before="16"/>
              <w:ind w:left="19"/>
              <w:rPr>
                <w:b/>
                <w:sz w:val="24"/>
              </w:rPr>
            </w:pPr>
            <w:r>
              <w:rPr>
                <w:b/>
                <w:color w:val="FFFFFF"/>
                <w:spacing w:val="-2"/>
                <w:sz w:val="24"/>
              </w:rPr>
              <w:t>Status</w:t>
            </w:r>
          </w:p>
        </w:tc>
      </w:tr>
      <w:tr>
        <w:trPr>
          <w:trHeight w:val="274" w:hRule="atLeast"/>
        </w:trPr>
        <w:tc>
          <w:tcPr>
            <w:tcW w:w="6266" w:type="dxa"/>
            <w:tcBorders>
              <w:top w:val="nil"/>
            </w:tcBorders>
          </w:tcPr>
          <w:p>
            <w:pPr>
              <w:pStyle w:val="TableParagraph"/>
              <w:spacing w:line="255" w:lineRule="exact"/>
              <w:ind w:left="105"/>
              <w:jc w:val="left"/>
              <w:rPr>
                <w:sz w:val="24"/>
              </w:rPr>
            </w:pPr>
            <w:r>
              <w:rPr>
                <w:sz w:val="24"/>
              </w:rPr>
              <w:t>Consultoria</w:t>
            </w:r>
            <w:r>
              <w:rPr>
                <w:spacing w:val="-2"/>
                <w:sz w:val="24"/>
              </w:rPr>
              <w:t> </w:t>
            </w:r>
            <w:r>
              <w:rPr>
                <w:sz w:val="24"/>
              </w:rPr>
              <w:t>Planisa</w:t>
            </w:r>
            <w:r>
              <w:rPr>
                <w:spacing w:val="-5"/>
                <w:sz w:val="24"/>
              </w:rPr>
              <w:t> </w:t>
            </w:r>
            <w:r>
              <w:rPr>
                <w:sz w:val="24"/>
              </w:rPr>
              <w:t>-</w:t>
            </w:r>
            <w:r>
              <w:rPr>
                <w:spacing w:val="-3"/>
                <w:sz w:val="24"/>
              </w:rPr>
              <w:t> </w:t>
            </w:r>
            <w:r>
              <w:rPr>
                <w:sz w:val="24"/>
              </w:rPr>
              <w:t>Analise</w:t>
            </w:r>
            <w:r>
              <w:rPr>
                <w:spacing w:val="-3"/>
                <w:sz w:val="24"/>
              </w:rPr>
              <w:t> </w:t>
            </w:r>
            <w:r>
              <w:rPr>
                <w:spacing w:val="-2"/>
                <w:sz w:val="24"/>
              </w:rPr>
              <w:t>outubro</w:t>
            </w:r>
          </w:p>
        </w:tc>
        <w:tc>
          <w:tcPr>
            <w:tcW w:w="1676" w:type="dxa"/>
            <w:tcBorders>
              <w:top w:val="nil"/>
            </w:tcBorders>
          </w:tcPr>
          <w:p>
            <w:pPr>
              <w:pStyle w:val="TableParagraph"/>
              <w:spacing w:line="255" w:lineRule="exact"/>
              <w:ind w:left="18"/>
              <w:rPr>
                <w:sz w:val="24"/>
              </w:rPr>
            </w:pPr>
            <w:r>
              <w:rPr>
                <w:spacing w:val="-2"/>
                <w:sz w:val="24"/>
              </w:rPr>
              <w:t>03/12/2025</w:t>
            </w:r>
          </w:p>
        </w:tc>
        <w:tc>
          <w:tcPr>
            <w:tcW w:w="1926" w:type="dxa"/>
            <w:tcBorders>
              <w:top w:val="nil"/>
            </w:tcBorders>
          </w:tcPr>
          <w:p>
            <w:pPr>
              <w:pStyle w:val="TableParagraph"/>
              <w:spacing w:line="255" w:lineRule="exact"/>
              <w:ind w:left="19" w:right="1"/>
              <w:rPr>
                <w:sz w:val="24"/>
              </w:rPr>
            </w:pPr>
            <w:r>
              <w:rPr>
                <w:spacing w:val="-2"/>
                <w:sz w:val="24"/>
              </w:rPr>
              <w:t>Concluído</w:t>
            </w:r>
          </w:p>
        </w:tc>
      </w:tr>
      <w:tr>
        <w:trPr>
          <w:trHeight w:val="276" w:hRule="atLeast"/>
        </w:trPr>
        <w:tc>
          <w:tcPr>
            <w:tcW w:w="6266" w:type="dxa"/>
          </w:tcPr>
          <w:p>
            <w:pPr>
              <w:pStyle w:val="TableParagraph"/>
              <w:spacing w:line="257" w:lineRule="exact"/>
              <w:ind w:left="105"/>
              <w:jc w:val="left"/>
              <w:rPr>
                <w:sz w:val="24"/>
              </w:rPr>
            </w:pPr>
            <w:r>
              <w:rPr>
                <w:sz w:val="24"/>
              </w:rPr>
              <w:t>Consultoria</w:t>
            </w:r>
            <w:r>
              <w:rPr>
                <w:spacing w:val="-3"/>
                <w:sz w:val="24"/>
              </w:rPr>
              <w:t> </w:t>
            </w:r>
            <w:r>
              <w:rPr>
                <w:sz w:val="24"/>
              </w:rPr>
              <w:t>Planisa</w:t>
            </w:r>
            <w:r>
              <w:rPr>
                <w:spacing w:val="-5"/>
                <w:sz w:val="24"/>
              </w:rPr>
              <w:t> </w:t>
            </w:r>
            <w:r>
              <w:rPr>
                <w:sz w:val="24"/>
              </w:rPr>
              <w:t>–</w:t>
            </w:r>
            <w:r>
              <w:rPr>
                <w:spacing w:val="-5"/>
                <w:sz w:val="24"/>
              </w:rPr>
              <w:t> </w:t>
            </w:r>
            <w:r>
              <w:rPr>
                <w:sz w:val="24"/>
              </w:rPr>
              <w:t>Pendencias</w:t>
            </w:r>
            <w:r>
              <w:rPr>
                <w:spacing w:val="-3"/>
                <w:sz w:val="24"/>
              </w:rPr>
              <w:t> </w:t>
            </w:r>
            <w:r>
              <w:rPr>
                <w:spacing w:val="-2"/>
                <w:sz w:val="24"/>
              </w:rPr>
              <w:t>outubro</w:t>
            </w:r>
          </w:p>
        </w:tc>
        <w:tc>
          <w:tcPr>
            <w:tcW w:w="1676" w:type="dxa"/>
          </w:tcPr>
          <w:p>
            <w:pPr>
              <w:pStyle w:val="TableParagraph"/>
              <w:spacing w:line="257" w:lineRule="exact"/>
              <w:ind w:left="18"/>
              <w:rPr>
                <w:sz w:val="24"/>
              </w:rPr>
            </w:pPr>
            <w:r>
              <w:rPr>
                <w:spacing w:val="-2"/>
                <w:sz w:val="24"/>
              </w:rPr>
              <w:t>05/12/2025</w:t>
            </w:r>
          </w:p>
        </w:tc>
        <w:tc>
          <w:tcPr>
            <w:tcW w:w="1926" w:type="dxa"/>
          </w:tcPr>
          <w:p>
            <w:pPr>
              <w:pStyle w:val="TableParagraph"/>
              <w:spacing w:line="257" w:lineRule="exact"/>
              <w:ind w:left="19" w:right="1"/>
              <w:rPr>
                <w:sz w:val="24"/>
              </w:rPr>
            </w:pPr>
            <w:r>
              <w:rPr>
                <w:spacing w:val="-2"/>
                <w:sz w:val="24"/>
              </w:rPr>
              <w:t>Concluído</w:t>
            </w:r>
          </w:p>
        </w:tc>
      </w:tr>
      <w:tr>
        <w:trPr>
          <w:trHeight w:val="275" w:hRule="atLeast"/>
        </w:trPr>
        <w:tc>
          <w:tcPr>
            <w:tcW w:w="6266" w:type="dxa"/>
          </w:tcPr>
          <w:p>
            <w:pPr>
              <w:pStyle w:val="TableParagraph"/>
              <w:spacing w:line="255" w:lineRule="exact"/>
              <w:ind w:left="105"/>
              <w:jc w:val="left"/>
              <w:rPr>
                <w:sz w:val="24"/>
              </w:rPr>
            </w:pPr>
            <w:r>
              <w:rPr>
                <w:sz w:val="24"/>
              </w:rPr>
              <w:t>Fechamento</w:t>
            </w:r>
            <w:r>
              <w:rPr>
                <w:spacing w:val="-3"/>
                <w:sz w:val="24"/>
              </w:rPr>
              <w:t> </w:t>
            </w:r>
            <w:r>
              <w:rPr>
                <w:sz w:val="24"/>
              </w:rPr>
              <w:t>KPIH</w:t>
            </w:r>
            <w:r>
              <w:rPr>
                <w:spacing w:val="-3"/>
                <w:sz w:val="24"/>
              </w:rPr>
              <w:t> </w:t>
            </w:r>
            <w:r>
              <w:rPr>
                <w:sz w:val="24"/>
              </w:rPr>
              <w:t>–</w:t>
            </w:r>
            <w:r>
              <w:rPr>
                <w:spacing w:val="-3"/>
                <w:sz w:val="24"/>
              </w:rPr>
              <w:t> </w:t>
            </w:r>
            <w:r>
              <w:rPr>
                <w:spacing w:val="-2"/>
                <w:sz w:val="24"/>
              </w:rPr>
              <w:t>outubro</w:t>
            </w:r>
          </w:p>
        </w:tc>
        <w:tc>
          <w:tcPr>
            <w:tcW w:w="1676" w:type="dxa"/>
          </w:tcPr>
          <w:p>
            <w:pPr>
              <w:pStyle w:val="TableParagraph"/>
              <w:spacing w:line="255" w:lineRule="exact"/>
              <w:ind w:left="18"/>
              <w:rPr>
                <w:sz w:val="24"/>
              </w:rPr>
            </w:pPr>
            <w:r>
              <w:rPr>
                <w:spacing w:val="-2"/>
                <w:sz w:val="24"/>
              </w:rPr>
              <w:t>10/12/2025</w:t>
            </w:r>
          </w:p>
        </w:tc>
        <w:tc>
          <w:tcPr>
            <w:tcW w:w="1926" w:type="dxa"/>
          </w:tcPr>
          <w:p>
            <w:pPr>
              <w:pStyle w:val="TableParagraph"/>
              <w:spacing w:line="255" w:lineRule="exact"/>
              <w:ind w:left="19" w:right="1"/>
              <w:rPr>
                <w:sz w:val="24"/>
              </w:rPr>
            </w:pPr>
            <w:r>
              <w:rPr>
                <w:spacing w:val="-2"/>
                <w:sz w:val="24"/>
              </w:rPr>
              <w:t>Concluído</w:t>
            </w:r>
          </w:p>
        </w:tc>
      </w:tr>
      <w:tr>
        <w:trPr>
          <w:trHeight w:val="277" w:hRule="atLeast"/>
        </w:trPr>
        <w:tc>
          <w:tcPr>
            <w:tcW w:w="6266" w:type="dxa"/>
          </w:tcPr>
          <w:p>
            <w:pPr>
              <w:pStyle w:val="TableParagraph"/>
              <w:spacing w:line="257" w:lineRule="exact"/>
              <w:ind w:left="105"/>
              <w:jc w:val="left"/>
              <w:rPr>
                <w:sz w:val="24"/>
              </w:rPr>
            </w:pPr>
            <w:r>
              <w:rPr>
                <w:sz w:val="24"/>
              </w:rPr>
              <w:t>Consumo</w:t>
            </w:r>
            <w:r>
              <w:rPr>
                <w:spacing w:val="-2"/>
                <w:sz w:val="24"/>
              </w:rPr>
              <w:t> </w:t>
            </w:r>
            <w:r>
              <w:rPr>
                <w:sz w:val="24"/>
              </w:rPr>
              <w:t>de</w:t>
            </w:r>
            <w:r>
              <w:rPr>
                <w:spacing w:val="-3"/>
                <w:sz w:val="24"/>
              </w:rPr>
              <w:t> </w:t>
            </w:r>
            <w:r>
              <w:rPr>
                <w:sz w:val="24"/>
              </w:rPr>
              <w:t>Estoque</w:t>
            </w:r>
            <w:r>
              <w:rPr>
                <w:spacing w:val="-2"/>
                <w:sz w:val="24"/>
              </w:rPr>
              <w:t> </w:t>
            </w:r>
            <w:r>
              <w:rPr>
                <w:sz w:val="24"/>
              </w:rPr>
              <w:t>–</w:t>
            </w:r>
            <w:r>
              <w:rPr>
                <w:spacing w:val="-2"/>
                <w:sz w:val="24"/>
              </w:rPr>
              <w:t> novembro</w:t>
            </w:r>
          </w:p>
        </w:tc>
        <w:tc>
          <w:tcPr>
            <w:tcW w:w="1676" w:type="dxa"/>
          </w:tcPr>
          <w:p>
            <w:pPr>
              <w:pStyle w:val="TableParagraph"/>
              <w:spacing w:line="257" w:lineRule="exact"/>
              <w:ind w:left="18"/>
              <w:rPr>
                <w:sz w:val="24"/>
              </w:rPr>
            </w:pPr>
            <w:r>
              <w:rPr>
                <w:spacing w:val="-2"/>
                <w:sz w:val="24"/>
              </w:rPr>
              <w:t>10/12/2025</w:t>
            </w:r>
          </w:p>
        </w:tc>
        <w:tc>
          <w:tcPr>
            <w:tcW w:w="1926" w:type="dxa"/>
          </w:tcPr>
          <w:p>
            <w:pPr>
              <w:pStyle w:val="TableParagraph"/>
              <w:spacing w:line="257" w:lineRule="exact"/>
              <w:ind w:left="19" w:right="5"/>
              <w:rPr>
                <w:sz w:val="24"/>
              </w:rPr>
            </w:pPr>
            <w:r>
              <w:rPr>
                <w:sz w:val="24"/>
              </w:rPr>
              <w:t>Em</w:t>
            </w:r>
            <w:r>
              <w:rPr>
                <w:spacing w:val="-2"/>
                <w:sz w:val="24"/>
              </w:rPr>
              <w:t> andamento</w:t>
            </w:r>
          </w:p>
        </w:tc>
      </w:tr>
      <w:tr>
        <w:trPr>
          <w:trHeight w:val="275" w:hRule="atLeast"/>
        </w:trPr>
        <w:tc>
          <w:tcPr>
            <w:tcW w:w="6266" w:type="dxa"/>
          </w:tcPr>
          <w:p>
            <w:pPr>
              <w:pStyle w:val="TableParagraph"/>
              <w:spacing w:line="255" w:lineRule="exact"/>
              <w:ind w:left="105"/>
              <w:jc w:val="left"/>
              <w:rPr>
                <w:sz w:val="24"/>
              </w:rPr>
            </w:pPr>
            <w:r>
              <w:rPr>
                <w:sz w:val="24"/>
              </w:rPr>
              <w:t>Folha</w:t>
            </w:r>
            <w:r>
              <w:rPr>
                <w:spacing w:val="-5"/>
                <w:sz w:val="24"/>
              </w:rPr>
              <w:t> </w:t>
            </w:r>
            <w:r>
              <w:rPr>
                <w:sz w:val="24"/>
              </w:rPr>
              <w:t>Clt</w:t>
            </w:r>
            <w:r>
              <w:rPr>
                <w:spacing w:val="-1"/>
                <w:sz w:val="24"/>
              </w:rPr>
              <w:t> </w:t>
            </w:r>
            <w:r>
              <w:rPr>
                <w:sz w:val="24"/>
              </w:rPr>
              <w:t>–</w:t>
            </w:r>
            <w:r>
              <w:rPr>
                <w:spacing w:val="-1"/>
                <w:sz w:val="24"/>
              </w:rPr>
              <w:t> </w:t>
            </w:r>
            <w:r>
              <w:rPr>
                <w:spacing w:val="-2"/>
                <w:sz w:val="24"/>
              </w:rPr>
              <w:t>novembro</w:t>
            </w:r>
          </w:p>
        </w:tc>
        <w:tc>
          <w:tcPr>
            <w:tcW w:w="1676" w:type="dxa"/>
          </w:tcPr>
          <w:p>
            <w:pPr>
              <w:pStyle w:val="TableParagraph"/>
              <w:spacing w:line="255" w:lineRule="exact"/>
              <w:ind w:left="18"/>
              <w:rPr>
                <w:sz w:val="24"/>
              </w:rPr>
            </w:pPr>
            <w:r>
              <w:rPr>
                <w:spacing w:val="-2"/>
                <w:sz w:val="24"/>
              </w:rPr>
              <w:t>11/12/2025</w:t>
            </w:r>
          </w:p>
        </w:tc>
        <w:tc>
          <w:tcPr>
            <w:tcW w:w="1926" w:type="dxa"/>
          </w:tcPr>
          <w:p>
            <w:pPr>
              <w:pStyle w:val="TableParagraph"/>
              <w:spacing w:line="255" w:lineRule="exact"/>
              <w:ind w:left="19" w:right="5"/>
              <w:rPr>
                <w:sz w:val="24"/>
              </w:rPr>
            </w:pPr>
            <w:r>
              <w:rPr>
                <w:sz w:val="24"/>
              </w:rPr>
              <w:t>Em</w:t>
            </w:r>
            <w:r>
              <w:rPr>
                <w:spacing w:val="-2"/>
                <w:sz w:val="24"/>
              </w:rPr>
              <w:t> andamento</w:t>
            </w:r>
          </w:p>
        </w:tc>
      </w:tr>
      <w:tr>
        <w:trPr>
          <w:trHeight w:val="276" w:hRule="atLeast"/>
        </w:trPr>
        <w:tc>
          <w:tcPr>
            <w:tcW w:w="6266" w:type="dxa"/>
          </w:tcPr>
          <w:p>
            <w:pPr>
              <w:pStyle w:val="TableParagraph"/>
              <w:spacing w:line="257" w:lineRule="exact"/>
              <w:ind w:left="105"/>
              <w:jc w:val="left"/>
              <w:rPr>
                <w:sz w:val="24"/>
              </w:rPr>
            </w:pPr>
            <w:r>
              <w:rPr>
                <w:sz w:val="24"/>
              </w:rPr>
              <w:t>Estatísticas</w:t>
            </w:r>
            <w:r>
              <w:rPr>
                <w:spacing w:val="-1"/>
                <w:sz w:val="24"/>
              </w:rPr>
              <w:t> </w:t>
            </w:r>
            <w:r>
              <w:rPr>
                <w:sz w:val="24"/>
              </w:rPr>
              <w:t>–</w:t>
            </w:r>
            <w:r>
              <w:rPr>
                <w:spacing w:val="-4"/>
                <w:sz w:val="24"/>
              </w:rPr>
              <w:t> </w:t>
            </w:r>
            <w:r>
              <w:rPr>
                <w:spacing w:val="-2"/>
                <w:sz w:val="24"/>
              </w:rPr>
              <w:t>novembro</w:t>
            </w:r>
          </w:p>
        </w:tc>
        <w:tc>
          <w:tcPr>
            <w:tcW w:w="1676" w:type="dxa"/>
          </w:tcPr>
          <w:p>
            <w:pPr>
              <w:pStyle w:val="TableParagraph"/>
              <w:spacing w:line="257" w:lineRule="exact"/>
              <w:ind w:left="18"/>
              <w:rPr>
                <w:sz w:val="24"/>
              </w:rPr>
            </w:pPr>
            <w:r>
              <w:rPr>
                <w:spacing w:val="-2"/>
                <w:sz w:val="24"/>
              </w:rPr>
              <w:t>11/12/1025</w:t>
            </w:r>
          </w:p>
        </w:tc>
        <w:tc>
          <w:tcPr>
            <w:tcW w:w="1926" w:type="dxa"/>
          </w:tcPr>
          <w:p>
            <w:pPr>
              <w:pStyle w:val="TableParagraph"/>
              <w:spacing w:line="257" w:lineRule="exact"/>
              <w:ind w:left="19" w:right="5"/>
              <w:rPr>
                <w:sz w:val="24"/>
              </w:rPr>
            </w:pPr>
            <w:r>
              <w:rPr>
                <w:sz w:val="24"/>
              </w:rPr>
              <w:t>Em</w:t>
            </w:r>
            <w:r>
              <w:rPr>
                <w:spacing w:val="-2"/>
                <w:sz w:val="24"/>
              </w:rPr>
              <w:t> andamento</w:t>
            </w:r>
          </w:p>
        </w:tc>
      </w:tr>
      <w:tr>
        <w:trPr>
          <w:trHeight w:val="275" w:hRule="atLeast"/>
        </w:trPr>
        <w:tc>
          <w:tcPr>
            <w:tcW w:w="6266" w:type="dxa"/>
          </w:tcPr>
          <w:p>
            <w:pPr>
              <w:pStyle w:val="TableParagraph"/>
              <w:spacing w:line="255" w:lineRule="exact"/>
              <w:ind w:left="105"/>
              <w:jc w:val="left"/>
              <w:rPr>
                <w:sz w:val="24"/>
              </w:rPr>
            </w:pPr>
            <w:r>
              <w:rPr>
                <w:sz w:val="24"/>
              </w:rPr>
              <w:t>Produção</w:t>
            </w:r>
            <w:r>
              <w:rPr>
                <w:spacing w:val="-3"/>
                <w:sz w:val="24"/>
              </w:rPr>
              <w:t> </w:t>
            </w:r>
            <w:r>
              <w:rPr>
                <w:sz w:val="24"/>
              </w:rPr>
              <w:t>–</w:t>
            </w:r>
            <w:r>
              <w:rPr>
                <w:spacing w:val="-3"/>
                <w:sz w:val="24"/>
              </w:rPr>
              <w:t> </w:t>
            </w:r>
            <w:r>
              <w:rPr>
                <w:spacing w:val="-2"/>
                <w:sz w:val="24"/>
              </w:rPr>
              <w:t>novembro</w:t>
            </w:r>
          </w:p>
        </w:tc>
        <w:tc>
          <w:tcPr>
            <w:tcW w:w="1676" w:type="dxa"/>
          </w:tcPr>
          <w:p>
            <w:pPr>
              <w:pStyle w:val="TableParagraph"/>
              <w:spacing w:line="255" w:lineRule="exact"/>
              <w:ind w:left="18"/>
              <w:rPr>
                <w:sz w:val="24"/>
              </w:rPr>
            </w:pPr>
            <w:r>
              <w:rPr>
                <w:spacing w:val="-2"/>
                <w:sz w:val="24"/>
              </w:rPr>
              <w:t>15/12/2025</w:t>
            </w:r>
          </w:p>
        </w:tc>
        <w:tc>
          <w:tcPr>
            <w:tcW w:w="1926" w:type="dxa"/>
          </w:tcPr>
          <w:p>
            <w:pPr>
              <w:pStyle w:val="TableParagraph"/>
              <w:spacing w:line="255" w:lineRule="exact"/>
              <w:ind w:left="19" w:right="5"/>
              <w:rPr>
                <w:sz w:val="24"/>
              </w:rPr>
            </w:pPr>
            <w:r>
              <w:rPr>
                <w:sz w:val="24"/>
              </w:rPr>
              <w:t>Em</w:t>
            </w:r>
            <w:r>
              <w:rPr>
                <w:spacing w:val="-2"/>
                <w:sz w:val="24"/>
              </w:rPr>
              <w:t> andamento</w:t>
            </w:r>
          </w:p>
        </w:tc>
      </w:tr>
      <w:tr>
        <w:trPr>
          <w:trHeight w:val="276" w:hRule="atLeast"/>
        </w:trPr>
        <w:tc>
          <w:tcPr>
            <w:tcW w:w="6266" w:type="dxa"/>
          </w:tcPr>
          <w:p>
            <w:pPr>
              <w:pStyle w:val="TableParagraph"/>
              <w:spacing w:line="257" w:lineRule="exact"/>
              <w:ind w:left="105"/>
              <w:jc w:val="left"/>
              <w:rPr>
                <w:sz w:val="24"/>
              </w:rPr>
            </w:pPr>
            <w:r>
              <w:rPr>
                <w:sz w:val="24"/>
              </w:rPr>
              <w:t>Consultoria</w:t>
            </w:r>
            <w:r>
              <w:rPr>
                <w:spacing w:val="-2"/>
                <w:sz w:val="24"/>
              </w:rPr>
              <w:t> </w:t>
            </w:r>
            <w:r>
              <w:rPr>
                <w:sz w:val="24"/>
              </w:rPr>
              <w:t>Planisa</w:t>
            </w:r>
            <w:r>
              <w:rPr>
                <w:spacing w:val="-5"/>
                <w:sz w:val="24"/>
              </w:rPr>
              <w:t> </w:t>
            </w:r>
            <w:r>
              <w:rPr>
                <w:sz w:val="24"/>
              </w:rPr>
              <w:t>-</w:t>
            </w:r>
            <w:r>
              <w:rPr>
                <w:spacing w:val="-3"/>
                <w:sz w:val="24"/>
              </w:rPr>
              <w:t> </w:t>
            </w:r>
            <w:r>
              <w:rPr>
                <w:sz w:val="24"/>
              </w:rPr>
              <w:t>Analise</w:t>
            </w:r>
            <w:r>
              <w:rPr>
                <w:spacing w:val="-3"/>
                <w:sz w:val="24"/>
              </w:rPr>
              <w:t> </w:t>
            </w:r>
            <w:r>
              <w:rPr>
                <w:spacing w:val="-2"/>
                <w:sz w:val="24"/>
              </w:rPr>
              <w:t>outubro</w:t>
            </w:r>
          </w:p>
        </w:tc>
        <w:tc>
          <w:tcPr>
            <w:tcW w:w="1676" w:type="dxa"/>
          </w:tcPr>
          <w:p>
            <w:pPr>
              <w:pStyle w:val="TableParagraph"/>
              <w:spacing w:line="257" w:lineRule="exact"/>
              <w:ind w:left="18"/>
              <w:rPr>
                <w:sz w:val="24"/>
              </w:rPr>
            </w:pPr>
            <w:r>
              <w:rPr>
                <w:spacing w:val="-2"/>
                <w:sz w:val="24"/>
              </w:rPr>
              <w:t>18/12/2025</w:t>
            </w:r>
          </w:p>
        </w:tc>
        <w:tc>
          <w:tcPr>
            <w:tcW w:w="1926" w:type="dxa"/>
          </w:tcPr>
          <w:p>
            <w:pPr>
              <w:pStyle w:val="TableParagraph"/>
              <w:spacing w:line="257" w:lineRule="exact"/>
              <w:ind w:left="19" w:right="5"/>
              <w:rPr>
                <w:sz w:val="24"/>
              </w:rPr>
            </w:pPr>
            <w:r>
              <w:rPr>
                <w:sz w:val="24"/>
              </w:rPr>
              <w:t>Em</w:t>
            </w:r>
            <w:r>
              <w:rPr>
                <w:spacing w:val="-2"/>
                <w:sz w:val="24"/>
              </w:rPr>
              <w:t> andamento</w:t>
            </w:r>
          </w:p>
        </w:tc>
      </w:tr>
      <w:tr>
        <w:trPr>
          <w:trHeight w:val="275" w:hRule="atLeast"/>
        </w:trPr>
        <w:tc>
          <w:tcPr>
            <w:tcW w:w="6266" w:type="dxa"/>
          </w:tcPr>
          <w:p>
            <w:pPr>
              <w:pStyle w:val="TableParagraph"/>
              <w:spacing w:line="255" w:lineRule="exact"/>
              <w:ind w:left="105"/>
              <w:jc w:val="left"/>
              <w:rPr>
                <w:sz w:val="24"/>
              </w:rPr>
            </w:pPr>
            <w:r>
              <w:rPr>
                <w:sz w:val="24"/>
              </w:rPr>
              <w:t>Folha</w:t>
            </w:r>
            <w:r>
              <w:rPr>
                <w:spacing w:val="-5"/>
                <w:sz w:val="24"/>
              </w:rPr>
              <w:t> </w:t>
            </w:r>
            <w:r>
              <w:rPr>
                <w:sz w:val="24"/>
              </w:rPr>
              <w:t>de</w:t>
            </w:r>
            <w:r>
              <w:rPr>
                <w:spacing w:val="-4"/>
                <w:sz w:val="24"/>
              </w:rPr>
              <w:t> </w:t>
            </w:r>
            <w:r>
              <w:rPr>
                <w:sz w:val="24"/>
              </w:rPr>
              <w:t>Servidores</w:t>
            </w:r>
            <w:r>
              <w:rPr>
                <w:spacing w:val="-1"/>
                <w:sz w:val="24"/>
              </w:rPr>
              <w:t> </w:t>
            </w:r>
            <w:r>
              <w:rPr>
                <w:sz w:val="24"/>
              </w:rPr>
              <w:t>e</w:t>
            </w:r>
            <w:r>
              <w:rPr>
                <w:spacing w:val="-5"/>
                <w:sz w:val="24"/>
              </w:rPr>
              <w:t> </w:t>
            </w:r>
            <w:r>
              <w:rPr>
                <w:sz w:val="24"/>
              </w:rPr>
              <w:t>Residentes</w:t>
            </w:r>
            <w:r>
              <w:rPr>
                <w:spacing w:val="-1"/>
                <w:sz w:val="24"/>
              </w:rPr>
              <w:t> </w:t>
            </w:r>
            <w:r>
              <w:rPr>
                <w:sz w:val="24"/>
              </w:rPr>
              <w:t>–</w:t>
            </w:r>
            <w:r>
              <w:rPr>
                <w:spacing w:val="-3"/>
                <w:sz w:val="24"/>
              </w:rPr>
              <w:t> </w:t>
            </w:r>
            <w:r>
              <w:rPr>
                <w:spacing w:val="-2"/>
                <w:sz w:val="24"/>
              </w:rPr>
              <w:t>novembro</w:t>
            </w:r>
          </w:p>
        </w:tc>
        <w:tc>
          <w:tcPr>
            <w:tcW w:w="1676" w:type="dxa"/>
          </w:tcPr>
          <w:p>
            <w:pPr>
              <w:pStyle w:val="TableParagraph"/>
              <w:spacing w:line="255" w:lineRule="exact"/>
              <w:ind w:left="18"/>
              <w:rPr>
                <w:sz w:val="24"/>
              </w:rPr>
            </w:pPr>
            <w:r>
              <w:rPr>
                <w:spacing w:val="-2"/>
                <w:sz w:val="24"/>
              </w:rPr>
              <w:t>23/12/2025</w:t>
            </w:r>
          </w:p>
        </w:tc>
        <w:tc>
          <w:tcPr>
            <w:tcW w:w="1926" w:type="dxa"/>
          </w:tcPr>
          <w:p>
            <w:pPr>
              <w:pStyle w:val="TableParagraph"/>
              <w:spacing w:line="255" w:lineRule="exact"/>
              <w:ind w:left="19" w:right="5"/>
              <w:rPr>
                <w:sz w:val="24"/>
              </w:rPr>
            </w:pPr>
            <w:r>
              <w:rPr>
                <w:sz w:val="24"/>
              </w:rPr>
              <w:t>Em</w:t>
            </w:r>
            <w:r>
              <w:rPr>
                <w:spacing w:val="-2"/>
                <w:sz w:val="24"/>
              </w:rPr>
              <w:t> andamento</w:t>
            </w:r>
          </w:p>
        </w:tc>
      </w:tr>
      <w:tr>
        <w:trPr>
          <w:trHeight w:val="276" w:hRule="atLeast"/>
        </w:trPr>
        <w:tc>
          <w:tcPr>
            <w:tcW w:w="6266" w:type="dxa"/>
          </w:tcPr>
          <w:p>
            <w:pPr>
              <w:pStyle w:val="TableParagraph"/>
              <w:spacing w:line="257" w:lineRule="exact"/>
              <w:ind w:left="105"/>
              <w:jc w:val="left"/>
              <w:rPr>
                <w:sz w:val="24"/>
              </w:rPr>
            </w:pPr>
            <w:r>
              <w:rPr>
                <w:sz w:val="24"/>
              </w:rPr>
              <w:t>Notas</w:t>
            </w:r>
            <w:r>
              <w:rPr>
                <w:spacing w:val="-2"/>
                <w:sz w:val="24"/>
              </w:rPr>
              <w:t> </w:t>
            </w:r>
            <w:r>
              <w:rPr>
                <w:sz w:val="24"/>
              </w:rPr>
              <w:t>Fiscais</w:t>
            </w:r>
            <w:r>
              <w:rPr>
                <w:spacing w:val="-2"/>
                <w:sz w:val="24"/>
              </w:rPr>
              <w:t> </w:t>
            </w:r>
            <w:r>
              <w:rPr>
                <w:sz w:val="24"/>
              </w:rPr>
              <w:t>–</w:t>
            </w:r>
            <w:r>
              <w:rPr>
                <w:spacing w:val="-3"/>
                <w:sz w:val="24"/>
              </w:rPr>
              <w:t> </w:t>
            </w:r>
            <w:r>
              <w:rPr>
                <w:spacing w:val="-2"/>
                <w:sz w:val="24"/>
              </w:rPr>
              <w:t>novembro</w:t>
            </w:r>
          </w:p>
        </w:tc>
        <w:tc>
          <w:tcPr>
            <w:tcW w:w="1676" w:type="dxa"/>
          </w:tcPr>
          <w:p>
            <w:pPr>
              <w:pStyle w:val="TableParagraph"/>
              <w:spacing w:line="257" w:lineRule="exact"/>
              <w:ind w:left="18"/>
              <w:rPr>
                <w:sz w:val="24"/>
              </w:rPr>
            </w:pPr>
            <w:r>
              <w:rPr>
                <w:spacing w:val="-2"/>
                <w:sz w:val="24"/>
              </w:rPr>
              <w:t>25/12/2025</w:t>
            </w:r>
          </w:p>
        </w:tc>
        <w:tc>
          <w:tcPr>
            <w:tcW w:w="1926" w:type="dxa"/>
          </w:tcPr>
          <w:p>
            <w:pPr>
              <w:pStyle w:val="TableParagraph"/>
              <w:spacing w:line="257" w:lineRule="exact"/>
              <w:ind w:left="19" w:right="5"/>
              <w:rPr>
                <w:sz w:val="24"/>
              </w:rPr>
            </w:pPr>
            <w:r>
              <w:rPr>
                <w:sz w:val="24"/>
              </w:rPr>
              <w:t>Em</w:t>
            </w:r>
            <w:r>
              <w:rPr>
                <w:spacing w:val="-2"/>
                <w:sz w:val="24"/>
              </w:rPr>
              <w:t> andamento</w:t>
            </w:r>
          </w:p>
        </w:tc>
      </w:tr>
      <w:tr>
        <w:trPr>
          <w:trHeight w:val="275" w:hRule="atLeast"/>
        </w:trPr>
        <w:tc>
          <w:tcPr>
            <w:tcW w:w="6266" w:type="dxa"/>
          </w:tcPr>
          <w:p>
            <w:pPr>
              <w:pStyle w:val="TableParagraph"/>
              <w:spacing w:line="255" w:lineRule="exact"/>
              <w:ind w:left="105"/>
              <w:jc w:val="left"/>
              <w:rPr>
                <w:sz w:val="24"/>
              </w:rPr>
            </w:pPr>
            <w:r>
              <w:rPr>
                <w:sz w:val="24"/>
              </w:rPr>
              <w:t>Consolidação</w:t>
            </w:r>
            <w:r>
              <w:rPr>
                <w:spacing w:val="-1"/>
                <w:sz w:val="24"/>
              </w:rPr>
              <w:t> </w:t>
            </w:r>
            <w:r>
              <w:rPr>
                <w:sz w:val="24"/>
              </w:rPr>
              <w:t>do</w:t>
            </w:r>
            <w:r>
              <w:rPr>
                <w:spacing w:val="-4"/>
                <w:sz w:val="24"/>
              </w:rPr>
              <w:t> </w:t>
            </w:r>
            <w:r>
              <w:rPr>
                <w:sz w:val="24"/>
              </w:rPr>
              <w:t>Custeio</w:t>
            </w:r>
            <w:r>
              <w:rPr>
                <w:spacing w:val="-3"/>
                <w:sz w:val="24"/>
              </w:rPr>
              <w:t> </w:t>
            </w:r>
            <w:r>
              <w:rPr>
                <w:sz w:val="24"/>
              </w:rPr>
              <w:t>–</w:t>
            </w:r>
            <w:r>
              <w:rPr>
                <w:spacing w:val="-3"/>
                <w:sz w:val="24"/>
              </w:rPr>
              <w:t> </w:t>
            </w:r>
            <w:r>
              <w:rPr>
                <w:spacing w:val="-2"/>
                <w:sz w:val="24"/>
              </w:rPr>
              <w:t>novembro</w:t>
            </w:r>
          </w:p>
        </w:tc>
        <w:tc>
          <w:tcPr>
            <w:tcW w:w="1676" w:type="dxa"/>
          </w:tcPr>
          <w:p>
            <w:pPr>
              <w:pStyle w:val="TableParagraph"/>
              <w:spacing w:line="255" w:lineRule="exact"/>
              <w:ind w:left="18"/>
              <w:rPr>
                <w:sz w:val="24"/>
              </w:rPr>
            </w:pPr>
            <w:r>
              <w:rPr>
                <w:spacing w:val="-2"/>
                <w:sz w:val="24"/>
              </w:rPr>
              <w:t>31/12/2025</w:t>
            </w:r>
          </w:p>
        </w:tc>
        <w:tc>
          <w:tcPr>
            <w:tcW w:w="1926" w:type="dxa"/>
          </w:tcPr>
          <w:p>
            <w:pPr>
              <w:pStyle w:val="TableParagraph"/>
              <w:spacing w:line="255" w:lineRule="exact"/>
              <w:ind w:left="19" w:right="5"/>
              <w:rPr>
                <w:sz w:val="24"/>
              </w:rPr>
            </w:pPr>
            <w:r>
              <w:rPr>
                <w:sz w:val="24"/>
              </w:rPr>
              <w:t>Em</w:t>
            </w:r>
            <w:r>
              <w:rPr>
                <w:spacing w:val="-2"/>
                <w:sz w:val="24"/>
              </w:rPr>
              <w:t> andamento</w:t>
            </w:r>
          </w:p>
        </w:tc>
      </w:tr>
    </w:tbl>
    <w:p>
      <w:pPr>
        <w:pStyle w:val="TableParagraph"/>
        <w:spacing w:after="0" w:line="255" w:lineRule="exact"/>
        <w:rPr>
          <w:sz w:val="24"/>
        </w:rPr>
        <w:sectPr>
          <w:pgSz w:w="11910" w:h="16840"/>
          <w:pgMar w:header="358" w:footer="560" w:top="1580" w:bottom="780" w:left="708" w:right="0"/>
        </w:sectPr>
      </w:pPr>
    </w:p>
    <w:p>
      <w:pPr>
        <w:pStyle w:val="BodyText"/>
        <w:rPr>
          <w:sz w:val="20"/>
        </w:rPr>
      </w:pPr>
    </w:p>
    <w:p>
      <w:pPr>
        <w:pStyle w:val="BodyText"/>
        <w:rPr>
          <w:sz w:val="20"/>
        </w:rPr>
      </w:pPr>
    </w:p>
    <w:p>
      <w:pPr>
        <w:pStyle w:val="BodyText"/>
        <w:spacing w:before="161"/>
        <w:rPr>
          <w:sz w:val="20"/>
        </w:rPr>
      </w:pPr>
    </w:p>
    <w:p>
      <w:pPr>
        <w:pStyle w:val="BodyText"/>
        <w:ind w:left="592"/>
        <w:rPr>
          <w:sz w:val="20"/>
        </w:rPr>
      </w:pPr>
      <w:r>
        <w:rPr>
          <w:sz w:val="20"/>
        </w:rPr>
        <w:drawing>
          <wp:inline distT="0" distB="0" distL="0" distR="0">
            <wp:extent cx="4586534" cy="2522791"/>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4586534" cy="2522791"/>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71"/>
        <w:rPr>
          <w:sz w:val="20"/>
        </w:rPr>
      </w:pPr>
      <w:r>
        <w:rPr>
          <w:sz w:val="20"/>
        </w:rPr>
        <w:drawing>
          <wp:anchor distT="0" distB="0" distL="0" distR="0" allowOverlap="1" layoutInCell="1" locked="0" behindDoc="1" simplePos="0" relativeHeight="487589888">
            <wp:simplePos x="0" y="0"/>
            <wp:positionH relativeFrom="page">
              <wp:posOffset>1435100</wp:posOffset>
            </wp:positionH>
            <wp:positionV relativeFrom="paragraph">
              <wp:posOffset>270369</wp:posOffset>
            </wp:positionV>
            <wp:extent cx="4998087" cy="2420874"/>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7" cstate="print"/>
                    <a:stretch>
                      <a:fillRect/>
                    </a:stretch>
                  </pic:blipFill>
                  <pic:spPr>
                    <a:xfrm>
                      <a:off x="0" y="0"/>
                      <a:ext cx="4998087" cy="2420874"/>
                    </a:xfrm>
                    <a:prstGeom prst="rect">
                      <a:avLst/>
                    </a:prstGeom>
                  </pic:spPr>
                </pic:pic>
              </a:graphicData>
            </a:graphic>
          </wp:anchor>
        </w:drawing>
      </w:r>
    </w:p>
    <w:p>
      <w:pPr>
        <w:spacing w:before="202"/>
        <w:ind w:left="0" w:right="759" w:firstLine="0"/>
        <w:jc w:val="right"/>
        <w:rPr>
          <w:i/>
          <w:sz w:val="24"/>
        </w:rPr>
      </w:pPr>
      <w:bookmarkStart w:name="Fonte: KPIH|" w:id="34"/>
      <w:bookmarkEnd w:id="34"/>
      <w:r>
        <w:rPr/>
      </w:r>
      <w:r>
        <w:rPr>
          <w:i/>
          <w:sz w:val="24"/>
        </w:rPr>
        <w:t>Fonte:</w:t>
      </w:r>
      <w:r>
        <w:rPr>
          <w:i/>
          <w:spacing w:val="-4"/>
          <w:sz w:val="24"/>
        </w:rPr>
        <w:t> KPIH|</w:t>
      </w:r>
    </w:p>
    <w:p>
      <w:pPr>
        <w:spacing w:after="0"/>
        <w:jc w:val="right"/>
        <w:rPr>
          <w:i/>
          <w:sz w:val="24"/>
        </w:rPr>
        <w:sectPr>
          <w:pgSz w:w="11910" w:h="16840"/>
          <w:pgMar w:header="358" w:footer="560" w:top="1580" w:bottom="780" w:left="708" w:right="0"/>
        </w:sectPr>
      </w:pPr>
    </w:p>
    <w:p>
      <w:pPr>
        <w:pStyle w:val="BodyText"/>
        <w:rPr>
          <w:i/>
        </w:rPr>
      </w:pPr>
    </w:p>
    <w:p>
      <w:pPr>
        <w:pStyle w:val="BodyText"/>
        <w:rPr>
          <w:i/>
        </w:rPr>
      </w:pPr>
    </w:p>
    <w:p>
      <w:pPr>
        <w:pStyle w:val="BodyText"/>
        <w:spacing w:before="23"/>
        <w:rPr>
          <w:i/>
        </w:rPr>
      </w:pPr>
    </w:p>
    <w:p>
      <w:pPr>
        <w:pStyle w:val="ListParagraph"/>
        <w:numPr>
          <w:ilvl w:val="1"/>
          <w:numId w:val="2"/>
        </w:numPr>
        <w:tabs>
          <w:tab w:pos="1313" w:val="left" w:leader="none"/>
        </w:tabs>
        <w:spacing w:line="240" w:lineRule="auto" w:before="1" w:after="0"/>
        <w:ind w:left="593" w:right="7759" w:firstLine="0"/>
        <w:jc w:val="left"/>
        <w:rPr>
          <w:b/>
          <w:sz w:val="24"/>
        </w:rPr>
      </w:pPr>
      <w:bookmarkStart w:name="5.4. Relatório Financeiro " w:id="35"/>
      <w:bookmarkEnd w:id="35"/>
      <w:r>
        <w:rPr>
          <w:rFonts w:ascii="Arial" w:hAnsi="Arial"/>
          <w:b/>
          <w:sz w:val="24"/>
        </w:rPr>
      </w:r>
      <w:r>
        <w:rPr>
          <w:b/>
          <w:sz w:val="24"/>
        </w:rPr>
        <w:t>Relatório</w:t>
      </w:r>
      <w:r>
        <w:rPr>
          <w:b/>
          <w:spacing w:val="-15"/>
          <w:sz w:val="24"/>
        </w:rPr>
        <w:t> </w:t>
      </w:r>
      <w:r>
        <w:rPr>
          <w:b/>
          <w:sz w:val="24"/>
        </w:rPr>
        <w:t>Financeiro Posição de caixa:</w:t>
      </w:r>
    </w:p>
    <w:p>
      <w:pPr>
        <w:pStyle w:val="BodyText"/>
        <w:spacing w:before="7"/>
        <w:rPr>
          <w:b/>
          <w:sz w:val="10"/>
        </w:rPr>
      </w:pPr>
      <w:r>
        <w:rPr>
          <w:b/>
          <w:sz w:val="10"/>
        </w:rPr>
        <w:drawing>
          <wp:anchor distT="0" distB="0" distL="0" distR="0" allowOverlap="1" layoutInCell="1" locked="0" behindDoc="1" simplePos="0" relativeHeight="487590400">
            <wp:simplePos x="0" y="0"/>
            <wp:positionH relativeFrom="page">
              <wp:posOffset>825500</wp:posOffset>
            </wp:positionH>
            <wp:positionV relativeFrom="paragraph">
              <wp:posOffset>93306</wp:posOffset>
            </wp:positionV>
            <wp:extent cx="5536844" cy="2506408"/>
            <wp:effectExtent l="0" t="0" r="0" b="0"/>
            <wp:wrapTopAndBottom/>
            <wp:docPr id="16" name="Image 16"/>
            <wp:cNvGraphicFramePr>
              <a:graphicFrameLocks/>
            </wp:cNvGraphicFramePr>
            <a:graphic>
              <a:graphicData uri="http://schemas.openxmlformats.org/drawingml/2006/picture">
                <pic:pic>
                  <pic:nvPicPr>
                    <pic:cNvPr id="16" name="Image 16"/>
                    <pic:cNvPicPr/>
                  </pic:nvPicPr>
                  <pic:blipFill>
                    <a:blip r:embed="rId18" cstate="print"/>
                    <a:stretch>
                      <a:fillRect/>
                    </a:stretch>
                  </pic:blipFill>
                  <pic:spPr>
                    <a:xfrm>
                      <a:off x="0" y="0"/>
                      <a:ext cx="5536844" cy="2506408"/>
                    </a:xfrm>
                    <a:prstGeom prst="rect">
                      <a:avLst/>
                    </a:prstGeom>
                  </pic:spPr>
                </pic:pic>
              </a:graphicData>
            </a:graphic>
          </wp:anchor>
        </w:drawing>
      </w:r>
    </w:p>
    <w:p>
      <w:pPr>
        <w:pStyle w:val="BodyText"/>
        <w:spacing w:line="360" w:lineRule="auto" w:before="142"/>
        <w:ind w:left="710" w:right="738" w:firstLine="720"/>
        <w:jc w:val="both"/>
      </w:pPr>
      <w:r>
        <w:rPr/>
        <w:t>No mês de novembro, a aplicação obteve um rendimento de R$ 614.637,00 (seiscentos e quatorze mil seiscentos e trinta e sete reais).</w:t>
      </w:r>
    </w:p>
    <w:p>
      <w:pPr>
        <w:pStyle w:val="BodyText"/>
        <w:spacing w:line="360" w:lineRule="auto" w:before="2"/>
        <w:ind w:left="710" w:right="743" w:firstLine="720"/>
        <w:jc w:val="both"/>
      </w:pPr>
      <w:r>
        <w:rPr/>
        <w:t>No acumulado as aplicações financeiras obtiveram um rendimento total de R$ 8.472.415,42 (oito milhões e quatrocentos e setenta e dois mil e quatrocentos e quinze reais e quarenta e dois </w:t>
      </w:r>
      <w:r>
        <w:rPr>
          <w:spacing w:val="-2"/>
        </w:rPr>
        <w:t>centavos).</w:t>
      </w:r>
    </w:p>
    <w:p>
      <w:pPr>
        <w:pStyle w:val="BodyText"/>
        <w:spacing w:before="138"/>
      </w:pPr>
    </w:p>
    <w:p>
      <w:pPr>
        <w:spacing w:before="0"/>
        <w:ind w:left="593" w:right="0" w:firstLine="0"/>
        <w:jc w:val="left"/>
        <w:rPr>
          <w:b/>
          <w:sz w:val="24"/>
        </w:rPr>
      </w:pPr>
      <w:r>
        <w:rPr>
          <w:b/>
          <w:sz w:val="24"/>
        </w:rPr>
        <w:t>Fluxo</w:t>
      </w:r>
      <w:r>
        <w:rPr>
          <w:b/>
          <w:spacing w:val="-2"/>
          <w:sz w:val="24"/>
        </w:rPr>
        <w:t> </w:t>
      </w:r>
      <w:r>
        <w:rPr>
          <w:b/>
          <w:sz w:val="24"/>
        </w:rPr>
        <w:t>de</w:t>
      </w:r>
      <w:r>
        <w:rPr>
          <w:b/>
          <w:spacing w:val="-2"/>
          <w:sz w:val="24"/>
        </w:rPr>
        <w:t> </w:t>
      </w:r>
      <w:r>
        <w:rPr>
          <w:b/>
          <w:sz w:val="24"/>
        </w:rPr>
        <w:t>Caixa:</w:t>
      </w:r>
      <w:r>
        <w:rPr>
          <w:b/>
          <w:spacing w:val="2"/>
          <w:sz w:val="24"/>
        </w:rPr>
        <w:t> </w:t>
      </w:r>
      <w:r>
        <w:rPr>
          <w:b/>
          <w:spacing w:val="-2"/>
          <w:sz w:val="24"/>
        </w:rPr>
        <w:t>Novembro/2025</w:t>
      </w:r>
    </w:p>
    <w:p>
      <w:pPr>
        <w:pStyle w:val="BodyText"/>
        <w:spacing w:before="10"/>
        <w:rPr>
          <w:b/>
          <w:sz w:val="9"/>
        </w:rPr>
      </w:pPr>
      <w:r>
        <w:rPr>
          <w:b/>
          <w:sz w:val="9"/>
        </w:rPr>
        <w:drawing>
          <wp:anchor distT="0" distB="0" distL="0" distR="0" allowOverlap="1" layoutInCell="1" locked="0" behindDoc="1" simplePos="0" relativeHeight="487590912">
            <wp:simplePos x="0" y="0"/>
            <wp:positionH relativeFrom="page">
              <wp:posOffset>825500</wp:posOffset>
            </wp:positionH>
            <wp:positionV relativeFrom="paragraph">
              <wp:posOffset>87306</wp:posOffset>
            </wp:positionV>
            <wp:extent cx="6102339" cy="3594163"/>
            <wp:effectExtent l="0" t="0" r="0" b="0"/>
            <wp:wrapTopAndBottom/>
            <wp:docPr id="17" name="Image 17"/>
            <wp:cNvGraphicFramePr>
              <a:graphicFrameLocks/>
            </wp:cNvGraphicFramePr>
            <a:graphic>
              <a:graphicData uri="http://schemas.openxmlformats.org/drawingml/2006/picture">
                <pic:pic>
                  <pic:nvPicPr>
                    <pic:cNvPr id="17" name="Image 17"/>
                    <pic:cNvPicPr/>
                  </pic:nvPicPr>
                  <pic:blipFill>
                    <a:blip r:embed="rId19" cstate="print"/>
                    <a:stretch>
                      <a:fillRect/>
                    </a:stretch>
                  </pic:blipFill>
                  <pic:spPr>
                    <a:xfrm>
                      <a:off x="0" y="0"/>
                      <a:ext cx="6102339" cy="3594163"/>
                    </a:xfrm>
                    <a:prstGeom prst="rect">
                      <a:avLst/>
                    </a:prstGeom>
                  </pic:spPr>
                </pic:pic>
              </a:graphicData>
            </a:graphic>
          </wp:anchor>
        </w:drawing>
      </w:r>
    </w:p>
    <w:p>
      <w:pPr>
        <w:pStyle w:val="BodyText"/>
        <w:spacing w:after="0"/>
        <w:rPr>
          <w:b/>
          <w:sz w:val="9"/>
        </w:rPr>
        <w:sectPr>
          <w:pgSz w:w="11910" w:h="16840"/>
          <w:pgMar w:header="358" w:footer="560" w:top="1580" w:bottom="780" w:left="708" w:right="0"/>
        </w:sectPr>
      </w:pPr>
    </w:p>
    <w:p>
      <w:pPr>
        <w:pStyle w:val="BodyText"/>
        <w:rPr>
          <w:b/>
          <w:sz w:val="20"/>
        </w:rPr>
      </w:pPr>
    </w:p>
    <w:p>
      <w:pPr>
        <w:pStyle w:val="BodyText"/>
        <w:rPr>
          <w:b/>
          <w:sz w:val="20"/>
        </w:rPr>
      </w:pPr>
    </w:p>
    <w:p>
      <w:pPr>
        <w:pStyle w:val="BodyText"/>
        <w:spacing w:before="161"/>
        <w:rPr>
          <w:b/>
          <w:sz w:val="20"/>
        </w:rPr>
      </w:pPr>
    </w:p>
    <w:p>
      <w:pPr>
        <w:pStyle w:val="BodyText"/>
        <w:ind w:left="592"/>
        <w:rPr>
          <w:sz w:val="20"/>
        </w:rPr>
      </w:pPr>
      <w:r>
        <w:rPr>
          <w:sz w:val="20"/>
        </w:rPr>
        <w:drawing>
          <wp:inline distT="0" distB="0" distL="0" distR="0">
            <wp:extent cx="6112905" cy="3618071"/>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20" cstate="print"/>
                    <a:stretch>
                      <a:fillRect/>
                    </a:stretch>
                  </pic:blipFill>
                  <pic:spPr>
                    <a:xfrm>
                      <a:off x="0" y="0"/>
                      <a:ext cx="6112905" cy="3618071"/>
                    </a:xfrm>
                    <a:prstGeom prst="rect">
                      <a:avLst/>
                    </a:prstGeom>
                  </pic:spPr>
                </pic:pic>
              </a:graphicData>
            </a:graphic>
          </wp:inline>
        </w:drawing>
      </w:r>
      <w:r>
        <w:rPr>
          <w:sz w:val="20"/>
        </w:rPr>
      </w:r>
    </w:p>
    <w:p>
      <w:pPr>
        <w:pStyle w:val="BodyText"/>
        <w:spacing w:before="7"/>
        <w:rPr>
          <w:b/>
          <w:sz w:val="6"/>
        </w:rPr>
      </w:pPr>
      <w:r>
        <w:rPr>
          <w:b/>
          <w:sz w:val="6"/>
        </w:rPr>
        <w:drawing>
          <wp:anchor distT="0" distB="0" distL="0" distR="0" allowOverlap="1" layoutInCell="1" locked="0" behindDoc="1" simplePos="0" relativeHeight="487591424">
            <wp:simplePos x="0" y="0"/>
            <wp:positionH relativeFrom="page">
              <wp:posOffset>825500</wp:posOffset>
            </wp:positionH>
            <wp:positionV relativeFrom="paragraph">
              <wp:posOffset>63500</wp:posOffset>
            </wp:positionV>
            <wp:extent cx="6004026" cy="3559968"/>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21" cstate="print"/>
                    <a:stretch>
                      <a:fillRect/>
                    </a:stretch>
                  </pic:blipFill>
                  <pic:spPr>
                    <a:xfrm>
                      <a:off x="0" y="0"/>
                      <a:ext cx="6004026" cy="3559968"/>
                    </a:xfrm>
                    <a:prstGeom prst="rect">
                      <a:avLst/>
                    </a:prstGeom>
                  </pic:spPr>
                </pic:pic>
              </a:graphicData>
            </a:graphic>
          </wp:anchor>
        </w:drawing>
      </w:r>
    </w:p>
    <w:p>
      <w:pPr>
        <w:pStyle w:val="BodyText"/>
        <w:spacing w:after="0"/>
        <w:rPr>
          <w:b/>
          <w:sz w:val="6"/>
        </w:rPr>
        <w:sectPr>
          <w:pgSz w:w="11910" w:h="16840"/>
          <w:pgMar w:header="358" w:footer="560" w:top="1580" w:bottom="780" w:left="708" w:right="0"/>
        </w:sectPr>
      </w:pPr>
    </w:p>
    <w:p>
      <w:pPr>
        <w:pStyle w:val="BodyText"/>
        <w:rPr>
          <w:b/>
          <w:sz w:val="20"/>
        </w:rPr>
      </w:pPr>
    </w:p>
    <w:p>
      <w:pPr>
        <w:pStyle w:val="BodyText"/>
        <w:rPr>
          <w:b/>
          <w:sz w:val="20"/>
        </w:rPr>
      </w:pPr>
    </w:p>
    <w:p>
      <w:pPr>
        <w:pStyle w:val="BodyText"/>
        <w:spacing w:before="161"/>
        <w:rPr>
          <w:b/>
          <w:sz w:val="20"/>
        </w:rPr>
      </w:pPr>
    </w:p>
    <w:p>
      <w:pPr>
        <w:pStyle w:val="BodyText"/>
        <w:ind w:left="592"/>
        <w:rPr>
          <w:sz w:val="20"/>
        </w:rPr>
      </w:pPr>
      <w:r>
        <w:rPr>
          <w:sz w:val="20"/>
        </w:rPr>
        <w:drawing>
          <wp:inline distT="0" distB="0" distL="0" distR="0">
            <wp:extent cx="6022488" cy="3580638"/>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22" cstate="print"/>
                    <a:stretch>
                      <a:fillRect/>
                    </a:stretch>
                  </pic:blipFill>
                  <pic:spPr>
                    <a:xfrm>
                      <a:off x="0" y="0"/>
                      <a:ext cx="6022488" cy="3580638"/>
                    </a:xfrm>
                    <a:prstGeom prst="rect">
                      <a:avLst/>
                    </a:prstGeom>
                  </pic:spPr>
                </pic:pic>
              </a:graphicData>
            </a:graphic>
          </wp:inline>
        </w:drawing>
      </w:r>
      <w:r>
        <w:rPr>
          <w:sz w:val="20"/>
        </w:rPr>
      </w:r>
    </w:p>
    <w:p>
      <w:pPr>
        <w:pStyle w:val="BodyText"/>
        <w:spacing w:before="8"/>
        <w:rPr>
          <w:b/>
          <w:sz w:val="11"/>
        </w:rPr>
      </w:pPr>
      <w:r>
        <w:rPr>
          <w:b/>
          <w:sz w:val="11"/>
        </w:rPr>
        <w:drawing>
          <wp:anchor distT="0" distB="0" distL="0" distR="0" allowOverlap="1" layoutInCell="1" locked="0" behindDoc="1" simplePos="0" relativeHeight="487591936">
            <wp:simplePos x="0" y="0"/>
            <wp:positionH relativeFrom="page">
              <wp:posOffset>825500</wp:posOffset>
            </wp:positionH>
            <wp:positionV relativeFrom="paragraph">
              <wp:posOffset>100964</wp:posOffset>
            </wp:positionV>
            <wp:extent cx="6001406" cy="1722882"/>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23" cstate="print"/>
                    <a:stretch>
                      <a:fillRect/>
                    </a:stretch>
                  </pic:blipFill>
                  <pic:spPr>
                    <a:xfrm>
                      <a:off x="0" y="0"/>
                      <a:ext cx="6001406" cy="1722882"/>
                    </a:xfrm>
                    <a:prstGeom prst="rect">
                      <a:avLst/>
                    </a:prstGeom>
                  </pic:spPr>
                </pic:pic>
              </a:graphicData>
            </a:graphic>
          </wp:anchor>
        </w:drawing>
      </w:r>
    </w:p>
    <w:p>
      <w:pPr>
        <w:pStyle w:val="BodyText"/>
        <w:spacing w:after="0"/>
        <w:rPr>
          <w:b/>
          <w:sz w:val="11"/>
        </w:rPr>
        <w:sectPr>
          <w:pgSz w:w="11910" w:h="16840"/>
          <w:pgMar w:header="358" w:footer="560" w:top="1580" w:bottom="780" w:left="708" w:right="0"/>
        </w:sectPr>
      </w:pPr>
    </w:p>
    <w:p>
      <w:pPr>
        <w:pStyle w:val="BodyText"/>
        <w:rPr>
          <w:b/>
        </w:rPr>
      </w:pPr>
    </w:p>
    <w:p>
      <w:pPr>
        <w:pStyle w:val="BodyText"/>
        <w:rPr>
          <w:b/>
        </w:rPr>
      </w:pPr>
    </w:p>
    <w:p>
      <w:pPr>
        <w:pStyle w:val="BodyText"/>
        <w:spacing w:before="23"/>
        <w:rPr>
          <w:b/>
        </w:rPr>
      </w:pPr>
    </w:p>
    <w:p>
      <w:pPr>
        <w:pStyle w:val="Heading1"/>
        <w:numPr>
          <w:ilvl w:val="0"/>
          <w:numId w:val="2"/>
        </w:numPr>
        <w:tabs>
          <w:tab w:pos="1431" w:val="left" w:leader="none"/>
        </w:tabs>
        <w:spacing w:line="240" w:lineRule="auto" w:before="1" w:after="0"/>
        <w:ind w:left="1431" w:right="0" w:hanging="719"/>
        <w:jc w:val="left"/>
      </w:pPr>
      <w:bookmarkStart w:name="6. Operações" w:id="36"/>
      <w:bookmarkEnd w:id="36"/>
      <w:r>
        <w:rPr>
          <w:rFonts w:ascii="Arial" w:hAnsi="Arial"/>
        </w:rPr>
      </w:r>
      <w:bookmarkStart w:name="_bookmark5" w:id="37"/>
      <w:bookmarkEnd w:id="37"/>
      <w:r>
        <w:rPr>
          <w:rFonts w:ascii="Arial" w:hAnsi="Arial"/>
        </w:rPr>
      </w:r>
      <w:r>
        <w:rPr>
          <w:spacing w:val="-2"/>
        </w:rPr>
        <w:t>Operações</w:t>
      </w:r>
    </w:p>
    <w:p>
      <w:pPr>
        <w:pStyle w:val="BodyText"/>
        <w:rPr>
          <w:b/>
        </w:rPr>
      </w:pPr>
    </w:p>
    <w:p>
      <w:pPr>
        <w:pStyle w:val="ListParagraph"/>
        <w:numPr>
          <w:ilvl w:val="1"/>
          <w:numId w:val="2"/>
        </w:numPr>
        <w:tabs>
          <w:tab w:pos="1313" w:val="left" w:leader="none"/>
        </w:tabs>
        <w:spacing w:line="240" w:lineRule="auto" w:before="1" w:after="0"/>
        <w:ind w:left="1313" w:right="0" w:hanging="720"/>
        <w:jc w:val="left"/>
        <w:rPr>
          <w:b/>
          <w:sz w:val="24"/>
        </w:rPr>
      </w:pPr>
      <w:bookmarkStart w:name="6.1. Facilities" w:id="38"/>
      <w:bookmarkEnd w:id="38"/>
      <w:r>
        <w:rPr>
          <w:rFonts w:ascii="Arial"/>
          <w:b/>
          <w:sz w:val="24"/>
        </w:rPr>
      </w:r>
      <w:r>
        <w:rPr>
          <w:b/>
          <w:spacing w:val="-2"/>
          <w:sz w:val="24"/>
        </w:rPr>
        <w:t>Facilities</w:t>
      </w:r>
    </w:p>
    <w:p>
      <w:pPr>
        <w:pStyle w:val="BodyText"/>
        <w:spacing w:line="300" w:lineRule="auto" w:before="210"/>
        <w:ind w:left="593" w:right="747"/>
        <w:jc w:val="both"/>
      </w:pPr>
      <w:r>
        <w:rPr/>
        <w:t>HIGIENE - O projeto Pit Stop de Limpeza Terminal, inicialmente implantado como protótipo de melhoria contínua, consolidou-se como um case de sucesso nas CMC’s do 4º andar. A iniciativa contou com atuação integrada entre CCIH, NIR, equipe de enfermagem, manutenção predial, elétrica, engenharia clínica, higienização e rouparia, garantindo agilidade e qualidade na entrega das </w:t>
      </w:r>
      <w:r>
        <w:rPr>
          <w:spacing w:val="-2"/>
        </w:rPr>
        <w:t>enfermarias.</w:t>
      </w:r>
    </w:p>
    <w:p>
      <w:pPr>
        <w:pStyle w:val="BodyText"/>
        <w:spacing w:before="211"/>
        <w:ind w:left="593"/>
        <w:jc w:val="both"/>
      </w:pPr>
      <w:r>
        <w:rPr/>
        <w:t>Principais</w:t>
      </w:r>
      <w:r>
        <w:rPr>
          <w:spacing w:val="-8"/>
        </w:rPr>
        <w:t> </w:t>
      </w:r>
      <w:r>
        <w:rPr>
          <w:spacing w:val="-2"/>
        </w:rPr>
        <w:t>Resultados:</w:t>
      </w:r>
    </w:p>
    <w:p>
      <w:pPr>
        <w:pStyle w:val="BodyText"/>
        <w:spacing w:before="2"/>
      </w:pPr>
    </w:p>
    <w:p>
      <w:pPr>
        <w:pStyle w:val="ListParagraph"/>
        <w:numPr>
          <w:ilvl w:val="0"/>
          <w:numId w:val="10"/>
        </w:numPr>
        <w:tabs>
          <w:tab w:pos="1313" w:val="left" w:leader="none"/>
        </w:tabs>
        <w:spacing w:line="240" w:lineRule="auto" w:before="1" w:after="0"/>
        <w:ind w:left="1313" w:right="0" w:hanging="360"/>
        <w:jc w:val="left"/>
        <w:rPr>
          <w:sz w:val="24"/>
        </w:rPr>
      </w:pPr>
      <w:r>
        <w:rPr>
          <w:sz w:val="24"/>
        </w:rPr>
        <w:t>Tempo</w:t>
      </w:r>
      <w:r>
        <w:rPr>
          <w:spacing w:val="-4"/>
          <w:sz w:val="24"/>
        </w:rPr>
        <w:t> </w:t>
      </w:r>
      <w:r>
        <w:rPr>
          <w:sz w:val="24"/>
        </w:rPr>
        <w:t>médio</w:t>
      </w:r>
      <w:r>
        <w:rPr>
          <w:spacing w:val="-2"/>
          <w:sz w:val="24"/>
        </w:rPr>
        <w:t> </w:t>
      </w:r>
      <w:r>
        <w:rPr>
          <w:sz w:val="24"/>
        </w:rPr>
        <w:t>de</w:t>
      </w:r>
      <w:r>
        <w:rPr>
          <w:spacing w:val="-3"/>
          <w:sz w:val="24"/>
        </w:rPr>
        <w:t> </w:t>
      </w:r>
      <w:r>
        <w:rPr>
          <w:sz w:val="24"/>
        </w:rPr>
        <w:t>entrega:</w:t>
      </w:r>
      <w:r>
        <w:rPr>
          <w:spacing w:val="-2"/>
          <w:sz w:val="24"/>
        </w:rPr>
        <w:t> </w:t>
      </w:r>
      <w:r>
        <w:rPr>
          <w:sz w:val="24"/>
        </w:rPr>
        <w:t>4h29</w:t>
      </w:r>
      <w:r>
        <w:rPr>
          <w:spacing w:val="-2"/>
          <w:sz w:val="24"/>
        </w:rPr>
        <w:t> </w:t>
      </w:r>
      <w:r>
        <w:rPr>
          <w:sz w:val="24"/>
        </w:rPr>
        <w:t>por</w:t>
      </w:r>
      <w:r>
        <w:rPr>
          <w:spacing w:val="-2"/>
          <w:sz w:val="24"/>
        </w:rPr>
        <w:t> enfermaria.</w:t>
      </w:r>
    </w:p>
    <w:p>
      <w:pPr>
        <w:pStyle w:val="ListParagraph"/>
        <w:numPr>
          <w:ilvl w:val="0"/>
          <w:numId w:val="10"/>
        </w:numPr>
        <w:tabs>
          <w:tab w:pos="1313" w:val="left" w:leader="none"/>
        </w:tabs>
        <w:spacing w:line="297" w:lineRule="auto" w:before="72" w:after="0"/>
        <w:ind w:left="1313" w:right="752" w:hanging="360"/>
        <w:jc w:val="left"/>
        <w:rPr>
          <w:sz w:val="24"/>
        </w:rPr>
      </w:pPr>
      <w:r>
        <w:rPr>
          <w:sz w:val="24"/>
        </w:rPr>
        <w:t>Ordens de serviço concluídas: mais de 190, demonstrando eficiência e comprometimento das </w:t>
      </w:r>
      <w:r>
        <w:rPr>
          <w:spacing w:val="-2"/>
          <w:sz w:val="24"/>
        </w:rPr>
        <w:t>equipes.</w:t>
      </w:r>
    </w:p>
    <w:p>
      <w:pPr>
        <w:pStyle w:val="ListParagraph"/>
        <w:numPr>
          <w:ilvl w:val="0"/>
          <w:numId w:val="10"/>
        </w:numPr>
        <w:tabs>
          <w:tab w:pos="1313" w:val="left" w:leader="none"/>
        </w:tabs>
        <w:spacing w:line="240" w:lineRule="auto" w:before="1" w:after="0"/>
        <w:ind w:left="1313" w:right="0" w:hanging="360"/>
        <w:jc w:val="left"/>
        <w:rPr>
          <w:sz w:val="24"/>
        </w:rPr>
      </w:pPr>
      <w:r>
        <w:rPr>
          <w:sz w:val="24"/>
        </w:rPr>
        <w:t>Melhorias</w:t>
      </w:r>
      <w:r>
        <w:rPr>
          <w:spacing w:val="-7"/>
          <w:sz w:val="24"/>
        </w:rPr>
        <w:t> </w:t>
      </w:r>
      <w:r>
        <w:rPr>
          <w:spacing w:val="-2"/>
          <w:sz w:val="24"/>
        </w:rPr>
        <w:t>adicionais:</w:t>
      </w:r>
    </w:p>
    <w:p>
      <w:pPr>
        <w:pStyle w:val="ListParagraph"/>
        <w:numPr>
          <w:ilvl w:val="1"/>
          <w:numId w:val="10"/>
        </w:numPr>
        <w:tabs>
          <w:tab w:pos="2033" w:val="left" w:leader="none"/>
        </w:tabs>
        <w:spacing w:line="297" w:lineRule="auto" w:before="73" w:after="0"/>
        <w:ind w:left="2033" w:right="751" w:hanging="360"/>
        <w:jc w:val="left"/>
        <w:rPr>
          <w:sz w:val="24"/>
        </w:rPr>
      </w:pPr>
      <w:r>
        <w:rPr>
          <w:sz w:val="24"/>
        </w:rPr>
        <w:t>Limpeza</w:t>
      </w:r>
      <w:r>
        <w:rPr>
          <w:spacing w:val="80"/>
          <w:sz w:val="24"/>
        </w:rPr>
        <w:t> </w:t>
      </w:r>
      <w:r>
        <w:rPr>
          <w:sz w:val="24"/>
        </w:rPr>
        <w:t>com</w:t>
      </w:r>
      <w:r>
        <w:rPr>
          <w:spacing w:val="79"/>
          <w:sz w:val="24"/>
        </w:rPr>
        <w:t> </w:t>
      </w:r>
      <w:r>
        <w:rPr>
          <w:sz w:val="24"/>
        </w:rPr>
        <w:t>remoção</w:t>
      </w:r>
      <w:r>
        <w:rPr>
          <w:spacing w:val="80"/>
          <w:sz w:val="24"/>
        </w:rPr>
        <w:t> </w:t>
      </w:r>
      <w:r>
        <w:rPr>
          <w:sz w:val="24"/>
        </w:rPr>
        <w:t>de</w:t>
      </w:r>
      <w:r>
        <w:rPr>
          <w:spacing w:val="80"/>
          <w:sz w:val="24"/>
        </w:rPr>
        <w:t> </w:t>
      </w:r>
      <w:r>
        <w:rPr>
          <w:sz w:val="24"/>
        </w:rPr>
        <w:t>fitas</w:t>
      </w:r>
      <w:r>
        <w:rPr>
          <w:spacing w:val="80"/>
          <w:sz w:val="24"/>
        </w:rPr>
        <w:t> </w:t>
      </w:r>
      <w:r>
        <w:rPr>
          <w:sz w:val="24"/>
        </w:rPr>
        <w:t>adesivas</w:t>
      </w:r>
      <w:r>
        <w:rPr>
          <w:spacing w:val="80"/>
          <w:sz w:val="24"/>
        </w:rPr>
        <w:t> </w:t>
      </w:r>
      <w:r>
        <w:rPr>
          <w:sz w:val="24"/>
        </w:rPr>
        <w:t>dos</w:t>
      </w:r>
      <w:r>
        <w:rPr>
          <w:spacing w:val="80"/>
          <w:sz w:val="24"/>
        </w:rPr>
        <w:t> </w:t>
      </w:r>
      <w:r>
        <w:rPr>
          <w:sz w:val="24"/>
        </w:rPr>
        <w:t>divisores</w:t>
      </w:r>
      <w:r>
        <w:rPr>
          <w:spacing w:val="80"/>
          <w:sz w:val="24"/>
        </w:rPr>
        <w:t> </w:t>
      </w:r>
      <w:r>
        <w:rPr>
          <w:sz w:val="24"/>
        </w:rPr>
        <w:t>de</w:t>
      </w:r>
      <w:r>
        <w:rPr>
          <w:spacing w:val="80"/>
          <w:sz w:val="24"/>
        </w:rPr>
        <w:t> </w:t>
      </w:r>
      <w:r>
        <w:rPr>
          <w:sz w:val="24"/>
        </w:rPr>
        <w:t>inox</w:t>
      </w:r>
      <w:r>
        <w:rPr>
          <w:spacing w:val="80"/>
          <w:sz w:val="24"/>
        </w:rPr>
        <w:t> </w:t>
      </w:r>
      <w:r>
        <w:rPr>
          <w:sz w:val="24"/>
        </w:rPr>
        <w:t>na</w:t>
      </w:r>
      <w:r>
        <w:rPr>
          <w:spacing w:val="80"/>
          <w:sz w:val="24"/>
        </w:rPr>
        <w:t> </w:t>
      </w:r>
      <w:r>
        <w:rPr>
          <w:sz w:val="24"/>
        </w:rPr>
        <w:t>Emergência, proporcionando ambiente mais organizado.</w:t>
      </w:r>
    </w:p>
    <w:p>
      <w:pPr>
        <w:pStyle w:val="ListParagraph"/>
        <w:numPr>
          <w:ilvl w:val="1"/>
          <w:numId w:val="10"/>
        </w:numPr>
        <w:tabs>
          <w:tab w:pos="2032" w:val="left" w:leader="none"/>
        </w:tabs>
        <w:spacing w:line="240" w:lineRule="auto" w:before="5" w:after="0"/>
        <w:ind w:left="2032" w:right="0" w:hanging="359"/>
        <w:jc w:val="left"/>
        <w:rPr>
          <w:sz w:val="24"/>
        </w:rPr>
      </w:pPr>
      <w:r>
        <w:rPr>
          <w:sz w:val="24"/>
        </w:rPr>
        <w:t>Limpeza</w:t>
      </w:r>
      <w:r>
        <w:rPr>
          <w:spacing w:val="-1"/>
          <w:sz w:val="24"/>
        </w:rPr>
        <w:t> </w:t>
      </w:r>
      <w:r>
        <w:rPr>
          <w:sz w:val="24"/>
        </w:rPr>
        <w:t>detalhada</w:t>
      </w:r>
      <w:r>
        <w:rPr>
          <w:spacing w:val="-3"/>
          <w:sz w:val="24"/>
        </w:rPr>
        <w:t> </w:t>
      </w:r>
      <w:r>
        <w:rPr>
          <w:sz w:val="24"/>
        </w:rPr>
        <w:t>de</w:t>
      </w:r>
      <w:r>
        <w:rPr>
          <w:spacing w:val="-4"/>
          <w:sz w:val="24"/>
        </w:rPr>
        <w:t> </w:t>
      </w:r>
      <w:r>
        <w:rPr>
          <w:sz w:val="24"/>
        </w:rPr>
        <w:t>todas</w:t>
      </w:r>
      <w:r>
        <w:rPr>
          <w:spacing w:val="-2"/>
          <w:sz w:val="24"/>
        </w:rPr>
        <w:t> </w:t>
      </w:r>
      <w:r>
        <w:rPr>
          <w:sz w:val="24"/>
        </w:rPr>
        <w:t>as</w:t>
      </w:r>
      <w:r>
        <w:rPr>
          <w:spacing w:val="-3"/>
          <w:sz w:val="24"/>
        </w:rPr>
        <w:t> </w:t>
      </w:r>
      <w:r>
        <w:rPr>
          <w:sz w:val="24"/>
        </w:rPr>
        <w:t>macas</w:t>
      </w:r>
      <w:r>
        <w:rPr>
          <w:spacing w:val="-4"/>
          <w:sz w:val="24"/>
        </w:rPr>
        <w:t> </w:t>
      </w:r>
      <w:r>
        <w:rPr>
          <w:sz w:val="24"/>
        </w:rPr>
        <w:t>da</w:t>
      </w:r>
      <w:r>
        <w:rPr>
          <w:spacing w:val="-2"/>
          <w:sz w:val="24"/>
        </w:rPr>
        <w:t> unidade.</w:t>
      </w:r>
    </w:p>
    <w:p>
      <w:pPr>
        <w:pStyle w:val="ListParagraph"/>
        <w:numPr>
          <w:ilvl w:val="1"/>
          <w:numId w:val="10"/>
        </w:numPr>
        <w:tabs>
          <w:tab w:pos="2032" w:val="left" w:leader="none"/>
        </w:tabs>
        <w:spacing w:line="240" w:lineRule="auto" w:before="74" w:after="0"/>
        <w:ind w:left="2032" w:right="0" w:hanging="359"/>
        <w:jc w:val="left"/>
        <w:rPr>
          <w:sz w:val="24"/>
        </w:rPr>
      </w:pPr>
      <w:r>
        <w:rPr>
          <w:sz w:val="24"/>
        </w:rPr>
        <w:t>Organização</w:t>
      </w:r>
      <w:r>
        <w:rPr>
          <w:spacing w:val="-3"/>
          <w:sz w:val="24"/>
        </w:rPr>
        <w:t> </w:t>
      </w:r>
      <w:r>
        <w:rPr>
          <w:sz w:val="24"/>
        </w:rPr>
        <w:t>e</w:t>
      </w:r>
      <w:r>
        <w:rPr>
          <w:spacing w:val="-4"/>
          <w:sz w:val="24"/>
        </w:rPr>
        <w:t> </w:t>
      </w:r>
      <w:r>
        <w:rPr>
          <w:sz w:val="24"/>
        </w:rPr>
        <w:t>higienização</w:t>
      </w:r>
      <w:r>
        <w:rPr>
          <w:spacing w:val="-1"/>
          <w:sz w:val="24"/>
        </w:rPr>
        <w:t> </w:t>
      </w:r>
      <w:r>
        <w:rPr>
          <w:sz w:val="24"/>
        </w:rPr>
        <w:t>do</w:t>
      </w:r>
      <w:r>
        <w:rPr>
          <w:spacing w:val="-3"/>
          <w:sz w:val="24"/>
        </w:rPr>
        <w:t> </w:t>
      </w:r>
      <w:r>
        <w:rPr>
          <w:sz w:val="24"/>
        </w:rPr>
        <w:t>galpão</w:t>
      </w:r>
      <w:r>
        <w:rPr>
          <w:spacing w:val="-3"/>
          <w:sz w:val="24"/>
        </w:rPr>
        <w:t> </w:t>
      </w:r>
      <w:r>
        <w:rPr>
          <w:sz w:val="24"/>
        </w:rPr>
        <w:t>ao</w:t>
      </w:r>
      <w:r>
        <w:rPr>
          <w:spacing w:val="-3"/>
          <w:sz w:val="24"/>
        </w:rPr>
        <w:t> </w:t>
      </w:r>
      <w:r>
        <w:rPr>
          <w:sz w:val="24"/>
        </w:rPr>
        <w:t>lado</w:t>
      </w:r>
      <w:r>
        <w:rPr>
          <w:spacing w:val="-3"/>
          <w:sz w:val="24"/>
        </w:rPr>
        <w:t> </w:t>
      </w:r>
      <w:r>
        <w:rPr>
          <w:sz w:val="24"/>
        </w:rPr>
        <w:t>da</w:t>
      </w:r>
      <w:r>
        <w:rPr>
          <w:spacing w:val="-4"/>
          <w:sz w:val="24"/>
        </w:rPr>
        <w:t> </w:t>
      </w:r>
      <w:r>
        <w:rPr>
          <w:spacing w:val="-2"/>
          <w:sz w:val="24"/>
        </w:rPr>
        <w:t>oficina.</w:t>
      </w:r>
    </w:p>
    <w:p>
      <w:pPr>
        <w:pStyle w:val="BodyText"/>
        <w:spacing w:before="8"/>
      </w:pPr>
    </w:p>
    <w:p>
      <w:pPr>
        <w:pStyle w:val="BodyText"/>
        <w:spacing w:line="300" w:lineRule="auto"/>
        <w:ind w:left="593" w:right="759"/>
        <w:jc w:val="both"/>
      </w:pPr>
      <w:r>
        <w:rPr/>
        <w:t>O projeto reforça a importância da integração multidisciplinar e da busca por excelência operacional, impactando diretamente na qualidade do atendimento e na experiência do paciente.</w:t>
      </w:r>
    </w:p>
    <w:p>
      <w:pPr>
        <w:pStyle w:val="BodyText"/>
        <w:rPr>
          <w:sz w:val="20"/>
        </w:rPr>
      </w:pPr>
    </w:p>
    <w:p>
      <w:pPr>
        <w:pStyle w:val="BodyText"/>
        <w:spacing w:before="52"/>
        <w:rPr>
          <w:sz w:val="20"/>
        </w:rPr>
      </w:pPr>
    </w:p>
    <w:tbl>
      <w:tblPr>
        <w:tblW w:w="0" w:type="auto"/>
        <w:jc w:val="left"/>
        <w:tblInd w:w="6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440"/>
        <w:gridCol w:w="2468"/>
        <w:gridCol w:w="2464"/>
        <w:gridCol w:w="2468"/>
      </w:tblGrid>
      <w:tr>
        <w:trPr>
          <w:trHeight w:val="2616" w:hRule="atLeast"/>
        </w:trPr>
        <w:tc>
          <w:tcPr>
            <w:tcW w:w="2440" w:type="dxa"/>
          </w:tcPr>
          <w:p>
            <w:pPr>
              <w:pStyle w:val="TableParagraph"/>
              <w:jc w:val="left"/>
              <w:rPr>
                <w:sz w:val="22"/>
              </w:rPr>
            </w:pPr>
          </w:p>
        </w:tc>
        <w:tc>
          <w:tcPr>
            <w:tcW w:w="2468" w:type="dxa"/>
          </w:tcPr>
          <w:p>
            <w:pPr>
              <w:pStyle w:val="TableParagraph"/>
              <w:ind w:left="146"/>
              <w:jc w:val="left"/>
              <w:rPr>
                <w:sz w:val="20"/>
              </w:rPr>
            </w:pPr>
            <w:r>
              <w:rPr>
                <w:sz w:val="20"/>
              </w:rPr>
              <w:drawing>
                <wp:inline distT="0" distB="0" distL="0" distR="0">
                  <wp:extent cx="1364479" cy="1635633"/>
                  <wp:effectExtent l="0" t="0" r="0" b="0"/>
                  <wp:docPr id="22" name="Image 22" descr="Uma imagem contendo no interior, mesa, verde, mulher  O conteúdo gerado por IA pode estar incorreto."/>
                  <wp:cNvGraphicFramePr>
                    <a:graphicFrameLocks/>
                  </wp:cNvGraphicFramePr>
                  <a:graphic>
                    <a:graphicData uri="http://schemas.openxmlformats.org/drawingml/2006/picture">
                      <pic:pic>
                        <pic:nvPicPr>
                          <pic:cNvPr id="22" name="Image 22" descr="Uma imagem contendo no interior, mesa, verde, mulher  O conteúdo gerado por IA pode estar incorreto."/>
                          <pic:cNvPicPr/>
                        </pic:nvPicPr>
                        <pic:blipFill>
                          <a:blip r:embed="rId24" cstate="print"/>
                          <a:stretch>
                            <a:fillRect/>
                          </a:stretch>
                        </pic:blipFill>
                        <pic:spPr>
                          <a:xfrm>
                            <a:off x="0" y="0"/>
                            <a:ext cx="1364479" cy="1635633"/>
                          </a:xfrm>
                          <a:prstGeom prst="rect">
                            <a:avLst/>
                          </a:prstGeom>
                        </pic:spPr>
                      </pic:pic>
                    </a:graphicData>
                  </a:graphic>
                </wp:inline>
              </w:drawing>
            </w:r>
            <w:r>
              <w:rPr>
                <w:sz w:val="20"/>
              </w:rPr>
            </w:r>
          </w:p>
        </w:tc>
        <w:tc>
          <w:tcPr>
            <w:tcW w:w="2464" w:type="dxa"/>
          </w:tcPr>
          <w:p>
            <w:pPr>
              <w:pStyle w:val="TableParagraph"/>
              <w:ind w:left="236"/>
              <w:jc w:val="left"/>
              <w:rPr>
                <w:sz w:val="20"/>
              </w:rPr>
            </w:pPr>
            <w:r>
              <w:rPr>
                <w:sz w:val="20"/>
              </w:rPr>
              <w:drawing>
                <wp:inline distT="0" distB="0" distL="0" distR="0">
                  <wp:extent cx="1230576" cy="1615439"/>
                  <wp:effectExtent l="0" t="0" r="0" b="0"/>
                  <wp:docPr id="23" name="Image 23" descr="Uma imagem contendo no interior, quarto, mesa, homem  O conteúdo gerado por IA pode estar incorreto."/>
                  <wp:cNvGraphicFramePr>
                    <a:graphicFrameLocks/>
                  </wp:cNvGraphicFramePr>
                  <a:graphic>
                    <a:graphicData uri="http://schemas.openxmlformats.org/drawingml/2006/picture">
                      <pic:pic>
                        <pic:nvPicPr>
                          <pic:cNvPr id="23" name="Image 23" descr="Uma imagem contendo no interior, quarto, mesa, homem  O conteúdo gerado por IA pode estar incorreto."/>
                          <pic:cNvPicPr/>
                        </pic:nvPicPr>
                        <pic:blipFill>
                          <a:blip r:embed="rId25" cstate="print"/>
                          <a:stretch>
                            <a:fillRect/>
                          </a:stretch>
                        </pic:blipFill>
                        <pic:spPr>
                          <a:xfrm>
                            <a:off x="0" y="0"/>
                            <a:ext cx="1230576" cy="1615439"/>
                          </a:xfrm>
                          <a:prstGeom prst="rect">
                            <a:avLst/>
                          </a:prstGeom>
                        </pic:spPr>
                      </pic:pic>
                    </a:graphicData>
                  </a:graphic>
                </wp:inline>
              </w:drawing>
            </w:r>
            <w:r>
              <w:rPr>
                <w:sz w:val="20"/>
              </w:rPr>
            </w:r>
          </w:p>
        </w:tc>
        <w:tc>
          <w:tcPr>
            <w:tcW w:w="2468" w:type="dxa"/>
          </w:tcPr>
          <w:p>
            <w:pPr>
              <w:pStyle w:val="TableParagraph"/>
              <w:ind w:left="154"/>
              <w:jc w:val="left"/>
              <w:rPr>
                <w:sz w:val="20"/>
              </w:rPr>
            </w:pPr>
            <w:r>
              <w:rPr>
                <w:sz w:val="20"/>
              </w:rPr>
              <w:drawing>
                <wp:inline distT="0" distB="0" distL="0" distR="0">
                  <wp:extent cx="1344162" cy="1599914"/>
                  <wp:effectExtent l="0" t="0" r="0" b="0"/>
                  <wp:docPr id="24" name="Image 24" descr="Uma imagem contendo pessoa, no interior, mulher, jovem  O conteúdo gerado por IA pode estar incorreto."/>
                  <wp:cNvGraphicFramePr>
                    <a:graphicFrameLocks/>
                  </wp:cNvGraphicFramePr>
                  <a:graphic>
                    <a:graphicData uri="http://schemas.openxmlformats.org/drawingml/2006/picture">
                      <pic:pic>
                        <pic:nvPicPr>
                          <pic:cNvPr id="24" name="Image 24" descr="Uma imagem contendo pessoa, no interior, mulher, jovem  O conteúdo gerado por IA pode estar incorreto."/>
                          <pic:cNvPicPr/>
                        </pic:nvPicPr>
                        <pic:blipFill>
                          <a:blip r:embed="rId26" cstate="print"/>
                          <a:stretch>
                            <a:fillRect/>
                          </a:stretch>
                        </pic:blipFill>
                        <pic:spPr>
                          <a:xfrm>
                            <a:off x="0" y="0"/>
                            <a:ext cx="1344162" cy="1599914"/>
                          </a:xfrm>
                          <a:prstGeom prst="rect">
                            <a:avLst/>
                          </a:prstGeom>
                        </pic:spPr>
                      </pic:pic>
                    </a:graphicData>
                  </a:graphic>
                </wp:inline>
              </w:drawing>
            </w:r>
            <w:r>
              <w:rPr>
                <w:sz w:val="20"/>
              </w:rPr>
            </w:r>
          </w:p>
        </w:tc>
      </w:tr>
    </w:tbl>
    <w:p>
      <w:pPr>
        <w:pStyle w:val="TableParagraph"/>
        <w:spacing w:after="0"/>
        <w:jc w:val="left"/>
        <w:rPr>
          <w:sz w:val="20"/>
        </w:rPr>
        <w:sectPr>
          <w:pgSz w:w="11910" w:h="16840"/>
          <w:pgMar w:header="358" w:footer="560" w:top="1580" w:bottom="780" w:left="708" w:right="0"/>
        </w:sectPr>
      </w:pPr>
    </w:p>
    <w:p>
      <w:pPr>
        <w:pStyle w:val="BodyText"/>
      </w:pPr>
    </w:p>
    <w:p>
      <w:pPr>
        <w:pStyle w:val="BodyText"/>
      </w:pPr>
    </w:p>
    <w:p>
      <w:pPr>
        <w:pStyle w:val="BodyText"/>
        <w:spacing w:before="233"/>
      </w:pPr>
    </w:p>
    <w:p>
      <w:pPr>
        <w:pStyle w:val="BodyText"/>
        <w:spacing w:line="300" w:lineRule="auto"/>
        <w:ind w:left="593" w:right="542"/>
      </w:pPr>
      <w:r>
        <w:rPr/>
        <w:t>UNIFORME</w:t>
      </w:r>
      <w:r>
        <w:rPr>
          <w:spacing w:val="-3"/>
        </w:rPr>
        <w:t> </w:t>
      </w:r>
      <w:r>
        <w:rPr/>
        <w:t>-</w:t>
      </w:r>
      <w:r>
        <w:rPr>
          <w:spacing w:val="-4"/>
        </w:rPr>
        <w:t> </w:t>
      </w:r>
      <w:r>
        <w:rPr/>
        <w:t>Com</w:t>
      </w:r>
      <w:r>
        <w:rPr>
          <w:spacing w:val="-5"/>
        </w:rPr>
        <w:t> </w:t>
      </w:r>
      <w:r>
        <w:rPr/>
        <w:t>o</w:t>
      </w:r>
      <w:r>
        <w:rPr>
          <w:spacing w:val="-4"/>
        </w:rPr>
        <w:t> </w:t>
      </w:r>
      <w:r>
        <w:rPr/>
        <w:t>objetivo</w:t>
      </w:r>
      <w:r>
        <w:rPr>
          <w:spacing w:val="-3"/>
        </w:rPr>
        <w:t> </w:t>
      </w:r>
      <w:r>
        <w:rPr/>
        <w:t>de</w:t>
      </w:r>
      <w:r>
        <w:rPr>
          <w:spacing w:val="-5"/>
        </w:rPr>
        <w:t> </w:t>
      </w:r>
      <w:r>
        <w:rPr/>
        <w:t>oferecer</w:t>
      </w:r>
      <w:r>
        <w:rPr>
          <w:spacing w:val="-3"/>
        </w:rPr>
        <w:t> </w:t>
      </w:r>
      <w:r>
        <w:rPr/>
        <w:t>um</w:t>
      </w:r>
      <w:r>
        <w:rPr>
          <w:spacing w:val="-3"/>
        </w:rPr>
        <w:t> </w:t>
      </w:r>
      <w:r>
        <w:rPr/>
        <w:t>atendimento</w:t>
      </w:r>
      <w:r>
        <w:rPr>
          <w:spacing w:val="-1"/>
        </w:rPr>
        <w:t> </w:t>
      </w:r>
      <w:r>
        <w:rPr/>
        <w:t>mais</w:t>
      </w:r>
      <w:r>
        <w:rPr>
          <w:spacing w:val="-4"/>
        </w:rPr>
        <w:t> </w:t>
      </w:r>
      <w:r>
        <w:rPr/>
        <w:t>organizado,</w:t>
      </w:r>
      <w:r>
        <w:rPr>
          <w:spacing w:val="-3"/>
        </w:rPr>
        <w:t> </w:t>
      </w:r>
      <w:r>
        <w:rPr/>
        <w:t>confortável</w:t>
      </w:r>
      <w:r>
        <w:rPr>
          <w:spacing w:val="-1"/>
        </w:rPr>
        <w:t> </w:t>
      </w:r>
      <w:r>
        <w:rPr/>
        <w:t>e</w:t>
      </w:r>
      <w:r>
        <w:rPr>
          <w:spacing w:val="-5"/>
        </w:rPr>
        <w:t> </w:t>
      </w:r>
      <w:r>
        <w:rPr/>
        <w:t>acolhedor, realizamos a entrega dos uniformes para os cargos elegíveis das áreas de atendimento do MDA, Ambulatório e Laboratório, contemplando os seguintes profissionais:</w:t>
      </w:r>
    </w:p>
    <w:p>
      <w:pPr>
        <w:pStyle w:val="ListParagraph"/>
        <w:numPr>
          <w:ilvl w:val="0"/>
          <w:numId w:val="10"/>
        </w:numPr>
        <w:tabs>
          <w:tab w:pos="1313" w:val="left" w:leader="none"/>
        </w:tabs>
        <w:spacing w:line="240" w:lineRule="auto" w:before="210" w:after="0"/>
        <w:ind w:left="1313" w:right="0" w:hanging="360"/>
        <w:jc w:val="left"/>
        <w:rPr>
          <w:sz w:val="24"/>
        </w:rPr>
      </w:pPr>
      <w:r>
        <w:rPr>
          <w:sz w:val="24"/>
        </w:rPr>
        <w:t>Assistentes</w:t>
      </w:r>
      <w:r>
        <w:rPr>
          <w:spacing w:val="-3"/>
          <w:sz w:val="24"/>
        </w:rPr>
        <w:t> </w:t>
      </w:r>
      <w:r>
        <w:rPr>
          <w:sz w:val="24"/>
        </w:rPr>
        <w:t>de</w:t>
      </w:r>
      <w:r>
        <w:rPr>
          <w:spacing w:val="-5"/>
          <w:sz w:val="24"/>
        </w:rPr>
        <w:t> </w:t>
      </w:r>
      <w:r>
        <w:rPr>
          <w:spacing w:val="-2"/>
          <w:sz w:val="24"/>
        </w:rPr>
        <w:t>Atendimento</w:t>
      </w:r>
    </w:p>
    <w:p>
      <w:pPr>
        <w:pStyle w:val="ListParagraph"/>
        <w:numPr>
          <w:ilvl w:val="0"/>
          <w:numId w:val="10"/>
        </w:numPr>
        <w:tabs>
          <w:tab w:pos="1313" w:val="left" w:leader="none"/>
        </w:tabs>
        <w:spacing w:line="240" w:lineRule="auto" w:before="74" w:after="0"/>
        <w:ind w:left="1313" w:right="0" w:hanging="360"/>
        <w:jc w:val="left"/>
        <w:rPr>
          <w:sz w:val="24"/>
        </w:rPr>
      </w:pPr>
      <w:r>
        <w:rPr>
          <w:spacing w:val="-2"/>
          <w:sz w:val="24"/>
        </w:rPr>
        <w:t>Laboratoristas</w:t>
      </w:r>
    </w:p>
    <w:p>
      <w:pPr>
        <w:pStyle w:val="ListParagraph"/>
        <w:numPr>
          <w:ilvl w:val="0"/>
          <w:numId w:val="10"/>
        </w:numPr>
        <w:tabs>
          <w:tab w:pos="1313" w:val="left" w:leader="none"/>
        </w:tabs>
        <w:spacing w:line="240" w:lineRule="auto" w:before="72" w:after="0"/>
        <w:ind w:left="1313" w:right="0" w:hanging="360"/>
        <w:jc w:val="left"/>
        <w:rPr>
          <w:sz w:val="24"/>
        </w:rPr>
      </w:pPr>
      <w:r>
        <w:rPr>
          <w:sz w:val="24"/>
        </w:rPr>
        <w:t>Analistas</w:t>
      </w:r>
      <w:r>
        <w:rPr>
          <w:spacing w:val="-3"/>
          <w:sz w:val="24"/>
        </w:rPr>
        <w:t> </w:t>
      </w:r>
      <w:r>
        <w:rPr>
          <w:sz w:val="24"/>
        </w:rPr>
        <w:t>de</w:t>
      </w:r>
      <w:r>
        <w:rPr>
          <w:spacing w:val="-3"/>
          <w:sz w:val="24"/>
        </w:rPr>
        <w:t> </w:t>
      </w:r>
      <w:r>
        <w:rPr>
          <w:spacing w:val="-2"/>
          <w:sz w:val="24"/>
        </w:rPr>
        <w:t>Laboratório</w:t>
      </w:r>
    </w:p>
    <w:p>
      <w:pPr>
        <w:pStyle w:val="ListParagraph"/>
        <w:numPr>
          <w:ilvl w:val="0"/>
          <w:numId w:val="10"/>
        </w:numPr>
        <w:tabs>
          <w:tab w:pos="1313" w:val="left" w:leader="none"/>
        </w:tabs>
        <w:spacing w:line="240" w:lineRule="auto" w:before="73" w:after="0"/>
        <w:ind w:left="1313" w:right="0" w:hanging="360"/>
        <w:jc w:val="left"/>
        <w:rPr>
          <w:sz w:val="24"/>
        </w:rPr>
      </w:pPr>
      <w:r>
        <w:rPr>
          <w:sz w:val="24"/>
        </w:rPr>
        <w:t>Técnicas</w:t>
      </w:r>
      <w:r>
        <w:rPr>
          <w:spacing w:val="-3"/>
          <w:sz w:val="24"/>
        </w:rPr>
        <w:t> </w:t>
      </w:r>
      <w:r>
        <w:rPr>
          <w:sz w:val="24"/>
        </w:rPr>
        <w:t>de</w:t>
      </w:r>
      <w:r>
        <w:rPr>
          <w:spacing w:val="-4"/>
          <w:sz w:val="24"/>
        </w:rPr>
        <w:t> </w:t>
      </w:r>
      <w:r>
        <w:rPr>
          <w:spacing w:val="-2"/>
          <w:sz w:val="24"/>
        </w:rPr>
        <w:t>Enfermagem</w:t>
      </w:r>
    </w:p>
    <w:p>
      <w:pPr>
        <w:pStyle w:val="ListParagraph"/>
        <w:numPr>
          <w:ilvl w:val="0"/>
          <w:numId w:val="10"/>
        </w:numPr>
        <w:tabs>
          <w:tab w:pos="1313" w:val="left" w:leader="none"/>
        </w:tabs>
        <w:spacing w:line="240" w:lineRule="auto" w:before="72" w:after="0"/>
        <w:ind w:left="1313" w:right="0" w:hanging="360"/>
        <w:jc w:val="left"/>
        <w:rPr>
          <w:sz w:val="24"/>
        </w:rPr>
      </w:pPr>
      <w:r>
        <w:rPr>
          <w:spacing w:val="-2"/>
          <w:sz w:val="24"/>
        </w:rPr>
        <w:t>Enfermeiros</w:t>
      </w:r>
    </w:p>
    <w:p>
      <w:pPr>
        <w:pStyle w:val="BodyText"/>
        <w:spacing w:before="120"/>
        <w:rPr>
          <w:sz w:val="20"/>
        </w:rPr>
      </w:pPr>
    </w:p>
    <w:tbl>
      <w:tblPr>
        <w:tblW w:w="0" w:type="auto"/>
        <w:jc w:val="left"/>
        <w:tblInd w:w="6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464"/>
        <w:gridCol w:w="2458"/>
        <w:gridCol w:w="1796"/>
        <w:gridCol w:w="3122"/>
      </w:tblGrid>
      <w:tr>
        <w:trPr>
          <w:trHeight w:val="2760" w:hRule="atLeast"/>
        </w:trPr>
        <w:tc>
          <w:tcPr>
            <w:tcW w:w="2464" w:type="dxa"/>
          </w:tcPr>
          <w:p>
            <w:pPr>
              <w:pStyle w:val="TableParagraph"/>
              <w:spacing w:before="6"/>
              <w:jc w:val="left"/>
              <w:rPr>
                <w:sz w:val="9"/>
              </w:rPr>
            </w:pPr>
          </w:p>
          <w:p>
            <w:pPr>
              <w:pStyle w:val="TableParagraph"/>
              <w:ind w:left="172"/>
              <w:jc w:val="left"/>
              <w:rPr>
                <w:sz w:val="20"/>
              </w:rPr>
            </w:pPr>
            <w:r>
              <w:rPr>
                <w:sz w:val="20"/>
              </w:rPr>
              <w:drawing>
                <wp:inline distT="0" distB="0" distL="0" distR="0">
                  <wp:extent cx="1343840" cy="1609439"/>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27" cstate="print"/>
                          <a:stretch>
                            <a:fillRect/>
                          </a:stretch>
                        </pic:blipFill>
                        <pic:spPr>
                          <a:xfrm>
                            <a:off x="0" y="0"/>
                            <a:ext cx="1343840" cy="1609439"/>
                          </a:xfrm>
                          <a:prstGeom prst="rect">
                            <a:avLst/>
                          </a:prstGeom>
                        </pic:spPr>
                      </pic:pic>
                    </a:graphicData>
                  </a:graphic>
                </wp:inline>
              </w:drawing>
            </w:r>
            <w:r>
              <w:rPr>
                <w:sz w:val="20"/>
              </w:rPr>
            </w:r>
          </w:p>
        </w:tc>
        <w:tc>
          <w:tcPr>
            <w:tcW w:w="2458" w:type="dxa"/>
          </w:tcPr>
          <w:p>
            <w:pPr>
              <w:pStyle w:val="TableParagraph"/>
              <w:spacing w:before="6"/>
              <w:jc w:val="left"/>
              <w:rPr>
                <w:sz w:val="4"/>
              </w:rPr>
            </w:pPr>
          </w:p>
          <w:p>
            <w:pPr>
              <w:pStyle w:val="TableParagraph"/>
              <w:ind w:left="402"/>
              <w:jc w:val="left"/>
              <w:rPr>
                <w:sz w:val="20"/>
              </w:rPr>
            </w:pPr>
            <w:r>
              <w:rPr>
                <w:sz w:val="20"/>
              </w:rPr>
              <w:drawing>
                <wp:inline distT="0" distB="0" distL="0" distR="0">
                  <wp:extent cx="1052089" cy="1690877"/>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28" cstate="print"/>
                          <a:stretch>
                            <a:fillRect/>
                          </a:stretch>
                        </pic:blipFill>
                        <pic:spPr>
                          <a:xfrm>
                            <a:off x="0" y="0"/>
                            <a:ext cx="1052089" cy="1690877"/>
                          </a:xfrm>
                          <a:prstGeom prst="rect">
                            <a:avLst/>
                          </a:prstGeom>
                        </pic:spPr>
                      </pic:pic>
                    </a:graphicData>
                  </a:graphic>
                </wp:inline>
              </w:drawing>
            </w:r>
            <w:r>
              <w:rPr>
                <w:sz w:val="20"/>
              </w:rPr>
            </w:r>
          </w:p>
        </w:tc>
        <w:tc>
          <w:tcPr>
            <w:tcW w:w="1796" w:type="dxa"/>
          </w:tcPr>
          <w:p>
            <w:pPr>
              <w:pStyle w:val="TableParagraph"/>
              <w:ind w:left="182"/>
              <w:jc w:val="left"/>
              <w:rPr>
                <w:sz w:val="20"/>
              </w:rPr>
            </w:pPr>
            <w:r>
              <w:rPr>
                <w:sz w:val="20"/>
              </w:rPr>
              <w:drawing>
                <wp:inline distT="0" distB="0" distL="0" distR="0">
                  <wp:extent cx="909393" cy="173431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9" cstate="print"/>
                          <a:stretch>
                            <a:fillRect/>
                          </a:stretch>
                        </pic:blipFill>
                        <pic:spPr>
                          <a:xfrm>
                            <a:off x="0" y="0"/>
                            <a:ext cx="909393" cy="1734312"/>
                          </a:xfrm>
                          <a:prstGeom prst="rect">
                            <a:avLst/>
                          </a:prstGeom>
                        </pic:spPr>
                      </pic:pic>
                    </a:graphicData>
                  </a:graphic>
                </wp:inline>
              </w:drawing>
            </w:r>
            <w:r>
              <w:rPr>
                <w:sz w:val="20"/>
              </w:rPr>
            </w:r>
          </w:p>
        </w:tc>
        <w:tc>
          <w:tcPr>
            <w:tcW w:w="3122" w:type="dxa"/>
          </w:tcPr>
          <w:p>
            <w:pPr>
              <w:pStyle w:val="TableParagraph"/>
              <w:spacing w:before="16"/>
              <w:jc w:val="left"/>
              <w:rPr>
                <w:sz w:val="20"/>
              </w:rPr>
            </w:pPr>
          </w:p>
          <w:p>
            <w:pPr>
              <w:pStyle w:val="TableParagraph"/>
              <w:ind w:left="506"/>
              <w:jc w:val="left"/>
              <w:rPr>
                <w:sz w:val="20"/>
              </w:rPr>
            </w:pPr>
            <w:r>
              <w:rPr>
                <w:sz w:val="20"/>
              </w:rPr>
              <w:drawing>
                <wp:inline distT="0" distB="0" distL="0" distR="0">
                  <wp:extent cx="1334057" cy="1433322"/>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30" cstate="print"/>
                          <a:stretch>
                            <a:fillRect/>
                          </a:stretch>
                        </pic:blipFill>
                        <pic:spPr>
                          <a:xfrm>
                            <a:off x="0" y="0"/>
                            <a:ext cx="1334057" cy="1433322"/>
                          </a:xfrm>
                          <a:prstGeom prst="rect">
                            <a:avLst/>
                          </a:prstGeom>
                        </pic:spPr>
                      </pic:pic>
                    </a:graphicData>
                  </a:graphic>
                </wp:inline>
              </w:drawing>
            </w:r>
            <w:r>
              <w:rPr>
                <w:sz w:val="20"/>
              </w:rPr>
            </w:r>
          </w:p>
        </w:tc>
      </w:tr>
    </w:tbl>
    <w:p>
      <w:pPr>
        <w:pStyle w:val="BodyText"/>
      </w:pPr>
    </w:p>
    <w:p>
      <w:pPr>
        <w:pStyle w:val="BodyText"/>
      </w:pPr>
    </w:p>
    <w:p>
      <w:pPr>
        <w:pStyle w:val="BodyText"/>
        <w:spacing w:before="26"/>
      </w:pPr>
    </w:p>
    <w:p>
      <w:pPr>
        <w:pStyle w:val="ListParagraph"/>
        <w:numPr>
          <w:ilvl w:val="1"/>
          <w:numId w:val="2"/>
        </w:numPr>
        <w:tabs>
          <w:tab w:pos="1313" w:val="left" w:leader="none"/>
        </w:tabs>
        <w:spacing w:line="240" w:lineRule="auto" w:before="1" w:after="0"/>
        <w:ind w:left="1313" w:right="0" w:hanging="720"/>
        <w:jc w:val="left"/>
        <w:rPr>
          <w:b/>
          <w:sz w:val="24"/>
        </w:rPr>
      </w:pPr>
      <w:bookmarkStart w:name="6.2. Projetos e obras" w:id="39"/>
      <w:bookmarkEnd w:id="39"/>
      <w:r>
        <w:rPr>
          <w:rFonts w:ascii="Arial"/>
          <w:b/>
          <w:sz w:val="24"/>
        </w:rPr>
      </w:r>
      <w:r>
        <w:rPr>
          <w:b/>
          <w:sz w:val="24"/>
        </w:rPr>
        <w:t>Projetos</w:t>
      </w:r>
      <w:r>
        <w:rPr>
          <w:b/>
          <w:spacing w:val="-4"/>
          <w:sz w:val="24"/>
        </w:rPr>
        <w:t> </w:t>
      </w:r>
      <w:r>
        <w:rPr>
          <w:b/>
          <w:sz w:val="24"/>
        </w:rPr>
        <w:t>e</w:t>
      </w:r>
      <w:r>
        <w:rPr>
          <w:b/>
          <w:spacing w:val="-2"/>
          <w:sz w:val="24"/>
        </w:rPr>
        <w:t> obras</w:t>
      </w:r>
    </w:p>
    <w:p>
      <w:pPr>
        <w:pStyle w:val="ListParagraph"/>
        <w:numPr>
          <w:ilvl w:val="2"/>
          <w:numId w:val="2"/>
        </w:numPr>
        <w:tabs>
          <w:tab w:pos="1428" w:val="left" w:leader="none"/>
        </w:tabs>
        <w:spacing w:line="240" w:lineRule="auto" w:before="1" w:after="0"/>
        <w:ind w:left="1428" w:right="0" w:hanging="716"/>
        <w:jc w:val="left"/>
        <w:rPr>
          <w:b/>
          <w:sz w:val="24"/>
        </w:rPr>
      </w:pPr>
      <w:bookmarkStart w:name="6.2.1. Concorrência para projetos execut" w:id="40"/>
      <w:bookmarkEnd w:id="40"/>
      <w:r>
        <w:rPr>
          <w:rFonts w:ascii="Arial" w:hAnsi="Arial"/>
          <w:b/>
          <w:spacing w:val="1"/>
          <w:sz w:val="24"/>
        </w:rPr>
      </w:r>
      <w:r>
        <w:rPr>
          <w:b/>
          <w:sz w:val="24"/>
        </w:rPr>
        <w:t>Concorrência</w:t>
      </w:r>
      <w:r>
        <w:rPr>
          <w:b/>
          <w:spacing w:val="-2"/>
          <w:sz w:val="24"/>
        </w:rPr>
        <w:t> </w:t>
      </w:r>
      <w:r>
        <w:rPr>
          <w:b/>
          <w:sz w:val="24"/>
        </w:rPr>
        <w:t>para</w:t>
      </w:r>
      <w:r>
        <w:rPr>
          <w:b/>
          <w:spacing w:val="-4"/>
          <w:sz w:val="24"/>
        </w:rPr>
        <w:t> </w:t>
      </w:r>
      <w:r>
        <w:rPr>
          <w:b/>
          <w:sz w:val="24"/>
        </w:rPr>
        <w:t>projetos</w:t>
      </w:r>
      <w:r>
        <w:rPr>
          <w:b/>
          <w:spacing w:val="-4"/>
          <w:sz w:val="24"/>
        </w:rPr>
        <w:t> </w:t>
      </w:r>
      <w:r>
        <w:rPr>
          <w:b/>
          <w:sz w:val="24"/>
        </w:rPr>
        <w:t>executivos</w:t>
      </w:r>
      <w:r>
        <w:rPr>
          <w:b/>
          <w:spacing w:val="-3"/>
          <w:sz w:val="24"/>
        </w:rPr>
        <w:t> </w:t>
      </w:r>
      <w:r>
        <w:rPr>
          <w:b/>
          <w:sz w:val="24"/>
        </w:rPr>
        <w:t>do</w:t>
      </w:r>
      <w:r>
        <w:rPr>
          <w:b/>
          <w:spacing w:val="-5"/>
          <w:sz w:val="24"/>
        </w:rPr>
        <w:t> </w:t>
      </w:r>
      <w:r>
        <w:rPr>
          <w:b/>
          <w:sz w:val="24"/>
        </w:rPr>
        <w:t>Plano</w:t>
      </w:r>
      <w:r>
        <w:rPr>
          <w:b/>
          <w:spacing w:val="-4"/>
          <w:sz w:val="24"/>
        </w:rPr>
        <w:t> </w:t>
      </w:r>
      <w:r>
        <w:rPr>
          <w:b/>
          <w:sz w:val="24"/>
        </w:rPr>
        <w:t>Diretor</w:t>
      </w:r>
      <w:r>
        <w:rPr>
          <w:b/>
          <w:spacing w:val="-4"/>
          <w:sz w:val="24"/>
        </w:rPr>
        <w:t> </w:t>
      </w:r>
      <w:r>
        <w:rPr>
          <w:b/>
          <w:sz w:val="24"/>
        </w:rPr>
        <w:t>em</w:t>
      </w:r>
      <w:r>
        <w:rPr>
          <w:b/>
          <w:spacing w:val="-4"/>
          <w:sz w:val="24"/>
        </w:rPr>
        <w:t> </w:t>
      </w:r>
      <w:r>
        <w:rPr>
          <w:b/>
          <w:spacing w:val="-2"/>
          <w:sz w:val="24"/>
        </w:rPr>
        <w:t>andamento.</w:t>
      </w:r>
    </w:p>
    <w:p>
      <w:pPr>
        <w:pStyle w:val="BodyText"/>
        <w:spacing w:before="45"/>
        <w:rPr>
          <w:b/>
        </w:rPr>
      </w:pPr>
    </w:p>
    <w:p>
      <w:pPr>
        <w:pStyle w:val="BodyText"/>
        <w:spacing w:line="259" w:lineRule="auto" w:before="1"/>
        <w:ind w:left="1432" w:right="542" w:hanging="722"/>
      </w:pPr>
      <w:bookmarkStart w:name="Foi iniciado o processo de concorrência " w:id="41"/>
      <w:bookmarkEnd w:id="41"/>
      <w:r>
        <w:rPr/>
      </w:r>
      <w:r>
        <w:rPr/>
        <w:t>Foi</w:t>
      </w:r>
      <w:r>
        <w:rPr>
          <w:spacing w:val="-5"/>
        </w:rPr>
        <w:t> </w:t>
      </w:r>
      <w:r>
        <w:rPr/>
        <w:t>iniciado</w:t>
      </w:r>
      <w:r>
        <w:rPr>
          <w:spacing w:val="-3"/>
        </w:rPr>
        <w:t> </w:t>
      </w:r>
      <w:r>
        <w:rPr/>
        <w:t>o</w:t>
      </w:r>
      <w:r>
        <w:rPr>
          <w:spacing w:val="-4"/>
        </w:rPr>
        <w:t> </w:t>
      </w:r>
      <w:r>
        <w:rPr/>
        <w:t>processo</w:t>
      </w:r>
      <w:r>
        <w:rPr>
          <w:spacing w:val="-4"/>
        </w:rPr>
        <w:t> </w:t>
      </w:r>
      <w:r>
        <w:rPr/>
        <w:t>de</w:t>
      </w:r>
      <w:r>
        <w:rPr>
          <w:spacing w:val="-5"/>
        </w:rPr>
        <w:t> </w:t>
      </w:r>
      <w:r>
        <w:rPr/>
        <w:t>concorrência</w:t>
      </w:r>
      <w:r>
        <w:rPr>
          <w:spacing w:val="-3"/>
        </w:rPr>
        <w:t> </w:t>
      </w:r>
      <w:r>
        <w:rPr/>
        <w:t>para</w:t>
      </w:r>
      <w:r>
        <w:rPr>
          <w:spacing w:val="-3"/>
        </w:rPr>
        <w:t> </w:t>
      </w:r>
      <w:r>
        <w:rPr/>
        <w:t>elaboração</w:t>
      </w:r>
      <w:r>
        <w:rPr>
          <w:spacing w:val="-3"/>
        </w:rPr>
        <w:t> </w:t>
      </w:r>
      <w:r>
        <w:rPr/>
        <w:t>do</w:t>
      </w:r>
      <w:r>
        <w:rPr>
          <w:spacing w:val="-4"/>
        </w:rPr>
        <w:t> </w:t>
      </w:r>
      <w:r>
        <w:rPr/>
        <w:t>projeto</w:t>
      </w:r>
      <w:r>
        <w:rPr>
          <w:spacing w:val="-3"/>
        </w:rPr>
        <w:t> </w:t>
      </w:r>
      <w:r>
        <w:rPr/>
        <w:t>executivo</w:t>
      </w:r>
      <w:r>
        <w:rPr>
          <w:spacing w:val="-3"/>
        </w:rPr>
        <w:t> </w:t>
      </w:r>
      <w:r>
        <w:rPr/>
        <w:t>dos</w:t>
      </w:r>
      <w:r>
        <w:rPr>
          <w:spacing w:val="-4"/>
        </w:rPr>
        <w:t> </w:t>
      </w:r>
      <w:r>
        <w:rPr/>
        <w:t>novos</w:t>
      </w:r>
      <w:r>
        <w:rPr>
          <w:spacing w:val="-4"/>
        </w:rPr>
        <w:t> </w:t>
      </w:r>
      <w:r>
        <w:rPr/>
        <w:t>blocos</w:t>
      </w:r>
      <w:r>
        <w:rPr>
          <w:spacing w:val="-4"/>
        </w:rPr>
        <w:t> </w:t>
      </w:r>
      <w:r>
        <w:rPr/>
        <w:t>do </w:t>
      </w:r>
      <w:r>
        <w:rPr>
          <w:spacing w:val="-2"/>
        </w:rPr>
        <w:t>HUGO.</w:t>
      </w:r>
    </w:p>
    <w:p>
      <w:pPr>
        <w:pStyle w:val="BodyText"/>
        <w:spacing w:before="1"/>
        <w:rPr>
          <w:sz w:val="20"/>
        </w:rPr>
      </w:pPr>
      <w:r>
        <w:rPr>
          <w:sz w:val="20"/>
        </w:rPr>
        <w:drawing>
          <wp:anchor distT="0" distB="0" distL="0" distR="0" allowOverlap="1" layoutInCell="1" locked="0" behindDoc="1" simplePos="0" relativeHeight="487592448">
            <wp:simplePos x="0" y="0"/>
            <wp:positionH relativeFrom="page">
              <wp:posOffset>1720850</wp:posOffset>
            </wp:positionH>
            <wp:positionV relativeFrom="paragraph">
              <wp:posOffset>162510</wp:posOffset>
            </wp:positionV>
            <wp:extent cx="4432450" cy="2495454"/>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31" cstate="print"/>
                    <a:stretch>
                      <a:fillRect/>
                    </a:stretch>
                  </pic:blipFill>
                  <pic:spPr>
                    <a:xfrm>
                      <a:off x="0" y="0"/>
                      <a:ext cx="4432450" cy="2495454"/>
                    </a:xfrm>
                    <a:prstGeom prst="rect">
                      <a:avLst/>
                    </a:prstGeom>
                  </pic:spPr>
                </pic:pic>
              </a:graphicData>
            </a:graphic>
          </wp:anchor>
        </w:drawing>
      </w:r>
    </w:p>
    <w:p>
      <w:pPr>
        <w:pStyle w:val="BodyText"/>
        <w:spacing w:after="0"/>
        <w:rPr>
          <w:sz w:val="20"/>
        </w:rPr>
        <w:sectPr>
          <w:pgSz w:w="11910" w:h="16840"/>
          <w:pgMar w:header="358" w:footer="560" w:top="1580" w:bottom="780" w:left="708" w:right="0"/>
        </w:sectPr>
      </w:pPr>
    </w:p>
    <w:p>
      <w:pPr>
        <w:pStyle w:val="BodyText"/>
      </w:pPr>
    </w:p>
    <w:p>
      <w:pPr>
        <w:pStyle w:val="BodyText"/>
      </w:pPr>
    </w:p>
    <w:p>
      <w:pPr>
        <w:pStyle w:val="BodyText"/>
      </w:pPr>
    </w:p>
    <w:p>
      <w:pPr>
        <w:pStyle w:val="BodyText"/>
        <w:spacing w:before="23"/>
      </w:pPr>
    </w:p>
    <w:p>
      <w:pPr>
        <w:pStyle w:val="ListParagraph"/>
        <w:numPr>
          <w:ilvl w:val="2"/>
          <w:numId w:val="2"/>
        </w:numPr>
        <w:tabs>
          <w:tab w:pos="1428" w:val="left" w:leader="none"/>
        </w:tabs>
        <w:spacing w:line="240" w:lineRule="auto" w:before="1" w:after="0"/>
        <w:ind w:left="1428" w:right="0" w:hanging="716"/>
        <w:jc w:val="left"/>
        <w:rPr>
          <w:b/>
          <w:sz w:val="24"/>
        </w:rPr>
      </w:pPr>
      <w:bookmarkStart w:name="6.2.2. Início das obras da UTI 5" w:id="42"/>
      <w:bookmarkEnd w:id="42"/>
      <w:r>
        <w:rPr>
          <w:rFonts w:ascii="Arial" w:hAnsi="Arial"/>
          <w:b/>
          <w:spacing w:val="1"/>
          <w:sz w:val="24"/>
        </w:rPr>
      </w:r>
      <w:r>
        <w:rPr>
          <w:b/>
          <w:sz w:val="24"/>
        </w:rPr>
        <w:t>Início</w:t>
      </w:r>
      <w:r>
        <w:rPr>
          <w:b/>
          <w:spacing w:val="-2"/>
          <w:sz w:val="24"/>
        </w:rPr>
        <w:t> </w:t>
      </w:r>
      <w:r>
        <w:rPr>
          <w:b/>
          <w:sz w:val="24"/>
        </w:rPr>
        <w:t>das</w:t>
      </w:r>
      <w:r>
        <w:rPr>
          <w:b/>
          <w:spacing w:val="-3"/>
          <w:sz w:val="24"/>
        </w:rPr>
        <w:t> </w:t>
      </w:r>
      <w:r>
        <w:rPr>
          <w:b/>
          <w:sz w:val="24"/>
        </w:rPr>
        <w:t>obras</w:t>
      </w:r>
      <w:r>
        <w:rPr>
          <w:b/>
          <w:spacing w:val="-2"/>
          <w:sz w:val="24"/>
        </w:rPr>
        <w:t> </w:t>
      </w:r>
      <w:r>
        <w:rPr>
          <w:b/>
          <w:sz w:val="24"/>
        </w:rPr>
        <w:t>da</w:t>
      </w:r>
      <w:r>
        <w:rPr>
          <w:b/>
          <w:spacing w:val="-3"/>
          <w:sz w:val="24"/>
        </w:rPr>
        <w:t> </w:t>
      </w:r>
      <w:r>
        <w:rPr>
          <w:b/>
          <w:sz w:val="24"/>
        </w:rPr>
        <w:t>UTI</w:t>
      </w:r>
      <w:r>
        <w:rPr>
          <w:b/>
          <w:spacing w:val="-2"/>
          <w:sz w:val="24"/>
        </w:rPr>
        <w:t> </w:t>
      </w:r>
      <w:r>
        <w:rPr>
          <w:b/>
          <w:spacing w:val="-10"/>
          <w:sz w:val="24"/>
        </w:rPr>
        <w:t>5</w:t>
      </w:r>
    </w:p>
    <w:p>
      <w:pPr>
        <w:pStyle w:val="BodyText"/>
        <w:spacing w:before="2"/>
        <w:rPr>
          <w:b/>
        </w:rPr>
      </w:pPr>
    </w:p>
    <w:p>
      <w:pPr>
        <w:pStyle w:val="BodyText"/>
        <w:ind w:left="593" w:right="855" w:firstLine="720"/>
      </w:pPr>
      <w:r>
        <w:rPr/>
        <w:t>As obras da UTI 5 foram iniciadas no dia 14/11. No momento, toda a fase de demolição encontra-se concluída, e a equipe já iniciou a fase de estruturação, contemplando a montagem do sistema</w:t>
      </w:r>
      <w:r>
        <w:rPr>
          <w:spacing w:val="-2"/>
        </w:rPr>
        <w:t> </w:t>
      </w:r>
      <w:r>
        <w:rPr/>
        <w:t>em</w:t>
      </w:r>
      <w:r>
        <w:rPr>
          <w:spacing w:val="-5"/>
        </w:rPr>
        <w:t> </w:t>
      </w:r>
      <w:r>
        <w:rPr/>
        <w:t>drywall,</w:t>
      </w:r>
      <w:r>
        <w:rPr>
          <w:spacing w:val="-4"/>
        </w:rPr>
        <w:t> </w:t>
      </w:r>
      <w:r>
        <w:rPr/>
        <w:t>execução</w:t>
      </w:r>
      <w:r>
        <w:rPr>
          <w:spacing w:val="-4"/>
        </w:rPr>
        <w:t> </w:t>
      </w:r>
      <w:r>
        <w:rPr/>
        <w:t>das</w:t>
      </w:r>
      <w:r>
        <w:rPr>
          <w:spacing w:val="-4"/>
        </w:rPr>
        <w:t> </w:t>
      </w:r>
      <w:r>
        <w:rPr/>
        <w:t>infraestruturas</w:t>
      </w:r>
      <w:r>
        <w:rPr>
          <w:spacing w:val="-3"/>
        </w:rPr>
        <w:t> </w:t>
      </w:r>
      <w:r>
        <w:rPr/>
        <w:t>elétrica</w:t>
      </w:r>
      <w:r>
        <w:rPr>
          <w:spacing w:val="-4"/>
        </w:rPr>
        <w:t> </w:t>
      </w:r>
      <w:r>
        <w:rPr/>
        <w:t>e</w:t>
      </w:r>
      <w:r>
        <w:rPr>
          <w:spacing w:val="-5"/>
        </w:rPr>
        <w:t> </w:t>
      </w:r>
      <w:r>
        <w:rPr/>
        <w:t>hidrossanitária</w:t>
      </w:r>
      <w:r>
        <w:rPr>
          <w:spacing w:val="-2"/>
        </w:rPr>
        <w:t> </w:t>
      </w:r>
      <w:r>
        <w:rPr/>
        <w:t>e</w:t>
      </w:r>
      <w:r>
        <w:rPr>
          <w:spacing w:val="-5"/>
        </w:rPr>
        <w:t> </w:t>
      </w:r>
      <w:r>
        <w:rPr/>
        <w:t>a</w:t>
      </w:r>
      <w:r>
        <w:rPr>
          <w:spacing w:val="-5"/>
        </w:rPr>
        <w:t> </w:t>
      </w:r>
      <w:r>
        <w:rPr/>
        <w:t>implantação</w:t>
      </w:r>
      <w:r>
        <w:rPr>
          <w:spacing w:val="-2"/>
        </w:rPr>
        <w:t> </w:t>
      </w:r>
      <w:r>
        <w:rPr/>
        <w:t>do</w:t>
      </w:r>
      <w:r>
        <w:rPr>
          <w:spacing w:val="-4"/>
        </w:rPr>
        <w:t> </w:t>
      </w:r>
      <w:r>
        <w:rPr/>
        <w:t>sistema de dutos de ar-condicionado.</w:t>
      </w:r>
    </w:p>
    <w:p>
      <w:pPr>
        <w:pStyle w:val="BodyText"/>
        <w:spacing w:before="26"/>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5386" w:hRule="atLeast"/>
        </w:trPr>
        <w:tc>
          <w:tcPr>
            <w:tcW w:w="8896" w:type="dxa"/>
          </w:tcPr>
          <w:p>
            <w:pPr>
              <w:pStyle w:val="TableParagraph"/>
              <w:ind w:left="2933"/>
              <w:jc w:val="left"/>
              <w:rPr>
                <w:sz w:val="20"/>
              </w:rPr>
            </w:pPr>
            <w:r>
              <w:rPr>
                <w:sz w:val="20"/>
              </w:rPr>
              <w:drawing>
                <wp:inline distT="0" distB="0" distL="0" distR="0">
                  <wp:extent cx="1922994" cy="3419855"/>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32" cstate="print"/>
                          <a:stretch>
                            <a:fillRect/>
                          </a:stretch>
                        </pic:blipFill>
                        <pic:spPr>
                          <a:xfrm>
                            <a:off x="0" y="0"/>
                            <a:ext cx="1922994" cy="3419855"/>
                          </a:xfrm>
                          <a:prstGeom prst="rect">
                            <a:avLst/>
                          </a:prstGeom>
                        </pic:spPr>
                      </pic:pic>
                    </a:graphicData>
                  </a:graphic>
                </wp:inline>
              </w:drawing>
            </w:r>
            <w:r>
              <w:rPr>
                <w:sz w:val="20"/>
              </w:rPr>
            </w:r>
          </w:p>
        </w:tc>
      </w:tr>
      <w:tr>
        <w:trPr>
          <w:trHeight w:val="280" w:hRule="atLeast"/>
        </w:trPr>
        <w:tc>
          <w:tcPr>
            <w:tcW w:w="8896" w:type="dxa"/>
          </w:tcPr>
          <w:p>
            <w:pPr>
              <w:pStyle w:val="TableParagraph"/>
              <w:spacing w:before="1"/>
              <w:ind w:left="26" w:right="3"/>
              <w:rPr>
                <w:rFonts w:ascii="Arial MT"/>
                <w:sz w:val="18"/>
              </w:rPr>
            </w:pPr>
            <w:r>
              <w:rPr>
                <w:rFonts w:ascii="Arial MT"/>
                <w:sz w:val="18"/>
              </w:rPr>
              <w:t>Figura</w:t>
            </w:r>
            <w:r>
              <w:rPr>
                <w:rFonts w:ascii="Arial MT"/>
                <w:spacing w:val="-4"/>
                <w:sz w:val="18"/>
              </w:rPr>
              <w:t> </w:t>
            </w:r>
            <w:r>
              <w:rPr>
                <w:rFonts w:ascii="Arial MT"/>
                <w:sz w:val="18"/>
              </w:rPr>
              <w:t>1</w:t>
            </w:r>
            <w:r>
              <w:rPr>
                <w:rFonts w:ascii="Arial MT"/>
                <w:spacing w:val="-4"/>
                <w:sz w:val="18"/>
              </w:rPr>
              <w:t> </w:t>
            </w:r>
            <w:r>
              <w:rPr>
                <w:rFonts w:ascii="Arial MT"/>
                <w:sz w:val="18"/>
              </w:rPr>
              <w:t>-Inicio</w:t>
            </w:r>
            <w:r>
              <w:rPr>
                <w:rFonts w:ascii="Arial MT"/>
                <w:spacing w:val="-3"/>
                <w:sz w:val="18"/>
              </w:rPr>
              <w:t> </w:t>
            </w:r>
            <w:r>
              <w:rPr>
                <w:rFonts w:ascii="Arial MT"/>
                <w:sz w:val="18"/>
              </w:rPr>
              <w:t>Obras</w:t>
            </w:r>
            <w:r>
              <w:rPr>
                <w:rFonts w:ascii="Arial MT"/>
                <w:spacing w:val="-4"/>
                <w:sz w:val="18"/>
              </w:rPr>
              <w:t> </w:t>
            </w:r>
            <w:r>
              <w:rPr>
                <w:rFonts w:ascii="Arial MT"/>
                <w:sz w:val="18"/>
              </w:rPr>
              <w:t>UTI</w:t>
            </w:r>
            <w:r>
              <w:rPr>
                <w:rFonts w:ascii="Arial MT"/>
                <w:spacing w:val="-3"/>
                <w:sz w:val="18"/>
              </w:rPr>
              <w:t> </w:t>
            </w:r>
            <w:r>
              <w:rPr>
                <w:rFonts w:ascii="Arial MT"/>
                <w:spacing w:val="-10"/>
                <w:sz w:val="18"/>
              </w:rPr>
              <w:t>5</w:t>
            </w:r>
          </w:p>
        </w:tc>
      </w:tr>
      <w:tr>
        <w:trPr>
          <w:trHeight w:val="5385" w:hRule="atLeast"/>
        </w:trPr>
        <w:tc>
          <w:tcPr>
            <w:tcW w:w="8896" w:type="dxa"/>
          </w:tcPr>
          <w:p>
            <w:pPr>
              <w:pStyle w:val="TableParagraph"/>
              <w:ind w:left="2933"/>
              <w:jc w:val="left"/>
              <w:rPr>
                <w:sz w:val="20"/>
              </w:rPr>
            </w:pPr>
            <w:r>
              <w:rPr>
                <w:sz w:val="20"/>
              </w:rPr>
              <w:drawing>
                <wp:inline distT="0" distB="0" distL="0" distR="0">
                  <wp:extent cx="1922994" cy="3419855"/>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33" cstate="print"/>
                          <a:stretch>
                            <a:fillRect/>
                          </a:stretch>
                        </pic:blipFill>
                        <pic:spPr>
                          <a:xfrm>
                            <a:off x="0" y="0"/>
                            <a:ext cx="1922994" cy="3419855"/>
                          </a:xfrm>
                          <a:prstGeom prst="rect">
                            <a:avLst/>
                          </a:prstGeom>
                        </pic:spPr>
                      </pic:pic>
                    </a:graphicData>
                  </a:graphic>
                </wp:inline>
              </w:drawing>
            </w:r>
            <w:r>
              <w:rPr>
                <w:sz w:val="20"/>
              </w:rPr>
            </w:r>
          </w:p>
        </w:tc>
      </w:tr>
    </w:tbl>
    <w:p>
      <w:pPr>
        <w:pStyle w:val="TableParagraph"/>
        <w:spacing w:after="0"/>
        <w:jc w:val="left"/>
        <w:rPr>
          <w:sz w:val="20"/>
        </w:rPr>
        <w:sectPr>
          <w:pgSz w:w="11910" w:h="16840"/>
          <w:pgMar w:header="358" w:footer="560" w:top="1580" w:bottom="780" w:left="708" w:right="0"/>
        </w:sectPr>
      </w:pPr>
    </w:p>
    <w:p>
      <w:pPr>
        <w:pStyle w:val="BodyText"/>
        <w:rPr>
          <w:sz w:val="20"/>
        </w:rPr>
      </w:pPr>
    </w:p>
    <w:p>
      <w:pPr>
        <w:pStyle w:val="BodyText"/>
        <w:rPr>
          <w:sz w:val="20"/>
        </w:rPr>
      </w:pPr>
    </w:p>
    <w:p>
      <w:pPr>
        <w:pStyle w:val="BodyText"/>
        <w:spacing w:before="161"/>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280" w:hRule="atLeast"/>
        </w:trPr>
        <w:tc>
          <w:tcPr>
            <w:tcW w:w="8896" w:type="dxa"/>
          </w:tcPr>
          <w:p>
            <w:pPr>
              <w:pStyle w:val="TableParagraph"/>
              <w:spacing w:before="1"/>
              <w:ind w:left="26" w:right="3"/>
              <w:rPr>
                <w:rFonts w:ascii="Arial MT" w:hAnsi="Arial MT"/>
                <w:sz w:val="18"/>
              </w:rPr>
            </w:pPr>
            <w:r>
              <w:rPr>
                <w:rFonts w:ascii="Arial MT" w:hAnsi="Arial MT"/>
                <w:sz w:val="18"/>
              </w:rPr>
              <w:t>Figura</w:t>
            </w:r>
            <w:r>
              <w:rPr>
                <w:rFonts w:ascii="Arial MT" w:hAnsi="Arial MT"/>
                <w:spacing w:val="-4"/>
                <w:sz w:val="18"/>
              </w:rPr>
              <w:t> </w:t>
            </w:r>
            <w:r>
              <w:rPr>
                <w:rFonts w:ascii="Arial MT" w:hAnsi="Arial MT"/>
                <w:sz w:val="18"/>
              </w:rPr>
              <w:t>02</w:t>
            </w:r>
            <w:r>
              <w:rPr>
                <w:rFonts w:ascii="Arial MT" w:hAnsi="Arial MT"/>
                <w:spacing w:val="-3"/>
                <w:sz w:val="18"/>
              </w:rPr>
              <w:t> </w:t>
            </w:r>
            <w:r>
              <w:rPr>
                <w:rFonts w:ascii="Arial MT" w:hAnsi="Arial MT"/>
                <w:sz w:val="18"/>
              </w:rPr>
              <w:t>–</w:t>
            </w:r>
            <w:r>
              <w:rPr>
                <w:rFonts w:ascii="Arial MT" w:hAnsi="Arial MT"/>
                <w:spacing w:val="-3"/>
                <w:sz w:val="18"/>
              </w:rPr>
              <w:t> </w:t>
            </w:r>
            <w:r>
              <w:rPr>
                <w:rFonts w:ascii="Arial MT" w:hAnsi="Arial MT"/>
                <w:sz w:val="18"/>
              </w:rPr>
              <w:t>Inicio</w:t>
            </w:r>
            <w:r>
              <w:rPr>
                <w:rFonts w:ascii="Arial MT" w:hAnsi="Arial MT"/>
                <w:spacing w:val="-3"/>
                <w:sz w:val="18"/>
              </w:rPr>
              <w:t> </w:t>
            </w:r>
            <w:r>
              <w:rPr>
                <w:rFonts w:ascii="Arial MT" w:hAnsi="Arial MT"/>
                <w:sz w:val="18"/>
              </w:rPr>
              <w:t>Obras</w:t>
            </w:r>
            <w:r>
              <w:rPr>
                <w:rFonts w:ascii="Arial MT" w:hAnsi="Arial MT"/>
                <w:spacing w:val="-1"/>
                <w:sz w:val="18"/>
              </w:rPr>
              <w:t> </w:t>
            </w:r>
            <w:r>
              <w:rPr>
                <w:rFonts w:ascii="Arial MT" w:hAnsi="Arial MT"/>
                <w:sz w:val="18"/>
              </w:rPr>
              <w:t>UTI</w:t>
            </w:r>
            <w:r>
              <w:rPr>
                <w:rFonts w:ascii="Arial MT" w:hAnsi="Arial MT"/>
                <w:spacing w:val="-3"/>
                <w:sz w:val="18"/>
              </w:rPr>
              <w:t> </w:t>
            </w:r>
            <w:r>
              <w:rPr>
                <w:rFonts w:ascii="Arial MT" w:hAnsi="Arial MT"/>
                <w:spacing w:val="-10"/>
                <w:sz w:val="18"/>
              </w:rPr>
              <w:t>5</w:t>
            </w:r>
          </w:p>
        </w:tc>
      </w:tr>
    </w:tbl>
    <w:p>
      <w:pPr>
        <w:spacing w:before="0"/>
        <w:ind w:left="593" w:right="0" w:firstLine="0"/>
        <w:jc w:val="left"/>
        <w:rPr>
          <w:b/>
          <w:sz w:val="24"/>
        </w:rPr>
      </w:pPr>
      <w:r>
        <w:rPr>
          <w:b/>
          <w:sz w:val="24"/>
        </w:rPr>
        <w:t>6.2.3</w:t>
      </w:r>
      <w:r>
        <w:rPr>
          <w:b/>
          <w:spacing w:val="-4"/>
          <w:sz w:val="24"/>
        </w:rPr>
        <w:t> </w:t>
      </w:r>
      <w:r>
        <w:rPr>
          <w:b/>
          <w:sz w:val="24"/>
        </w:rPr>
        <w:t>-</w:t>
      </w:r>
      <w:r>
        <w:rPr>
          <w:b/>
          <w:spacing w:val="-3"/>
          <w:sz w:val="24"/>
        </w:rPr>
        <w:t> </w:t>
      </w:r>
      <w:r>
        <w:rPr>
          <w:b/>
          <w:sz w:val="24"/>
        </w:rPr>
        <w:t>Inicio</w:t>
      </w:r>
      <w:r>
        <w:rPr>
          <w:b/>
          <w:spacing w:val="-2"/>
          <w:sz w:val="24"/>
        </w:rPr>
        <w:t> </w:t>
      </w:r>
      <w:r>
        <w:rPr>
          <w:b/>
          <w:sz w:val="24"/>
        </w:rPr>
        <w:t>Obras</w:t>
      </w:r>
      <w:r>
        <w:rPr>
          <w:b/>
          <w:spacing w:val="-3"/>
          <w:sz w:val="24"/>
        </w:rPr>
        <w:t> </w:t>
      </w:r>
      <w:r>
        <w:rPr>
          <w:b/>
          <w:sz w:val="24"/>
        </w:rPr>
        <w:t>Reforma</w:t>
      </w:r>
      <w:r>
        <w:rPr>
          <w:b/>
          <w:spacing w:val="-3"/>
          <w:sz w:val="24"/>
        </w:rPr>
        <w:t> </w:t>
      </w:r>
      <w:r>
        <w:rPr>
          <w:b/>
          <w:sz w:val="24"/>
        </w:rPr>
        <w:t>Sanitários</w:t>
      </w:r>
      <w:r>
        <w:rPr>
          <w:b/>
          <w:spacing w:val="-3"/>
          <w:sz w:val="24"/>
        </w:rPr>
        <w:t> </w:t>
      </w:r>
      <w:r>
        <w:rPr>
          <w:b/>
          <w:spacing w:val="-4"/>
          <w:sz w:val="24"/>
        </w:rPr>
        <w:t>Hugo</w:t>
      </w:r>
    </w:p>
    <w:p>
      <w:pPr>
        <w:pStyle w:val="BodyText"/>
        <w:ind w:left="593" w:firstLine="720"/>
      </w:pPr>
      <w:r>
        <w:rPr/>
        <w:t>As obras dos banheiros assistenciais estão em andamento, e 21 unidades já foram concluídas e entregues no último mês de novembro.</w:t>
      </w:r>
    </w:p>
    <w:p>
      <w:pPr>
        <w:pStyle w:val="BodyText"/>
        <w:spacing w:before="46"/>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3685" w:hRule="atLeast"/>
        </w:trPr>
        <w:tc>
          <w:tcPr>
            <w:tcW w:w="8896" w:type="dxa"/>
          </w:tcPr>
          <w:p>
            <w:pPr>
              <w:pStyle w:val="TableParagraph"/>
              <w:ind w:left="3064"/>
              <w:jc w:val="left"/>
              <w:rPr>
                <w:sz w:val="20"/>
              </w:rPr>
            </w:pPr>
            <w:r>
              <w:rPr>
                <w:sz w:val="20"/>
              </w:rPr>
              <w:drawing>
                <wp:inline distT="0" distB="0" distL="0" distR="0">
                  <wp:extent cx="1755253" cy="2337816"/>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34" cstate="print"/>
                          <a:stretch>
                            <a:fillRect/>
                          </a:stretch>
                        </pic:blipFill>
                        <pic:spPr>
                          <a:xfrm>
                            <a:off x="0" y="0"/>
                            <a:ext cx="1755253" cy="2337816"/>
                          </a:xfrm>
                          <a:prstGeom prst="rect">
                            <a:avLst/>
                          </a:prstGeom>
                        </pic:spPr>
                      </pic:pic>
                    </a:graphicData>
                  </a:graphic>
                </wp:inline>
              </w:drawing>
            </w:r>
            <w:r>
              <w:rPr>
                <w:sz w:val="20"/>
              </w:rPr>
            </w:r>
          </w:p>
        </w:tc>
      </w:tr>
      <w:tr>
        <w:trPr>
          <w:trHeight w:val="280" w:hRule="atLeast"/>
        </w:trPr>
        <w:tc>
          <w:tcPr>
            <w:tcW w:w="8896" w:type="dxa"/>
          </w:tcPr>
          <w:p>
            <w:pPr>
              <w:pStyle w:val="TableParagraph"/>
              <w:spacing w:line="206" w:lineRule="exact"/>
              <w:ind w:left="26"/>
              <w:rPr>
                <w:rFonts w:ascii="Arial MT"/>
                <w:sz w:val="18"/>
              </w:rPr>
            </w:pPr>
            <w:r>
              <w:rPr>
                <w:rFonts w:ascii="Arial MT"/>
                <w:sz w:val="18"/>
              </w:rPr>
              <w:t>Figura</w:t>
            </w:r>
            <w:r>
              <w:rPr>
                <w:rFonts w:ascii="Arial MT"/>
                <w:spacing w:val="-2"/>
                <w:sz w:val="18"/>
              </w:rPr>
              <w:t> </w:t>
            </w:r>
            <w:r>
              <w:rPr>
                <w:rFonts w:ascii="Arial MT"/>
                <w:sz w:val="18"/>
              </w:rPr>
              <w:t>1</w:t>
            </w:r>
            <w:r>
              <w:rPr>
                <w:rFonts w:ascii="Arial MT"/>
                <w:spacing w:val="-2"/>
                <w:sz w:val="18"/>
              </w:rPr>
              <w:t> </w:t>
            </w:r>
            <w:r>
              <w:rPr>
                <w:rFonts w:ascii="Arial MT"/>
                <w:sz w:val="18"/>
              </w:rPr>
              <w:t>-</w:t>
            </w:r>
            <w:r>
              <w:rPr>
                <w:rFonts w:ascii="Arial MT"/>
                <w:spacing w:val="-2"/>
                <w:sz w:val="18"/>
              </w:rPr>
              <w:t> </w:t>
            </w:r>
            <w:r>
              <w:rPr>
                <w:rFonts w:ascii="Arial MT"/>
                <w:sz w:val="18"/>
              </w:rPr>
              <w:t>Obras</w:t>
            </w:r>
            <w:r>
              <w:rPr>
                <w:rFonts w:ascii="Arial MT"/>
                <w:spacing w:val="-2"/>
                <w:sz w:val="18"/>
              </w:rPr>
              <w:t> </w:t>
            </w:r>
            <w:r>
              <w:rPr>
                <w:rFonts w:ascii="Arial MT"/>
                <w:sz w:val="18"/>
              </w:rPr>
              <w:t>Reformas </w:t>
            </w:r>
            <w:r>
              <w:rPr>
                <w:rFonts w:ascii="Arial MT"/>
                <w:spacing w:val="-2"/>
                <w:sz w:val="18"/>
              </w:rPr>
              <w:t>Banheiros</w:t>
            </w:r>
          </w:p>
        </w:tc>
      </w:tr>
      <w:tr>
        <w:trPr>
          <w:trHeight w:val="3756" w:hRule="atLeast"/>
        </w:trPr>
        <w:tc>
          <w:tcPr>
            <w:tcW w:w="8896" w:type="dxa"/>
          </w:tcPr>
          <w:p>
            <w:pPr>
              <w:pStyle w:val="TableParagraph"/>
              <w:ind w:left="3064"/>
              <w:jc w:val="left"/>
              <w:rPr>
                <w:sz w:val="20"/>
              </w:rPr>
            </w:pPr>
            <w:r>
              <w:rPr>
                <w:sz w:val="20"/>
              </w:rPr>
              <w:drawing>
                <wp:inline distT="0" distB="0" distL="0" distR="0">
                  <wp:extent cx="1755729" cy="2337816"/>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35" cstate="print"/>
                          <a:stretch>
                            <a:fillRect/>
                          </a:stretch>
                        </pic:blipFill>
                        <pic:spPr>
                          <a:xfrm>
                            <a:off x="0" y="0"/>
                            <a:ext cx="1755729" cy="2337816"/>
                          </a:xfrm>
                          <a:prstGeom prst="rect">
                            <a:avLst/>
                          </a:prstGeom>
                        </pic:spPr>
                      </pic:pic>
                    </a:graphicData>
                  </a:graphic>
                </wp:inline>
              </w:drawing>
            </w:r>
            <w:r>
              <w:rPr>
                <w:sz w:val="20"/>
              </w:rPr>
            </w:r>
          </w:p>
        </w:tc>
      </w:tr>
      <w:tr>
        <w:trPr>
          <w:trHeight w:val="208" w:hRule="atLeast"/>
        </w:trPr>
        <w:tc>
          <w:tcPr>
            <w:tcW w:w="8896" w:type="dxa"/>
          </w:tcPr>
          <w:p>
            <w:pPr>
              <w:pStyle w:val="TableParagraph"/>
              <w:spacing w:line="187" w:lineRule="exact" w:before="1"/>
              <w:ind w:left="26" w:right="2"/>
              <w:rPr>
                <w:rFonts w:ascii="Arial MT" w:hAnsi="Arial MT"/>
                <w:sz w:val="18"/>
              </w:rPr>
            </w:pPr>
            <w:r>
              <w:rPr>
                <w:rFonts w:ascii="Arial MT" w:hAnsi="Arial MT"/>
                <w:sz w:val="18"/>
              </w:rPr>
              <w:t>Figura</w:t>
            </w:r>
            <w:r>
              <w:rPr>
                <w:rFonts w:ascii="Arial MT" w:hAnsi="Arial MT"/>
                <w:spacing w:val="-4"/>
                <w:sz w:val="18"/>
              </w:rPr>
              <w:t> </w:t>
            </w:r>
            <w:r>
              <w:rPr>
                <w:rFonts w:ascii="Arial MT" w:hAnsi="Arial MT"/>
                <w:sz w:val="18"/>
              </w:rPr>
              <w:t>02</w:t>
            </w:r>
            <w:r>
              <w:rPr>
                <w:rFonts w:ascii="Arial MT" w:hAnsi="Arial MT"/>
                <w:spacing w:val="-3"/>
                <w:sz w:val="18"/>
              </w:rPr>
              <w:t> </w:t>
            </w:r>
            <w:r>
              <w:rPr>
                <w:rFonts w:ascii="Arial MT" w:hAnsi="Arial MT"/>
                <w:sz w:val="18"/>
              </w:rPr>
              <w:t>–</w:t>
            </w:r>
            <w:r>
              <w:rPr>
                <w:rFonts w:ascii="Arial MT" w:hAnsi="Arial MT"/>
                <w:spacing w:val="-4"/>
                <w:sz w:val="18"/>
              </w:rPr>
              <w:t> </w:t>
            </w:r>
            <w:r>
              <w:rPr>
                <w:rFonts w:ascii="Arial MT" w:hAnsi="Arial MT"/>
                <w:sz w:val="18"/>
              </w:rPr>
              <w:t>Obras</w:t>
            </w:r>
            <w:r>
              <w:rPr>
                <w:rFonts w:ascii="Arial MT" w:hAnsi="Arial MT"/>
                <w:spacing w:val="-3"/>
                <w:sz w:val="18"/>
              </w:rPr>
              <w:t> </w:t>
            </w:r>
            <w:r>
              <w:rPr>
                <w:rFonts w:ascii="Arial MT" w:hAnsi="Arial MT"/>
                <w:sz w:val="18"/>
              </w:rPr>
              <w:t>Reforma</w:t>
            </w:r>
            <w:r>
              <w:rPr>
                <w:rFonts w:ascii="Arial MT" w:hAnsi="Arial MT"/>
                <w:spacing w:val="-1"/>
                <w:sz w:val="18"/>
              </w:rPr>
              <w:t> </w:t>
            </w:r>
            <w:r>
              <w:rPr>
                <w:rFonts w:ascii="Arial MT" w:hAnsi="Arial MT"/>
                <w:spacing w:val="-2"/>
                <w:sz w:val="18"/>
              </w:rPr>
              <w:t>Banheiros</w:t>
            </w:r>
          </w:p>
        </w:tc>
      </w:tr>
    </w:tbl>
    <w:p>
      <w:pPr>
        <w:pStyle w:val="BodyText"/>
        <w:spacing w:before="47"/>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3628" w:hRule="atLeast"/>
        </w:trPr>
        <w:tc>
          <w:tcPr>
            <w:tcW w:w="8896" w:type="dxa"/>
          </w:tcPr>
          <w:p>
            <w:pPr>
              <w:pStyle w:val="TableParagraph"/>
              <w:ind w:left="1598"/>
              <w:jc w:val="left"/>
              <w:rPr>
                <w:sz w:val="20"/>
              </w:rPr>
            </w:pPr>
            <w:r>
              <w:rPr>
                <w:sz w:val="20"/>
              </w:rPr>
              <w:drawing>
                <wp:inline distT="0" distB="0" distL="0" distR="0">
                  <wp:extent cx="3601715" cy="229200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36" cstate="print"/>
                          <a:stretch>
                            <a:fillRect/>
                          </a:stretch>
                        </pic:blipFill>
                        <pic:spPr>
                          <a:xfrm>
                            <a:off x="0" y="0"/>
                            <a:ext cx="3601715" cy="2292000"/>
                          </a:xfrm>
                          <a:prstGeom prst="rect">
                            <a:avLst/>
                          </a:prstGeom>
                        </pic:spPr>
                      </pic:pic>
                    </a:graphicData>
                  </a:graphic>
                </wp:inline>
              </w:drawing>
            </w:r>
            <w:r>
              <w:rPr>
                <w:sz w:val="20"/>
              </w:rPr>
            </w:r>
          </w:p>
        </w:tc>
      </w:tr>
    </w:tbl>
    <w:p>
      <w:pPr>
        <w:pStyle w:val="TableParagraph"/>
        <w:spacing w:after="0"/>
        <w:jc w:val="left"/>
        <w:rPr>
          <w:sz w:val="20"/>
        </w:rPr>
        <w:sectPr>
          <w:pgSz w:w="11910" w:h="16840"/>
          <w:pgMar w:header="358" w:footer="560" w:top="1580" w:bottom="780" w:left="708" w:right="0"/>
        </w:sectPr>
      </w:pPr>
    </w:p>
    <w:p>
      <w:pPr>
        <w:pStyle w:val="BodyText"/>
        <w:rPr>
          <w:sz w:val="20"/>
        </w:rPr>
      </w:pPr>
    </w:p>
    <w:p>
      <w:pPr>
        <w:pStyle w:val="BodyText"/>
        <w:rPr>
          <w:sz w:val="20"/>
        </w:rPr>
      </w:pPr>
    </w:p>
    <w:p>
      <w:pPr>
        <w:pStyle w:val="BodyText"/>
        <w:spacing w:before="161"/>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280" w:hRule="atLeast"/>
        </w:trPr>
        <w:tc>
          <w:tcPr>
            <w:tcW w:w="8896" w:type="dxa"/>
          </w:tcPr>
          <w:p>
            <w:pPr>
              <w:pStyle w:val="TableParagraph"/>
              <w:spacing w:before="1"/>
              <w:ind w:left="26" w:right="5"/>
              <w:rPr>
                <w:rFonts w:ascii="Arial MT" w:hAnsi="Arial MT"/>
                <w:sz w:val="18"/>
              </w:rPr>
            </w:pPr>
            <w:r>
              <w:rPr>
                <w:rFonts w:ascii="Arial MT" w:hAnsi="Arial MT"/>
                <w:sz w:val="18"/>
              </w:rPr>
              <w:t>Figura</w:t>
            </w:r>
            <w:r>
              <w:rPr>
                <w:rFonts w:ascii="Arial MT" w:hAnsi="Arial MT"/>
                <w:spacing w:val="-4"/>
                <w:sz w:val="18"/>
              </w:rPr>
              <w:t> </w:t>
            </w:r>
            <w:r>
              <w:rPr>
                <w:rFonts w:ascii="Arial MT" w:hAnsi="Arial MT"/>
                <w:sz w:val="18"/>
              </w:rPr>
              <w:t>01</w:t>
            </w:r>
            <w:r>
              <w:rPr>
                <w:rFonts w:ascii="Arial MT" w:hAnsi="Arial MT"/>
                <w:spacing w:val="-4"/>
                <w:sz w:val="18"/>
              </w:rPr>
              <w:t> </w:t>
            </w:r>
            <w:r>
              <w:rPr>
                <w:rFonts w:ascii="Arial MT" w:hAnsi="Arial MT"/>
                <w:sz w:val="18"/>
              </w:rPr>
              <w:t>–</w:t>
            </w:r>
            <w:r>
              <w:rPr>
                <w:rFonts w:ascii="Arial MT" w:hAnsi="Arial MT"/>
                <w:spacing w:val="-3"/>
                <w:sz w:val="18"/>
              </w:rPr>
              <w:t> </w:t>
            </w:r>
            <w:r>
              <w:rPr>
                <w:rFonts w:ascii="Arial MT" w:hAnsi="Arial MT"/>
                <w:sz w:val="18"/>
              </w:rPr>
              <w:t>Reforma</w:t>
            </w:r>
            <w:r>
              <w:rPr>
                <w:rFonts w:ascii="Arial MT" w:hAnsi="Arial MT"/>
                <w:spacing w:val="-2"/>
                <w:sz w:val="18"/>
              </w:rPr>
              <w:t> </w:t>
            </w:r>
            <w:r>
              <w:rPr>
                <w:rFonts w:ascii="Arial MT" w:hAnsi="Arial MT"/>
                <w:sz w:val="18"/>
              </w:rPr>
              <w:t>do</w:t>
            </w:r>
            <w:r>
              <w:rPr>
                <w:rFonts w:ascii="Arial MT" w:hAnsi="Arial MT"/>
                <w:spacing w:val="-3"/>
                <w:sz w:val="18"/>
              </w:rPr>
              <w:t> </w:t>
            </w:r>
            <w:r>
              <w:rPr>
                <w:rFonts w:ascii="Arial MT" w:hAnsi="Arial MT"/>
                <w:spacing w:val="-2"/>
                <w:sz w:val="18"/>
              </w:rPr>
              <w:t>Telhado</w:t>
            </w:r>
          </w:p>
        </w:tc>
      </w:tr>
      <w:tr>
        <w:trPr>
          <w:trHeight w:val="3130" w:hRule="atLeast"/>
        </w:trPr>
        <w:tc>
          <w:tcPr>
            <w:tcW w:w="8896" w:type="dxa"/>
          </w:tcPr>
          <w:p>
            <w:pPr>
              <w:pStyle w:val="TableParagraph"/>
              <w:ind w:left="1666"/>
              <w:jc w:val="left"/>
              <w:rPr>
                <w:sz w:val="20"/>
              </w:rPr>
            </w:pPr>
            <w:r>
              <w:rPr>
                <w:sz w:val="20"/>
              </w:rPr>
              <w:drawing>
                <wp:inline distT="0" distB="0" distL="0" distR="0">
                  <wp:extent cx="3534934" cy="1987296"/>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37" cstate="print"/>
                          <a:stretch>
                            <a:fillRect/>
                          </a:stretch>
                        </pic:blipFill>
                        <pic:spPr>
                          <a:xfrm>
                            <a:off x="0" y="0"/>
                            <a:ext cx="3534934" cy="1987296"/>
                          </a:xfrm>
                          <a:prstGeom prst="rect">
                            <a:avLst/>
                          </a:prstGeom>
                        </pic:spPr>
                      </pic:pic>
                    </a:graphicData>
                  </a:graphic>
                </wp:inline>
              </w:drawing>
            </w:r>
            <w:r>
              <w:rPr>
                <w:sz w:val="20"/>
              </w:rPr>
            </w:r>
          </w:p>
        </w:tc>
      </w:tr>
      <w:tr>
        <w:trPr>
          <w:trHeight w:val="280" w:hRule="atLeast"/>
        </w:trPr>
        <w:tc>
          <w:tcPr>
            <w:tcW w:w="8896" w:type="dxa"/>
          </w:tcPr>
          <w:p>
            <w:pPr>
              <w:pStyle w:val="TableParagraph"/>
              <w:spacing w:line="206" w:lineRule="exact"/>
              <w:ind w:left="26" w:right="5"/>
              <w:rPr>
                <w:rFonts w:ascii="Arial MT" w:hAnsi="Arial MT"/>
                <w:sz w:val="18"/>
              </w:rPr>
            </w:pPr>
            <w:r>
              <w:rPr>
                <w:rFonts w:ascii="Arial MT" w:hAnsi="Arial MT"/>
                <w:sz w:val="18"/>
              </w:rPr>
              <w:t>Figura</w:t>
            </w:r>
            <w:r>
              <w:rPr>
                <w:rFonts w:ascii="Arial MT" w:hAnsi="Arial MT"/>
                <w:spacing w:val="-4"/>
                <w:sz w:val="18"/>
              </w:rPr>
              <w:t> </w:t>
            </w:r>
            <w:r>
              <w:rPr>
                <w:rFonts w:ascii="Arial MT" w:hAnsi="Arial MT"/>
                <w:sz w:val="18"/>
              </w:rPr>
              <w:t>02</w:t>
            </w:r>
            <w:r>
              <w:rPr>
                <w:rFonts w:ascii="Arial MT" w:hAnsi="Arial MT"/>
                <w:spacing w:val="-4"/>
                <w:sz w:val="18"/>
              </w:rPr>
              <w:t> </w:t>
            </w:r>
            <w:r>
              <w:rPr>
                <w:rFonts w:ascii="Arial MT" w:hAnsi="Arial MT"/>
                <w:sz w:val="18"/>
              </w:rPr>
              <w:t>–</w:t>
            </w:r>
            <w:r>
              <w:rPr>
                <w:rFonts w:ascii="Arial MT" w:hAnsi="Arial MT"/>
                <w:spacing w:val="-3"/>
                <w:sz w:val="18"/>
              </w:rPr>
              <w:t> </w:t>
            </w:r>
            <w:r>
              <w:rPr>
                <w:rFonts w:ascii="Arial MT" w:hAnsi="Arial MT"/>
                <w:sz w:val="18"/>
              </w:rPr>
              <w:t>Reforma</w:t>
            </w:r>
            <w:r>
              <w:rPr>
                <w:rFonts w:ascii="Arial MT" w:hAnsi="Arial MT"/>
                <w:spacing w:val="-2"/>
                <w:sz w:val="18"/>
              </w:rPr>
              <w:t> </w:t>
            </w:r>
            <w:r>
              <w:rPr>
                <w:rFonts w:ascii="Arial MT" w:hAnsi="Arial MT"/>
                <w:sz w:val="18"/>
              </w:rPr>
              <w:t>do</w:t>
            </w:r>
            <w:r>
              <w:rPr>
                <w:rFonts w:ascii="Arial MT" w:hAnsi="Arial MT"/>
                <w:spacing w:val="-3"/>
                <w:sz w:val="18"/>
              </w:rPr>
              <w:t> </w:t>
            </w:r>
            <w:r>
              <w:rPr>
                <w:rFonts w:ascii="Arial MT" w:hAnsi="Arial MT"/>
                <w:spacing w:val="-2"/>
                <w:sz w:val="18"/>
              </w:rPr>
              <w:t>Telhado</w:t>
            </w:r>
          </w:p>
        </w:tc>
      </w:tr>
      <w:tr>
        <w:trPr>
          <w:trHeight w:val="3120" w:hRule="atLeast"/>
        </w:trPr>
        <w:tc>
          <w:tcPr>
            <w:tcW w:w="8896" w:type="dxa"/>
          </w:tcPr>
          <w:p>
            <w:pPr>
              <w:pStyle w:val="TableParagraph"/>
              <w:ind w:left="3570"/>
              <w:jc w:val="left"/>
              <w:rPr>
                <w:sz w:val="20"/>
              </w:rPr>
            </w:pPr>
            <w:r>
              <w:rPr>
                <w:sz w:val="20"/>
              </w:rPr>
              <w:drawing>
                <wp:inline distT="0" distB="0" distL="0" distR="0">
                  <wp:extent cx="1114147" cy="198120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38" cstate="print"/>
                          <a:stretch>
                            <a:fillRect/>
                          </a:stretch>
                        </pic:blipFill>
                        <pic:spPr>
                          <a:xfrm>
                            <a:off x="0" y="0"/>
                            <a:ext cx="1114147" cy="1981200"/>
                          </a:xfrm>
                          <a:prstGeom prst="rect">
                            <a:avLst/>
                          </a:prstGeom>
                        </pic:spPr>
                      </pic:pic>
                    </a:graphicData>
                  </a:graphic>
                </wp:inline>
              </w:drawing>
            </w:r>
            <w:r>
              <w:rPr>
                <w:sz w:val="20"/>
              </w:rPr>
            </w:r>
          </w:p>
        </w:tc>
      </w:tr>
      <w:tr>
        <w:trPr>
          <w:trHeight w:val="280" w:hRule="atLeast"/>
        </w:trPr>
        <w:tc>
          <w:tcPr>
            <w:tcW w:w="8896" w:type="dxa"/>
          </w:tcPr>
          <w:p>
            <w:pPr>
              <w:pStyle w:val="TableParagraph"/>
              <w:spacing w:before="1"/>
              <w:ind w:left="26" w:right="5"/>
              <w:rPr>
                <w:rFonts w:ascii="Arial MT"/>
                <w:sz w:val="18"/>
              </w:rPr>
            </w:pPr>
            <w:r>
              <w:rPr>
                <w:rFonts w:ascii="Arial MT"/>
                <w:sz w:val="18"/>
              </w:rPr>
              <w:t>Figura</w:t>
            </w:r>
            <w:r>
              <w:rPr>
                <w:rFonts w:ascii="Arial MT"/>
                <w:spacing w:val="-4"/>
                <w:sz w:val="18"/>
              </w:rPr>
              <w:t> </w:t>
            </w:r>
            <w:r>
              <w:rPr>
                <w:rFonts w:ascii="Arial MT"/>
                <w:sz w:val="18"/>
              </w:rPr>
              <w:t>03</w:t>
            </w:r>
            <w:r>
              <w:rPr>
                <w:rFonts w:ascii="Arial MT"/>
                <w:spacing w:val="-4"/>
                <w:sz w:val="18"/>
              </w:rPr>
              <w:t> </w:t>
            </w:r>
            <w:r>
              <w:rPr>
                <w:rFonts w:ascii="Arial MT"/>
                <w:sz w:val="18"/>
              </w:rPr>
              <w:t>-</w:t>
            </w:r>
            <w:r>
              <w:rPr>
                <w:rFonts w:ascii="Arial MT"/>
                <w:spacing w:val="-3"/>
                <w:sz w:val="18"/>
              </w:rPr>
              <w:t> </w:t>
            </w:r>
            <w:r>
              <w:rPr>
                <w:rFonts w:ascii="Arial MT"/>
                <w:sz w:val="18"/>
              </w:rPr>
              <w:t>Reforma</w:t>
            </w:r>
            <w:r>
              <w:rPr>
                <w:rFonts w:ascii="Arial MT"/>
                <w:spacing w:val="-4"/>
                <w:sz w:val="18"/>
              </w:rPr>
              <w:t> </w:t>
            </w:r>
            <w:r>
              <w:rPr>
                <w:rFonts w:ascii="Arial MT"/>
                <w:sz w:val="18"/>
              </w:rPr>
              <w:t>do</w:t>
            </w:r>
            <w:r>
              <w:rPr>
                <w:rFonts w:ascii="Arial MT"/>
                <w:spacing w:val="-1"/>
                <w:sz w:val="18"/>
              </w:rPr>
              <w:t> </w:t>
            </w:r>
            <w:r>
              <w:rPr>
                <w:rFonts w:ascii="Arial MT"/>
                <w:spacing w:val="-2"/>
                <w:sz w:val="18"/>
              </w:rPr>
              <w:t>Telhado</w:t>
            </w:r>
          </w:p>
        </w:tc>
      </w:tr>
    </w:tbl>
    <w:p>
      <w:pPr>
        <w:pStyle w:val="BodyText"/>
        <w:spacing w:before="275"/>
      </w:pPr>
    </w:p>
    <w:p>
      <w:pPr>
        <w:spacing w:before="1"/>
        <w:ind w:left="593" w:right="0" w:firstLine="0"/>
        <w:jc w:val="both"/>
        <w:rPr>
          <w:b/>
          <w:sz w:val="24"/>
        </w:rPr>
      </w:pPr>
      <w:r>
        <w:rPr>
          <w:b/>
          <w:sz w:val="24"/>
        </w:rPr>
        <w:t>6.2.4</w:t>
      </w:r>
      <w:r>
        <w:rPr>
          <w:b/>
          <w:spacing w:val="-4"/>
          <w:sz w:val="24"/>
        </w:rPr>
        <w:t> </w:t>
      </w:r>
      <w:r>
        <w:rPr>
          <w:b/>
          <w:sz w:val="24"/>
        </w:rPr>
        <w:t>-</w:t>
      </w:r>
      <w:r>
        <w:rPr>
          <w:b/>
          <w:spacing w:val="-4"/>
          <w:sz w:val="24"/>
        </w:rPr>
        <w:t> </w:t>
      </w:r>
      <w:r>
        <w:rPr>
          <w:b/>
          <w:sz w:val="24"/>
        </w:rPr>
        <w:t>Ofícios</w:t>
      </w:r>
      <w:r>
        <w:rPr>
          <w:b/>
          <w:spacing w:val="-3"/>
          <w:sz w:val="24"/>
        </w:rPr>
        <w:t> </w:t>
      </w:r>
      <w:r>
        <w:rPr>
          <w:b/>
          <w:sz w:val="24"/>
        </w:rPr>
        <w:t>Protocolados-</w:t>
      </w:r>
      <w:r>
        <w:rPr>
          <w:b/>
          <w:spacing w:val="-3"/>
          <w:sz w:val="24"/>
        </w:rPr>
        <w:t> </w:t>
      </w:r>
      <w:r>
        <w:rPr>
          <w:b/>
          <w:spacing w:val="-2"/>
          <w:sz w:val="24"/>
        </w:rPr>
        <w:t>Obras</w:t>
      </w:r>
    </w:p>
    <w:p>
      <w:pPr>
        <w:pStyle w:val="BodyText"/>
        <w:ind w:left="593" w:right="750" w:firstLine="828"/>
        <w:jc w:val="both"/>
      </w:pPr>
      <w:r>
        <w:rPr/>
        <w:t>No mês de novembro, foram protocolados quatro Ofícios a título de investimento, todos voltados às necessidades estruturais e operacionais da unidade. Cada submissão contemplou a documentação técnica exigida, incluindo estudos, justificativas e projetos necessários para subsidiar a análise das intervenções propostas. As solicitações têm como objetivo viabilizar melhorias físicas, tecnológicas e funcionais, assegurando a continuidade dos serviços assistenciais, a conformidade regulatória e a adequação da infraestrutura hospitalar às demandas atuais da unidade.</w:t>
      </w:r>
    </w:p>
    <w:p>
      <w:pPr>
        <w:pStyle w:val="BodyText"/>
        <w:ind w:left="592"/>
        <w:rPr>
          <w:sz w:val="20"/>
        </w:rPr>
      </w:pPr>
      <w:r>
        <w:rPr>
          <w:sz w:val="20"/>
        </w:rPr>
        <w:drawing>
          <wp:inline distT="0" distB="0" distL="0" distR="0">
            <wp:extent cx="6450445" cy="1037272"/>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39" cstate="print"/>
                    <a:stretch>
                      <a:fillRect/>
                    </a:stretch>
                  </pic:blipFill>
                  <pic:spPr>
                    <a:xfrm>
                      <a:off x="0" y="0"/>
                      <a:ext cx="6450445" cy="1037272"/>
                    </a:xfrm>
                    <a:prstGeom prst="rect">
                      <a:avLst/>
                    </a:prstGeom>
                  </pic:spPr>
                </pic:pic>
              </a:graphicData>
            </a:graphic>
          </wp:inline>
        </w:drawing>
      </w:r>
      <w:r>
        <w:rPr>
          <w:sz w:val="20"/>
        </w:rPr>
      </w:r>
    </w:p>
    <w:p>
      <w:pPr>
        <w:pStyle w:val="ListParagraph"/>
        <w:numPr>
          <w:ilvl w:val="1"/>
          <w:numId w:val="2"/>
        </w:numPr>
        <w:tabs>
          <w:tab w:pos="1311" w:val="left" w:leader="none"/>
        </w:tabs>
        <w:spacing w:line="240" w:lineRule="auto" w:before="253" w:after="0"/>
        <w:ind w:left="1311" w:right="0" w:hanging="718"/>
        <w:jc w:val="both"/>
        <w:rPr>
          <w:b/>
          <w:sz w:val="24"/>
        </w:rPr>
      </w:pPr>
      <w:bookmarkStart w:name="6.3. Manutenção Predial" w:id="43"/>
      <w:bookmarkEnd w:id="43"/>
      <w:r>
        <w:rPr>
          <w:rFonts w:ascii="Arial" w:hAnsi="Arial"/>
          <w:b/>
          <w:spacing w:val="-14"/>
          <w:sz w:val="24"/>
        </w:rPr>
      </w:r>
      <w:r>
        <w:rPr>
          <w:b/>
          <w:sz w:val="24"/>
        </w:rPr>
        <w:t>Manutenção</w:t>
      </w:r>
      <w:r>
        <w:rPr>
          <w:b/>
          <w:spacing w:val="-5"/>
          <w:sz w:val="24"/>
        </w:rPr>
        <w:t> </w:t>
      </w:r>
      <w:r>
        <w:rPr>
          <w:b/>
          <w:spacing w:val="-2"/>
          <w:sz w:val="24"/>
        </w:rPr>
        <w:t>Predial</w:t>
      </w:r>
    </w:p>
    <w:p>
      <w:pPr>
        <w:pStyle w:val="ListParagraph"/>
        <w:numPr>
          <w:ilvl w:val="2"/>
          <w:numId w:val="2"/>
        </w:numPr>
        <w:tabs>
          <w:tab w:pos="1428" w:val="left" w:leader="none"/>
        </w:tabs>
        <w:spacing w:line="240" w:lineRule="auto" w:before="1" w:after="0"/>
        <w:ind w:left="1428" w:right="0" w:hanging="716"/>
        <w:jc w:val="both"/>
        <w:rPr>
          <w:b/>
          <w:sz w:val="24"/>
        </w:rPr>
      </w:pPr>
      <w:bookmarkStart w:name="6.3.1. Manutenção Predial" w:id="44"/>
      <w:bookmarkEnd w:id="44"/>
      <w:r>
        <w:rPr>
          <w:rFonts w:ascii="Arial" w:hAnsi="Arial"/>
          <w:b/>
          <w:spacing w:val="1"/>
          <w:sz w:val="24"/>
        </w:rPr>
      </w:r>
      <w:r>
        <w:rPr>
          <w:b/>
          <w:sz w:val="24"/>
        </w:rPr>
        <w:t>Manutenção</w:t>
      </w:r>
      <w:r>
        <w:rPr>
          <w:b/>
          <w:spacing w:val="-5"/>
          <w:sz w:val="24"/>
        </w:rPr>
        <w:t> </w:t>
      </w:r>
      <w:r>
        <w:rPr>
          <w:b/>
          <w:spacing w:val="-2"/>
          <w:sz w:val="24"/>
        </w:rPr>
        <w:t>Predial</w:t>
      </w:r>
    </w:p>
    <w:p>
      <w:pPr>
        <w:pStyle w:val="BodyText"/>
        <w:spacing w:before="240"/>
        <w:ind w:left="593" w:right="750" w:firstLine="720"/>
        <w:jc w:val="both"/>
      </w:pPr>
      <w:r>
        <w:rPr/>
        <w:t>No mês de novembro de 2025, a equipe de manutenção concentrou seus esforços em ações estruturantes e de melhoria dos ambientes internos da unidade, com foco na ampliação da capacidade assistencial e na qualificação dos espaços de apoio.</w:t>
      </w:r>
    </w:p>
    <w:p>
      <w:pPr>
        <w:pStyle w:val="BodyText"/>
        <w:spacing w:after="0"/>
        <w:jc w:val="both"/>
        <w:sectPr>
          <w:pgSz w:w="11910" w:h="16840"/>
          <w:pgMar w:header="358" w:footer="560" w:top="1580" w:bottom="780" w:left="708" w:right="0"/>
        </w:sectPr>
      </w:pPr>
    </w:p>
    <w:p>
      <w:pPr>
        <w:pStyle w:val="BodyText"/>
      </w:pPr>
    </w:p>
    <w:p>
      <w:pPr>
        <w:pStyle w:val="BodyText"/>
      </w:pPr>
    </w:p>
    <w:p>
      <w:pPr>
        <w:pStyle w:val="BodyText"/>
        <w:spacing w:before="23"/>
      </w:pPr>
    </w:p>
    <w:p>
      <w:pPr>
        <w:pStyle w:val="BodyText"/>
        <w:ind w:left="593" w:right="746" w:firstLine="720"/>
        <w:jc w:val="both"/>
      </w:pPr>
      <w:r>
        <w:rPr/>
        <w:t>Foi realizada a criação de uma nova sala de triagem destinada ao aumento da demanda da Semana Protegida, proporcionando melhores condições de fluxo, organização e acolhimento dos usuários. Acompanhamento das reformas do novo espaço da biblioteca e da rouparia, promovendo ambientes mais funcionais, seguros e adequados às necessidades operacionais.</w:t>
      </w:r>
    </w:p>
    <w:p>
      <w:pPr>
        <w:pStyle w:val="BodyText"/>
        <w:spacing w:before="240"/>
        <w:ind w:left="593" w:right="746" w:firstLine="720"/>
        <w:jc w:val="both"/>
      </w:pPr>
      <w:r>
        <w:rPr/>
        <w:t>No âmbito assistencial, avançou-se com a reforma do ambulatório 09, assegurando melhorias físicas</w:t>
      </w:r>
      <w:r>
        <w:rPr>
          <w:spacing w:val="-5"/>
        </w:rPr>
        <w:t> </w:t>
      </w:r>
      <w:r>
        <w:rPr/>
        <w:t>capazes</w:t>
      </w:r>
      <w:r>
        <w:rPr>
          <w:spacing w:val="-3"/>
        </w:rPr>
        <w:t> </w:t>
      </w:r>
      <w:r>
        <w:rPr/>
        <w:t>de</w:t>
      </w:r>
      <w:r>
        <w:rPr>
          <w:spacing w:val="-6"/>
        </w:rPr>
        <w:t> </w:t>
      </w:r>
      <w:r>
        <w:rPr/>
        <w:t>contribuir</w:t>
      </w:r>
      <w:r>
        <w:rPr>
          <w:spacing w:val="-2"/>
        </w:rPr>
        <w:t> </w:t>
      </w:r>
      <w:r>
        <w:rPr/>
        <w:t>para</w:t>
      </w:r>
      <w:r>
        <w:rPr>
          <w:spacing w:val="-6"/>
        </w:rPr>
        <w:t> </w:t>
      </w:r>
      <w:r>
        <w:rPr/>
        <w:t>um</w:t>
      </w:r>
      <w:r>
        <w:rPr>
          <w:spacing w:val="-4"/>
        </w:rPr>
        <w:t> </w:t>
      </w:r>
      <w:r>
        <w:rPr/>
        <w:t>atendimento</w:t>
      </w:r>
      <w:r>
        <w:rPr>
          <w:spacing w:val="-2"/>
        </w:rPr>
        <w:t> </w:t>
      </w:r>
      <w:r>
        <w:rPr/>
        <w:t>mais</w:t>
      </w:r>
      <w:r>
        <w:rPr>
          <w:spacing w:val="-5"/>
        </w:rPr>
        <w:t> </w:t>
      </w:r>
      <w:r>
        <w:rPr/>
        <w:t>eficiente</w:t>
      </w:r>
      <w:r>
        <w:rPr>
          <w:spacing w:val="-4"/>
        </w:rPr>
        <w:t> </w:t>
      </w:r>
      <w:r>
        <w:rPr/>
        <w:t>e</w:t>
      </w:r>
      <w:r>
        <w:rPr>
          <w:spacing w:val="-6"/>
        </w:rPr>
        <w:t> </w:t>
      </w:r>
      <w:r>
        <w:rPr/>
        <w:t>confortável.</w:t>
      </w:r>
      <w:r>
        <w:rPr>
          <w:spacing w:val="-2"/>
        </w:rPr>
        <w:t> </w:t>
      </w:r>
      <w:r>
        <w:rPr/>
        <w:t>Adicionalmente,</w:t>
      </w:r>
      <w:r>
        <w:rPr>
          <w:spacing w:val="-4"/>
        </w:rPr>
        <w:t> </w:t>
      </w:r>
      <w:r>
        <w:rPr/>
        <w:t>foram executados reparos na tubulação hidráulica do MDA, bem como a construção de um novo teto no mesmo setor, garantindo maior integridade estrutural e eliminando riscos associados a infiltrações e </w:t>
      </w:r>
      <w:r>
        <w:rPr>
          <w:spacing w:val="-2"/>
        </w:rPr>
        <w:t>deteriorações.</w:t>
      </w:r>
    </w:p>
    <w:p>
      <w:pPr>
        <w:pStyle w:val="BodyText"/>
        <w:spacing w:before="240"/>
        <w:ind w:left="593" w:right="750" w:firstLine="720"/>
        <w:jc w:val="both"/>
      </w:pPr>
      <w:r>
        <w:rPr/>
        <w:t>Destaca-se ainda a entrega da primeira etapa da reforma do refeitório, proporcionando melhores condições de uso aos colaboradores e reforçando o compromisso da instituição com ambientes adequados para o convívio e a alimentação.</w:t>
      </w:r>
    </w:p>
    <w:p>
      <w:pPr>
        <w:pStyle w:val="BodyText"/>
        <w:spacing w:before="240"/>
        <w:ind w:left="593" w:right="753" w:firstLine="720"/>
        <w:jc w:val="both"/>
      </w:pPr>
      <w:r>
        <w:rPr/>
        <w:t>Essas ações reforçam o compromisso contínuo da equipe de manutenção com a conservação preventiva, a segurança patrimonial e a melhoria contínua da infraestrutura hospitalar, assegurando ambientes adequados ao desenvolvimento das atividades assistenciais e administrativas.</w:t>
      </w:r>
    </w:p>
    <w:p>
      <w:pPr>
        <w:pStyle w:val="BodyText"/>
        <w:spacing w:before="10"/>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896"/>
      </w:tblGrid>
      <w:tr>
        <w:trPr>
          <w:trHeight w:val="3970" w:hRule="atLeast"/>
        </w:trPr>
        <w:tc>
          <w:tcPr>
            <w:tcW w:w="8896" w:type="dxa"/>
          </w:tcPr>
          <w:p>
            <w:pPr>
              <w:pStyle w:val="TableParagraph"/>
              <w:ind w:left="2992"/>
              <w:jc w:val="left"/>
              <w:rPr>
                <w:sz w:val="20"/>
              </w:rPr>
            </w:pPr>
            <w:r>
              <w:rPr>
                <w:sz w:val="20"/>
              </w:rPr>
              <w:drawing>
                <wp:inline distT="0" distB="0" distL="0" distR="0">
                  <wp:extent cx="1819852" cy="2479833"/>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40" cstate="print"/>
                          <a:stretch>
                            <a:fillRect/>
                          </a:stretch>
                        </pic:blipFill>
                        <pic:spPr>
                          <a:xfrm>
                            <a:off x="0" y="0"/>
                            <a:ext cx="1819852" cy="2479833"/>
                          </a:xfrm>
                          <a:prstGeom prst="rect">
                            <a:avLst/>
                          </a:prstGeom>
                        </pic:spPr>
                      </pic:pic>
                    </a:graphicData>
                  </a:graphic>
                </wp:inline>
              </w:drawing>
            </w:r>
            <w:r>
              <w:rPr>
                <w:sz w:val="20"/>
              </w:rPr>
            </w:r>
          </w:p>
        </w:tc>
      </w:tr>
      <w:tr>
        <w:trPr>
          <w:trHeight w:val="280" w:hRule="atLeast"/>
        </w:trPr>
        <w:tc>
          <w:tcPr>
            <w:tcW w:w="8896" w:type="dxa"/>
          </w:tcPr>
          <w:p>
            <w:pPr>
              <w:pStyle w:val="TableParagraph"/>
              <w:spacing w:line="206" w:lineRule="exact"/>
              <w:ind w:left="26" w:right="5"/>
              <w:rPr>
                <w:rFonts w:ascii="Arial MT" w:hAnsi="Arial MT"/>
                <w:sz w:val="18"/>
              </w:rPr>
            </w:pPr>
            <w:r>
              <w:rPr>
                <w:rFonts w:ascii="Arial MT" w:hAnsi="Arial MT"/>
                <w:sz w:val="18"/>
              </w:rPr>
              <w:t>Criação</w:t>
            </w:r>
            <w:r>
              <w:rPr>
                <w:rFonts w:ascii="Arial MT" w:hAnsi="Arial MT"/>
                <w:spacing w:val="-4"/>
                <w:sz w:val="18"/>
              </w:rPr>
              <w:t> </w:t>
            </w:r>
            <w:r>
              <w:rPr>
                <w:rFonts w:ascii="Arial MT" w:hAnsi="Arial MT"/>
                <w:sz w:val="18"/>
              </w:rPr>
              <w:t>nova</w:t>
            </w:r>
            <w:r>
              <w:rPr>
                <w:rFonts w:ascii="Arial MT" w:hAnsi="Arial MT"/>
                <w:spacing w:val="-3"/>
                <w:sz w:val="18"/>
              </w:rPr>
              <w:t> </w:t>
            </w:r>
            <w:r>
              <w:rPr>
                <w:rFonts w:ascii="Arial MT" w:hAnsi="Arial MT"/>
                <w:sz w:val="18"/>
              </w:rPr>
              <w:t>sala</w:t>
            </w:r>
            <w:r>
              <w:rPr>
                <w:rFonts w:ascii="Arial MT" w:hAnsi="Arial MT"/>
                <w:spacing w:val="-3"/>
                <w:sz w:val="18"/>
              </w:rPr>
              <w:t> </w:t>
            </w:r>
            <w:r>
              <w:rPr>
                <w:rFonts w:ascii="Arial MT" w:hAnsi="Arial MT"/>
                <w:sz w:val="18"/>
              </w:rPr>
              <w:t>de</w:t>
            </w:r>
            <w:r>
              <w:rPr>
                <w:rFonts w:ascii="Arial MT" w:hAnsi="Arial MT"/>
                <w:spacing w:val="-1"/>
                <w:sz w:val="18"/>
              </w:rPr>
              <w:t> </w:t>
            </w:r>
            <w:r>
              <w:rPr>
                <w:rFonts w:ascii="Arial MT" w:hAnsi="Arial MT"/>
                <w:sz w:val="18"/>
              </w:rPr>
              <w:t>triagem</w:t>
            </w:r>
            <w:r>
              <w:rPr>
                <w:rFonts w:ascii="Arial MT" w:hAnsi="Arial MT"/>
                <w:spacing w:val="-3"/>
                <w:sz w:val="18"/>
              </w:rPr>
              <w:t> </w:t>
            </w:r>
            <w:r>
              <w:rPr>
                <w:rFonts w:ascii="Arial MT" w:hAnsi="Arial MT"/>
                <w:sz w:val="18"/>
              </w:rPr>
              <w:t>–</w:t>
            </w:r>
            <w:r>
              <w:rPr>
                <w:rFonts w:ascii="Arial MT" w:hAnsi="Arial MT"/>
                <w:spacing w:val="-3"/>
                <w:sz w:val="18"/>
              </w:rPr>
              <w:t> </w:t>
            </w:r>
            <w:r>
              <w:rPr>
                <w:rFonts w:ascii="Arial MT" w:hAnsi="Arial MT"/>
                <w:spacing w:val="-5"/>
                <w:sz w:val="18"/>
              </w:rPr>
              <w:t>01</w:t>
            </w:r>
          </w:p>
        </w:tc>
      </w:tr>
      <w:tr>
        <w:trPr>
          <w:trHeight w:val="3968" w:hRule="atLeast"/>
        </w:trPr>
        <w:tc>
          <w:tcPr>
            <w:tcW w:w="8896" w:type="dxa"/>
          </w:tcPr>
          <w:p>
            <w:pPr>
              <w:pStyle w:val="TableParagraph"/>
              <w:ind w:left="2960"/>
              <w:jc w:val="left"/>
              <w:rPr>
                <w:sz w:val="20"/>
              </w:rPr>
            </w:pPr>
            <w:r>
              <w:rPr>
                <w:sz w:val="20"/>
              </w:rPr>
              <w:drawing>
                <wp:inline distT="0" distB="0" distL="0" distR="0">
                  <wp:extent cx="1880444" cy="2508313"/>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41" cstate="print"/>
                          <a:stretch>
                            <a:fillRect/>
                          </a:stretch>
                        </pic:blipFill>
                        <pic:spPr>
                          <a:xfrm>
                            <a:off x="0" y="0"/>
                            <a:ext cx="1880444" cy="2508313"/>
                          </a:xfrm>
                          <a:prstGeom prst="rect">
                            <a:avLst/>
                          </a:prstGeom>
                        </pic:spPr>
                      </pic:pic>
                    </a:graphicData>
                  </a:graphic>
                </wp:inline>
              </w:drawing>
            </w:r>
            <w:r>
              <w:rPr>
                <w:sz w:val="20"/>
              </w:rPr>
            </w:r>
          </w:p>
        </w:tc>
      </w:tr>
    </w:tbl>
    <w:p>
      <w:pPr>
        <w:pStyle w:val="TableParagraph"/>
        <w:spacing w:after="0"/>
        <w:jc w:val="left"/>
        <w:rPr>
          <w:sz w:val="20"/>
        </w:rPr>
        <w:sectPr>
          <w:pgSz w:w="11910" w:h="16840"/>
          <w:pgMar w:header="358" w:footer="560" w:top="1580" w:bottom="780" w:left="708" w:right="0"/>
        </w:sectPr>
      </w:pPr>
    </w:p>
    <w:p>
      <w:pPr>
        <w:pStyle w:val="BodyText"/>
        <w:rPr>
          <w:sz w:val="20"/>
        </w:rPr>
      </w:pPr>
    </w:p>
    <w:p>
      <w:pPr>
        <w:pStyle w:val="BodyText"/>
        <w:rPr>
          <w:sz w:val="20"/>
        </w:rPr>
      </w:pPr>
    </w:p>
    <w:p>
      <w:pPr>
        <w:pStyle w:val="BodyText"/>
        <w:spacing w:before="151"/>
        <w:rPr>
          <w:sz w:val="20"/>
        </w:rPr>
      </w:pPr>
    </w:p>
    <w:p>
      <w:pPr>
        <w:pStyle w:val="BodyText"/>
        <w:ind w:left="592"/>
        <w:rPr>
          <w:sz w:val="20"/>
        </w:rPr>
      </w:pPr>
      <w:r>
        <w:rPr>
          <w:sz w:val="20"/>
        </w:rPr>
        <mc:AlternateContent>
          <mc:Choice Requires="wps">
            <w:drawing>
              <wp:inline distT="0" distB="0" distL="0" distR="0">
                <wp:extent cx="5661660" cy="5637530"/>
                <wp:effectExtent l="0" t="0" r="0" b="10795"/>
                <wp:docPr id="40" name="Group 40"/>
                <wp:cNvGraphicFramePr>
                  <a:graphicFrameLocks/>
                </wp:cNvGraphicFramePr>
                <a:graphic>
                  <a:graphicData uri="http://schemas.microsoft.com/office/word/2010/wordprocessingGroup">
                    <wpg:wgp>
                      <wpg:cNvPr id="40" name="Group 40"/>
                      <wpg:cNvGrpSpPr/>
                      <wpg:grpSpPr>
                        <a:xfrm>
                          <a:off x="0" y="0"/>
                          <a:ext cx="5661660" cy="5637530"/>
                          <a:chExt cx="5661660" cy="5637530"/>
                        </a:xfrm>
                      </wpg:grpSpPr>
                      <wps:wsp>
                        <wps:cNvPr id="41" name="Graphic 41"/>
                        <wps:cNvSpPr/>
                        <wps:spPr>
                          <a:xfrm>
                            <a:off x="6350" y="0"/>
                            <a:ext cx="5590540" cy="5637530"/>
                          </a:xfrm>
                          <a:custGeom>
                            <a:avLst/>
                            <a:gdLst/>
                            <a:ahLst/>
                            <a:cxnLst/>
                            <a:rect l="l" t="t" r="r" b="b"/>
                            <a:pathLst>
                              <a:path w="5590540" h="5637530">
                                <a:moveTo>
                                  <a:pt x="6350" y="2921000"/>
                                </a:moveTo>
                                <a:lnTo>
                                  <a:pt x="5590540" y="2921000"/>
                                </a:lnTo>
                              </a:path>
                              <a:path w="5590540" h="5637530">
                                <a:moveTo>
                                  <a:pt x="0" y="0"/>
                                </a:moveTo>
                                <a:lnTo>
                                  <a:pt x="0" y="5637530"/>
                                </a:lnTo>
                              </a:path>
                              <a:path w="5590540" h="5637530">
                                <a:moveTo>
                                  <a:pt x="5584190" y="190500"/>
                                </a:moveTo>
                                <a:lnTo>
                                  <a:pt x="5584190" y="5624830"/>
                                </a:lnTo>
                              </a:path>
                            </a:pathLst>
                          </a:custGeom>
                          <a:ln w="12700">
                            <a:solidFill>
                              <a:srgbClr val="000000"/>
                            </a:solidFill>
                            <a:prstDash val="solid"/>
                          </a:ln>
                        </wps:spPr>
                        <wps:bodyPr wrap="square" lIns="0" tIns="0" rIns="0" bIns="0" rtlCol="0">
                          <a:prstTxWarp prst="textNoShape">
                            <a:avLst/>
                          </a:prstTxWarp>
                          <a:noAutofit/>
                        </wps:bodyPr>
                      </wps:wsp>
                      <pic:pic>
                        <pic:nvPicPr>
                          <pic:cNvPr id="42" name="Image 42"/>
                          <pic:cNvPicPr/>
                        </pic:nvPicPr>
                        <pic:blipFill>
                          <a:blip r:embed="rId42" cstate="print"/>
                          <a:stretch>
                            <a:fillRect/>
                          </a:stretch>
                        </pic:blipFill>
                        <pic:spPr>
                          <a:xfrm>
                            <a:off x="1854200" y="203200"/>
                            <a:ext cx="1888489" cy="2519680"/>
                          </a:xfrm>
                          <a:prstGeom prst="rect">
                            <a:avLst/>
                          </a:prstGeom>
                        </pic:spPr>
                      </pic:pic>
                      <pic:pic>
                        <pic:nvPicPr>
                          <pic:cNvPr id="43" name="Image 43"/>
                          <pic:cNvPicPr/>
                        </pic:nvPicPr>
                        <pic:blipFill>
                          <a:blip r:embed="rId43" cstate="print"/>
                          <a:stretch>
                            <a:fillRect/>
                          </a:stretch>
                        </pic:blipFill>
                        <pic:spPr>
                          <a:xfrm>
                            <a:off x="1375410" y="2927350"/>
                            <a:ext cx="2846057" cy="2519045"/>
                          </a:xfrm>
                          <a:prstGeom prst="rect">
                            <a:avLst/>
                          </a:prstGeom>
                        </pic:spPr>
                      </pic:pic>
                      <wps:wsp>
                        <wps:cNvPr id="44" name="Textbox 44"/>
                        <wps:cNvSpPr txBox="1"/>
                        <wps:spPr>
                          <a:xfrm>
                            <a:off x="6350" y="5466079"/>
                            <a:ext cx="5584190" cy="165100"/>
                          </a:xfrm>
                          <a:prstGeom prst="rect">
                            <a:avLst/>
                          </a:prstGeom>
                          <a:ln w="12700">
                            <a:solidFill>
                              <a:srgbClr val="000000"/>
                            </a:solidFill>
                            <a:prstDash val="solid"/>
                          </a:ln>
                        </wps:spPr>
                        <wps:txbx>
                          <w:txbxContent>
                            <w:p>
                              <w:pPr>
                                <w:spacing w:before="1"/>
                                <w:ind w:left="25" w:right="22" w:firstLine="0"/>
                                <w:jc w:val="center"/>
                                <w:rPr>
                                  <w:rFonts w:ascii="Arial MT" w:hAnsi="Arial MT"/>
                                  <w:sz w:val="18"/>
                                </w:rPr>
                              </w:pPr>
                              <w:r>
                                <w:rPr>
                                  <w:rFonts w:ascii="Arial MT" w:hAnsi="Arial MT"/>
                                  <w:sz w:val="18"/>
                                </w:rPr>
                                <w:t>Figura</w:t>
                              </w:r>
                              <w:r>
                                <w:rPr>
                                  <w:rFonts w:ascii="Arial MT" w:hAnsi="Arial MT"/>
                                  <w:spacing w:val="-7"/>
                                  <w:sz w:val="18"/>
                                </w:rPr>
                                <w:t> </w:t>
                              </w:r>
                              <w:r>
                                <w:rPr>
                                  <w:rFonts w:ascii="Arial MT" w:hAnsi="Arial MT"/>
                                  <w:sz w:val="18"/>
                                </w:rPr>
                                <w:t>04</w:t>
                              </w:r>
                              <w:r>
                                <w:rPr>
                                  <w:rFonts w:ascii="Arial MT" w:hAnsi="Arial MT"/>
                                  <w:spacing w:val="-5"/>
                                  <w:sz w:val="18"/>
                                </w:rPr>
                                <w:t> </w:t>
                              </w:r>
                              <w:r>
                                <w:rPr>
                                  <w:rFonts w:ascii="Arial MT" w:hAnsi="Arial MT"/>
                                  <w:sz w:val="18"/>
                                </w:rPr>
                                <w:t>–</w:t>
                              </w:r>
                              <w:r>
                                <w:rPr>
                                  <w:rFonts w:ascii="Arial MT" w:hAnsi="Arial MT"/>
                                  <w:spacing w:val="-5"/>
                                  <w:sz w:val="18"/>
                                </w:rPr>
                                <w:t> </w:t>
                              </w:r>
                              <w:r>
                                <w:rPr>
                                  <w:rFonts w:ascii="Arial MT" w:hAnsi="Arial MT"/>
                                  <w:sz w:val="18"/>
                                </w:rPr>
                                <w:t>Reparo</w:t>
                              </w:r>
                              <w:r>
                                <w:rPr>
                                  <w:rFonts w:ascii="Arial MT" w:hAnsi="Arial MT"/>
                                  <w:spacing w:val="-3"/>
                                  <w:sz w:val="18"/>
                                </w:rPr>
                                <w:t> </w:t>
                              </w:r>
                              <w:r>
                                <w:rPr>
                                  <w:rFonts w:ascii="Arial MT" w:hAnsi="Arial MT"/>
                                  <w:sz w:val="18"/>
                                </w:rPr>
                                <w:t>rompimento</w:t>
                              </w:r>
                              <w:r>
                                <w:rPr>
                                  <w:rFonts w:ascii="Arial MT" w:hAnsi="Arial MT"/>
                                  <w:spacing w:val="-5"/>
                                  <w:sz w:val="18"/>
                                </w:rPr>
                                <w:t> </w:t>
                              </w:r>
                              <w:r>
                                <w:rPr>
                                  <w:rFonts w:ascii="Arial MT" w:hAnsi="Arial MT"/>
                                  <w:sz w:val="18"/>
                                </w:rPr>
                                <w:t>de</w:t>
                              </w:r>
                              <w:r>
                                <w:rPr>
                                  <w:rFonts w:ascii="Arial MT" w:hAnsi="Arial MT"/>
                                  <w:spacing w:val="-5"/>
                                  <w:sz w:val="18"/>
                                </w:rPr>
                                <w:t> </w:t>
                              </w:r>
                              <w:r>
                                <w:rPr>
                                  <w:rFonts w:ascii="Arial MT" w:hAnsi="Arial MT"/>
                                  <w:sz w:val="18"/>
                                </w:rPr>
                                <w:t>tubulação</w:t>
                              </w:r>
                              <w:r>
                                <w:rPr>
                                  <w:rFonts w:ascii="Arial MT" w:hAnsi="Arial MT"/>
                                  <w:spacing w:val="-4"/>
                                  <w:sz w:val="18"/>
                                </w:rPr>
                                <w:t> </w:t>
                              </w:r>
                              <w:r>
                                <w:rPr>
                                  <w:rFonts w:ascii="Arial MT" w:hAnsi="Arial MT"/>
                                  <w:sz w:val="18"/>
                                </w:rPr>
                                <w:t>teto</w:t>
                              </w:r>
                              <w:r>
                                <w:rPr>
                                  <w:rFonts w:ascii="Arial MT" w:hAnsi="Arial MT"/>
                                  <w:spacing w:val="-4"/>
                                  <w:sz w:val="18"/>
                                </w:rPr>
                                <w:t> </w:t>
                              </w:r>
                              <w:r>
                                <w:rPr>
                                  <w:rFonts w:ascii="Arial MT" w:hAnsi="Arial MT"/>
                                  <w:spacing w:val="-5"/>
                                  <w:sz w:val="18"/>
                                </w:rPr>
                                <w:t>MDA</w:t>
                              </w:r>
                            </w:p>
                          </w:txbxContent>
                        </wps:txbx>
                        <wps:bodyPr wrap="square" lIns="0" tIns="0" rIns="0" bIns="0" rtlCol="0">
                          <a:noAutofit/>
                        </wps:bodyPr>
                      </wps:wsp>
                      <wps:wsp>
                        <wps:cNvPr id="45" name="Textbox 45"/>
                        <wps:cNvSpPr txBox="1"/>
                        <wps:spPr>
                          <a:xfrm>
                            <a:off x="6350" y="2730500"/>
                            <a:ext cx="5584190" cy="190500"/>
                          </a:xfrm>
                          <a:prstGeom prst="rect">
                            <a:avLst/>
                          </a:prstGeom>
                          <a:ln w="12700">
                            <a:solidFill>
                              <a:srgbClr val="000000"/>
                            </a:solidFill>
                            <a:prstDash val="solid"/>
                          </a:ln>
                        </wps:spPr>
                        <wps:txbx>
                          <w:txbxContent>
                            <w:p>
                              <w:pPr>
                                <w:spacing w:line="206" w:lineRule="exact" w:before="0"/>
                                <w:ind w:left="25" w:right="24" w:firstLine="0"/>
                                <w:jc w:val="center"/>
                                <w:rPr>
                                  <w:rFonts w:ascii="Arial MT" w:hAnsi="Arial MT"/>
                                  <w:sz w:val="18"/>
                                </w:rPr>
                              </w:pPr>
                              <w:r>
                                <w:rPr>
                                  <w:rFonts w:ascii="Arial MT" w:hAnsi="Arial MT"/>
                                  <w:sz w:val="18"/>
                                </w:rPr>
                                <w:t>Figura</w:t>
                              </w:r>
                              <w:r>
                                <w:rPr>
                                  <w:rFonts w:ascii="Arial MT" w:hAnsi="Arial MT"/>
                                  <w:spacing w:val="-6"/>
                                  <w:sz w:val="18"/>
                                </w:rPr>
                                <w:t> </w:t>
                              </w:r>
                              <w:r>
                                <w:rPr>
                                  <w:rFonts w:ascii="Arial MT" w:hAnsi="Arial MT"/>
                                  <w:sz w:val="18"/>
                                </w:rPr>
                                <w:t>03</w:t>
                              </w:r>
                              <w:r>
                                <w:rPr>
                                  <w:rFonts w:ascii="Arial MT" w:hAnsi="Arial MT"/>
                                  <w:spacing w:val="-5"/>
                                  <w:sz w:val="18"/>
                                </w:rPr>
                                <w:t> </w:t>
                              </w:r>
                              <w:r>
                                <w:rPr>
                                  <w:rFonts w:ascii="Arial MT" w:hAnsi="Arial MT"/>
                                  <w:sz w:val="18"/>
                                </w:rPr>
                                <w:t>–</w:t>
                              </w:r>
                              <w:r>
                                <w:rPr>
                                  <w:rFonts w:ascii="Arial MT" w:hAnsi="Arial MT"/>
                                  <w:spacing w:val="-6"/>
                                  <w:sz w:val="18"/>
                                </w:rPr>
                                <w:t> </w:t>
                              </w:r>
                              <w:r>
                                <w:rPr>
                                  <w:rFonts w:ascii="Arial MT" w:hAnsi="Arial MT"/>
                                  <w:sz w:val="18"/>
                                </w:rPr>
                                <w:t>Reforma</w:t>
                              </w:r>
                              <w:r>
                                <w:rPr>
                                  <w:rFonts w:ascii="Arial MT" w:hAnsi="Arial MT"/>
                                  <w:spacing w:val="-3"/>
                                  <w:sz w:val="18"/>
                                </w:rPr>
                                <w:t> </w:t>
                              </w:r>
                              <w:r>
                                <w:rPr>
                                  <w:rFonts w:ascii="Arial MT" w:hAnsi="Arial MT"/>
                                  <w:sz w:val="18"/>
                                </w:rPr>
                                <w:t>ambulatório</w:t>
                              </w:r>
                              <w:r>
                                <w:rPr>
                                  <w:rFonts w:ascii="Arial MT" w:hAnsi="Arial MT"/>
                                  <w:spacing w:val="-5"/>
                                  <w:sz w:val="18"/>
                                </w:rPr>
                                <w:t> 09</w:t>
                              </w:r>
                            </w:p>
                          </w:txbxContent>
                        </wps:txbx>
                        <wps:bodyPr wrap="square" lIns="0" tIns="0" rIns="0" bIns="0" rtlCol="0">
                          <a:noAutofit/>
                        </wps:bodyPr>
                      </wps:wsp>
                      <wps:wsp>
                        <wps:cNvPr id="46" name="Textbox 46"/>
                        <wps:cNvSpPr txBox="1"/>
                        <wps:spPr>
                          <a:xfrm>
                            <a:off x="6350" y="6350"/>
                            <a:ext cx="5648960" cy="190500"/>
                          </a:xfrm>
                          <a:prstGeom prst="rect">
                            <a:avLst/>
                          </a:prstGeom>
                          <a:ln w="12700">
                            <a:solidFill>
                              <a:srgbClr val="000000"/>
                            </a:solidFill>
                            <a:prstDash val="solid"/>
                          </a:ln>
                        </wps:spPr>
                        <wps:txbx>
                          <w:txbxContent>
                            <w:p>
                              <w:pPr>
                                <w:spacing w:before="1"/>
                                <w:ind w:left="26" w:right="26" w:firstLine="0"/>
                                <w:jc w:val="center"/>
                                <w:rPr>
                                  <w:rFonts w:ascii="Arial MT" w:hAnsi="Arial MT"/>
                                  <w:sz w:val="18"/>
                                </w:rPr>
                              </w:pPr>
                              <w:r>
                                <w:rPr>
                                  <w:rFonts w:ascii="Arial MT" w:hAnsi="Arial MT"/>
                                  <w:sz w:val="18"/>
                                </w:rPr>
                                <w:t>Figura</w:t>
                              </w:r>
                              <w:r>
                                <w:rPr>
                                  <w:rFonts w:ascii="Arial MT" w:hAnsi="Arial MT"/>
                                  <w:spacing w:val="-6"/>
                                  <w:sz w:val="18"/>
                                </w:rPr>
                                <w:t> </w:t>
                              </w:r>
                              <w:r>
                                <w:rPr>
                                  <w:rFonts w:ascii="Arial MT" w:hAnsi="Arial MT"/>
                                  <w:sz w:val="18"/>
                                </w:rPr>
                                <w:t>02</w:t>
                              </w:r>
                              <w:r>
                                <w:rPr>
                                  <w:rFonts w:ascii="Arial MT" w:hAnsi="Arial MT"/>
                                  <w:spacing w:val="-5"/>
                                  <w:sz w:val="18"/>
                                </w:rPr>
                                <w:t> </w:t>
                              </w:r>
                              <w:r>
                                <w:rPr>
                                  <w:rFonts w:ascii="Arial MT" w:hAnsi="Arial MT"/>
                                  <w:sz w:val="18"/>
                                </w:rPr>
                                <w:t>–</w:t>
                              </w:r>
                              <w:r>
                                <w:rPr>
                                  <w:rFonts w:ascii="Arial MT" w:hAnsi="Arial MT"/>
                                  <w:spacing w:val="-6"/>
                                  <w:sz w:val="18"/>
                                </w:rPr>
                                <w:t> </w:t>
                              </w:r>
                              <w:r>
                                <w:rPr>
                                  <w:rFonts w:ascii="Arial MT" w:hAnsi="Arial MT"/>
                                  <w:sz w:val="18"/>
                                </w:rPr>
                                <w:t>Acompanhamento</w:t>
                              </w:r>
                              <w:r>
                                <w:rPr>
                                  <w:rFonts w:ascii="Arial MT" w:hAnsi="Arial MT"/>
                                  <w:spacing w:val="-3"/>
                                  <w:sz w:val="18"/>
                                </w:rPr>
                                <w:t> </w:t>
                              </w:r>
                              <w:r>
                                <w:rPr>
                                  <w:rFonts w:ascii="Arial MT" w:hAnsi="Arial MT"/>
                                  <w:sz w:val="18"/>
                                </w:rPr>
                                <w:t>obra</w:t>
                              </w:r>
                              <w:r>
                                <w:rPr>
                                  <w:rFonts w:ascii="Arial MT" w:hAnsi="Arial MT"/>
                                  <w:spacing w:val="-5"/>
                                  <w:sz w:val="18"/>
                                </w:rPr>
                                <w:t> </w:t>
                              </w:r>
                              <w:r>
                                <w:rPr>
                                  <w:rFonts w:ascii="Arial MT" w:hAnsi="Arial MT"/>
                                  <w:spacing w:val="-2"/>
                                  <w:sz w:val="18"/>
                                </w:rPr>
                                <w:t>biblioteca/rouparia</w:t>
                              </w:r>
                            </w:p>
                          </w:txbxContent>
                        </wps:txbx>
                        <wps:bodyPr wrap="square" lIns="0" tIns="0" rIns="0" bIns="0" rtlCol="0">
                          <a:noAutofit/>
                        </wps:bodyPr>
                      </wps:wsp>
                    </wpg:wgp>
                  </a:graphicData>
                </a:graphic>
              </wp:inline>
            </w:drawing>
          </mc:Choice>
          <mc:Fallback>
            <w:pict>
              <v:group style="width:445.8pt;height:443.9pt;mso-position-horizontal-relative:char;mso-position-vertical-relative:line" id="docshapegroup9" coordorigin="0,0" coordsize="8916,8878">
                <v:shape style="position:absolute;left:10;top:0;width:8804;height:8878" id="docshape10" coordorigin="10,0" coordsize="8804,8878" path="m20,4600l8814,4600m10,0l10,8878m8804,300l8804,8858e" filled="false" stroked="true" strokeweight="1pt" strokecolor="#000000">
                  <v:path arrowok="t"/>
                  <v:stroke dashstyle="solid"/>
                </v:shape>
                <v:shape style="position:absolute;left:2920;top:320;width:2974;height:3968" type="#_x0000_t75" id="docshape11" stroked="false">
                  <v:imagedata r:id="rId42" o:title=""/>
                </v:shape>
                <v:shape style="position:absolute;left:2166;top:4610;width:4482;height:3967" type="#_x0000_t75" id="docshape12" stroked="false">
                  <v:imagedata r:id="rId43" o:title=""/>
                </v:shape>
                <v:shape style="position:absolute;left:10;top:8608;width:8794;height:260" type="#_x0000_t202" id="docshape13" filled="false" stroked="true" strokeweight="1pt" strokecolor="#000000">
                  <v:textbox inset="0,0,0,0">
                    <w:txbxContent>
                      <w:p>
                        <w:pPr>
                          <w:spacing w:before="1"/>
                          <w:ind w:left="25" w:right="22" w:firstLine="0"/>
                          <w:jc w:val="center"/>
                          <w:rPr>
                            <w:rFonts w:ascii="Arial MT" w:hAnsi="Arial MT"/>
                            <w:sz w:val="18"/>
                          </w:rPr>
                        </w:pPr>
                        <w:r>
                          <w:rPr>
                            <w:rFonts w:ascii="Arial MT" w:hAnsi="Arial MT"/>
                            <w:sz w:val="18"/>
                          </w:rPr>
                          <w:t>Figura</w:t>
                        </w:r>
                        <w:r>
                          <w:rPr>
                            <w:rFonts w:ascii="Arial MT" w:hAnsi="Arial MT"/>
                            <w:spacing w:val="-7"/>
                            <w:sz w:val="18"/>
                          </w:rPr>
                          <w:t> </w:t>
                        </w:r>
                        <w:r>
                          <w:rPr>
                            <w:rFonts w:ascii="Arial MT" w:hAnsi="Arial MT"/>
                            <w:sz w:val="18"/>
                          </w:rPr>
                          <w:t>04</w:t>
                        </w:r>
                        <w:r>
                          <w:rPr>
                            <w:rFonts w:ascii="Arial MT" w:hAnsi="Arial MT"/>
                            <w:spacing w:val="-5"/>
                            <w:sz w:val="18"/>
                          </w:rPr>
                          <w:t> </w:t>
                        </w:r>
                        <w:r>
                          <w:rPr>
                            <w:rFonts w:ascii="Arial MT" w:hAnsi="Arial MT"/>
                            <w:sz w:val="18"/>
                          </w:rPr>
                          <w:t>–</w:t>
                        </w:r>
                        <w:r>
                          <w:rPr>
                            <w:rFonts w:ascii="Arial MT" w:hAnsi="Arial MT"/>
                            <w:spacing w:val="-5"/>
                            <w:sz w:val="18"/>
                          </w:rPr>
                          <w:t> </w:t>
                        </w:r>
                        <w:r>
                          <w:rPr>
                            <w:rFonts w:ascii="Arial MT" w:hAnsi="Arial MT"/>
                            <w:sz w:val="18"/>
                          </w:rPr>
                          <w:t>Reparo</w:t>
                        </w:r>
                        <w:r>
                          <w:rPr>
                            <w:rFonts w:ascii="Arial MT" w:hAnsi="Arial MT"/>
                            <w:spacing w:val="-3"/>
                            <w:sz w:val="18"/>
                          </w:rPr>
                          <w:t> </w:t>
                        </w:r>
                        <w:r>
                          <w:rPr>
                            <w:rFonts w:ascii="Arial MT" w:hAnsi="Arial MT"/>
                            <w:sz w:val="18"/>
                          </w:rPr>
                          <w:t>rompimento</w:t>
                        </w:r>
                        <w:r>
                          <w:rPr>
                            <w:rFonts w:ascii="Arial MT" w:hAnsi="Arial MT"/>
                            <w:spacing w:val="-5"/>
                            <w:sz w:val="18"/>
                          </w:rPr>
                          <w:t> </w:t>
                        </w:r>
                        <w:r>
                          <w:rPr>
                            <w:rFonts w:ascii="Arial MT" w:hAnsi="Arial MT"/>
                            <w:sz w:val="18"/>
                          </w:rPr>
                          <w:t>de</w:t>
                        </w:r>
                        <w:r>
                          <w:rPr>
                            <w:rFonts w:ascii="Arial MT" w:hAnsi="Arial MT"/>
                            <w:spacing w:val="-5"/>
                            <w:sz w:val="18"/>
                          </w:rPr>
                          <w:t> </w:t>
                        </w:r>
                        <w:r>
                          <w:rPr>
                            <w:rFonts w:ascii="Arial MT" w:hAnsi="Arial MT"/>
                            <w:sz w:val="18"/>
                          </w:rPr>
                          <w:t>tubulação</w:t>
                        </w:r>
                        <w:r>
                          <w:rPr>
                            <w:rFonts w:ascii="Arial MT" w:hAnsi="Arial MT"/>
                            <w:spacing w:val="-4"/>
                            <w:sz w:val="18"/>
                          </w:rPr>
                          <w:t> </w:t>
                        </w:r>
                        <w:r>
                          <w:rPr>
                            <w:rFonts w:ascii="Arial MT" w:hAnsi="Arial MT"/>
                            <w:sz w:val="18"/>
                          </w:rPr>
                          <w:t>teto</w:t>
                        </w:r>
                        <w:r>
                          <w:rPr>
                            <w:rFonts w:ascii="Arial MT" w:hAnsi="Arial MT"/>
                            <w:spacing w:val="-4"/>
                            <w:sz w:val="18"/>
                          </w:rPr>
                          <w:t> </w:t>
                        </w:r>
                        <w:r>
                          <w:rPr>
                            <w:rFonts w:ascii="Arial MT" w:hAnsi="Arial MT"/>
                            <w:spacing w:val="-5"/>
                            <w:sz w:val="18"/>
                          </w:rPr>
                          <w:t>MDA</w:t>
                        </w:r>
                      </w:p>
                    </w:txbxContent>
                  </v:textbox>
                  <v:stroke dashstyle="solid"/>
                  <w10:wrap type="none"/>
                </v:shape>
                <v:shape style="position:absolute;left:10;top:4300;width:8794;height:300" type="#_x0000_t202" id="docshape14" filled="false" stroked="true" strokeweight="1pt" strokecolor="#000000">
                  <v:textbox inset="0,0,0,0">
                    <w:txbxContent>
                      <w:p>
                        <w:pPr>
                          <w:spacing w:line="206" w:lineRule="exact" w:before="0"/>
                          <w:ind w:left="25" w:right="24" w:firstLine="0"/>
                          <w:jc w:val="center"/>
                          <w:rPr>
                            <w:rFonts w:ascii="Arial MT" w:hAnsi="Arial MT"/>
                            <w:sz w:val="18"/>
                          </w:rPr>
                        </w:pPr>
                        <w:r>
                          <w:rPr>
                            <w:rFonts w:ascii="Arial MT" w:hAnsi="Arial MT"/>
                            <w:sz w:val="18"/>
                          </w:rPr>
                          <w:t>Figura</w:t>
                        </w:r>
                        <w:r>
                          <w:rPr>
                            <w:rFonts w:ascii="Arial MT" w:hAnsi="Arial MT"/>
                            <w:spacing w:val="-6"/>
                            <w:sz w:val="18"/>
                          </w:rPr>
                          <w:t> </w:t>
                        </w:r>
                        <w:r>
                          <w:rPr>
                            <w:rFonts w:ascii="Arial MT" w:hAnsi="Arial MT"/>
                            <w:sz w:val="18"/>
                          </w:rPr>
                          <w:t>03</w:t>
                        </w:r>
                        <w:r>
                          <w:rPr>
                            <w:rFonts w:ascii="Arial MT" w:hAnsi="Arial MT"/>
                            <w:spacing w:val="-5"/>
                            <w:sz w:val="18"/>
                          </w:rPr>
                          <w:t> </w:t>
                        </w:r>
                        <w:r>
                          <w:rPr>
                            <w:rFonts w:ascii="Arial MT" w:hAnsi="Arial MT"/>
                            <w:sz w:val="18"/>
                          </w:rPr>
                          <w:t>–</w:t>
                        </w:r>
                        <w:r>
                          <w:rPr>
                            <w:rFonts w:ascii="Arial MT" w:hAnsi="Arial MT"/>
                            <w:spacing w:val="-6"/>
                            <w:sz w:val="18"/>
                          </w:rPr>
                          <w:t> </w:t>
                        </w:r>
                        <w:r>
                          <w:rPr>
                            <w:rFonts w:ascii="Arial MT" w:hAnsi="Arial MT"/>
                            <w:sz w:val="18"/>
                          </w:rPr>
                          <w:t>Reforma</w:t>
                        </w:r>
                        <w:r>
                          <w:rPr>
                            <w:rFonts w:ascii="Arial MT" w:hAnsi="Arial MT"/>
                            <w:spacing w:val="-3"/>
                            <w:sz w:val="18"/>
                          </w:rPr>
                          <w:t> </w:t>
                        </w:r>
                        <w:r>
                          <w:rPr>
                            <w:rFonts w:ascii="Arial MT" w:hAnsi="Arial MT"/>
                            <w:sz w:val="18"/>
                          </w:rPr>
                          <w:t>ambulatório</w:t>
                        </w:r>
                        <w:r>
                          <w:rPr>
                            <w:rFonts w:ascii="Arial MT" w:hAnsi="Arial MT"/>
                            <w:spacing w:val="-5"/>
                            <w:sz w:val="18"/>
                          </w:rPr>
                          <w:t> 09</w:t>
                        </w:r>
                      </w:p>
                    </w:txbxContent>
                  </v:textbox>
                  <v:stroke dashstyle="solid"/>
                  <w10:wrap type="none"/>
                </v:shape>
                <v:shape style="position:absolute;left:10;top:10;width:8896;height:300" type="#_x0000_t202" id="docshape15" filled="false" stroked="true" strokeweight="1pt" strokecolor="#000000">
                  <v:textbox inset="0,0,0,0">
                    <w:txbxContent>
                      <w:p>
                        <w:pPr>
                          <w:spacing w:before="1"/>
                          <w:ind w:left="26" w:right="26" w:firstLine="0"/>
                          <w:jc w:val="center"/>
                          <w:rPr>
                            <w:rFonts w:ascii="Arial MT" w:hAnsi="Arial MT"/>
                            <w:sz w:val="18"/>
                          </w:rPr>
                        </w:pPr>
                        <w:r>
                          <w:rPr>
                            <w:rFonts w:ascii="Arial MT" w:hAnsi="Arial MT"/>
                            <w:sz w:val="18"/>
                          </w:rPr>
                          <w:t>Figura</w:t>
                        </w:r>
                        <w:r>
                          <w:rPr>
                            <w:rFonts w:ascii="Arial MT" w:hAnsi="Arial MT"/>
                            <w:spacing w:val="-6"/>
                            <w:sz w:val="18"/>
                          </w:rPr>
                          <w:t> </w:t>
                        </w:r>
                        <w:r>
                          <w:rPr>
                            <w:rFonts w:ascii="Arial MT" w:hAnsi="Arial MT"/>
                            <w:sz w:val="18"/>
                          </w:rPr>
                          <w:t>02</w:t>
                        </w:r>
                        <w:r>
                          <w:rPr>
                            <w:rFonts w:ascii="Arial MT" w:hAnsi="Arial MT"/>
                            <w:spacing w:val="-5"/>
                            <w:sz w:val="18"/>
                          </w:rPr>
                          <w:t> </w:t>
                        </w:r>
                        <w:r>
                          <w:rPr>
                            <w:rFonts w:ascii="Arial MT" w:hAnsi="Arial MT"/>
                            <w:sz w:val="18"/>
                          </w:rPr>
                          <w:t>–</w:t>
                        </w:r>
                        <w:r>
                          <w:rPr>
                            <w:rFonts w:ascii="Arial MT" w:hAnsi="Arial MT"/>
                            <w:spacing w:val="-6"/>
                            <w:sz w:val="18"/>
                          </w:rPr>
                          <w:t> </w:t>
                        </w:r>
                        <w:r>
                          <w:rPr>
                            <w:rFonts w:ascii="Arial MT" w:hAnsi="Arial MT"/>
                            <w:sz w:val="18"/>
                          </w:rPr>
                          <w:t>Acompanhamento</w:t>
                        </w:r>
                        <w:r>
                          <w:rPr>
                            <w:rFonts w:ascii="Arial MT" w:hAnsi="Arial MT"/>
                            <w:spacing w:val="-3"/>
                            <w:sz w:val="18"/>
                          </w:rPr>
                          <w:t> </w:t>
                        </w:r>
                        <w:r>
                          <w:rPr>
                            <w:rFonts w:ascii="Arial MT" w:hAnsi="Arial MT"/>
                            <w:sz w:val="18"/>
                          </w:rPr>
                          <w:t>obra</w:t>
                        </w:r>
                        <w:r>
                          <w:rPr>
                            <w:rFonts w:ascii="Arial MT" w:hAnsi="Arial MT"/>
                            <w:spacing w:val="-5"/>
                            <w:sz w:val="18"/>
                          </w:rPr>
                          <w:t> </w:t>
                        </w:r>
                        <w:r>
                          <w:rPr>
                            <w:rFonts w:ascii="Arial MT" w:hAnsi="Arial MT"/>
                            <w:spacing w:val="-2"/>
                            <w:sz w:val="18"/>
                          </w:rPr>
                          <w:t>biblioteca/rouparia</w:t>
                        </w:r>
                      </w:p>
                    </w:txbxContent>
                  </v:textbox>
                  <v:stroke dashstyle="solid"/>
                  <w10:wrap type="none"/>
                </v:shape>
              </v:group>
            </w:pict>
          </mc:Fallback>
        </mc:AlternateContent>
      </w:r>
      <w:r>
        <w:rPr>
          <w:sz w:val="20"/>
        </w:rPr>
      </w:r>
    </w:p>
    <w:p>
      <w:pPr>
        <w:pStyle w:val="BodyText"/>
        <w:spacing w:before="187"/>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94"/>
      </w:tblGrid>
      <w:tr>
        <w:trPr>
          <w:trHeight w:val="3970" w:hRule="atLeast"/>
        </w:trPr>
        <w:tc>
          <w:tcPr>
            <w:tcW w:w="8794" w:type="dxa"/>
          </w:tcPr>
          <w:p>
            <w:pPr>
              <w:pStyle w:val="TableParagraph"/>
              <w:tabs>
                <w:tab w:pos="4487" w:val="left" w:leader="none"/>
              </w:tabs>
              <w:ind w:left="1444"/>
              <w:jc w:val="left"/>
              <w:rPr>
                <w:position w:val="4"/>
                <w:sz w:val="20"/>
              </w:rPr>
            </w:pPr>
            <w:r>
              <w:rPr>
                <w:sz w:val="20"/>
              </w:rPr>
              <w:drawing>
                <wp:inline distT="0" distB="0" distL="0" distR="0">
                  <wp:extent cx="1787907" cy="2496312"/>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44" cstate="print"/>
                          <a:stretch>
                            <a:fillRect/>
                          </a:stretch>
                        </pic:blipFill>
                        <pic:spPr>
                          <a:xfrm>
                            <a:off x="0" y="0"/>
                            <a:ext cx="1787907" cy="2496312"/>
                          </a:xfrm>
                          <a:prstGeom prst="rect">
                            <a:avLst/>
                          </a:prstGeom>
                        </pic:spPr>
                      </pic:pic>
                    </a:graphicData>
                  </a:graphic>
                </wp:inline>
              </w:drawing>
            </w:r>
            <w:r>
              <w:rPr>
                <w:sz w:val="20"/>
              </w:rPr>
            </w:r>
            <w:r>
              <w:rPr>
                <w:sz w:val="20"/>
              </w:rPr>
              <w:tab/>
            </w:r>
            <w:r>
              <w:rPr>
                <w:position w:val="4"/>
                <w:sz w:val="20"/>
              </w:rPr>
              <w:drawing>
                <wp:inline distT="0" distB="0" distL="0" distR="0">
                  <wp:extent cx="1780304" cy="2468308"/>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45" cstate="print"/>
                          <a:stretch>
                            <a:fillRect/>
                          </a:stretch>
                        </pic:blipFill>
                        <pic:spPr>
                          <a:xfrm>
                            <a:off x="0" y="0"/>
                            <a:ext cx="1780304" cy="2468308"/>
                          </a:xfrm>
                          <a:prstGeom prst="rect">
                            <a:avLst/>
                          </a:prstGeom>
                        </pic:spPr>
                      </pic:pic>
                    </a:graphicData>
                  </a:graphic>
                </wp:inline>
              </w:drawing>
            </w:r>
            <w:r>
              <w:rPr>
                <w:position w:val="4"/>
                <w:sz w:val="20"/>
              </w:rPr>
            </w:r>
          </w:p>
        </w:tc>
      </w:tr>
      <w:tr>
        <w:trPr>
          <w:trHeight w:val="206" w:hRule="atLeast"/>
        </w:trPr>
        <w:tc>
          <w:tcPr>
            <w:tcW w:w="8794" w:type="dxa"/>
          </w:tcPr>
          <w:p>
            <w:pPr>
              <w:pStyle w:val="TableParagraph"/>
              <w:spacing w:line="186" w:lineRule="exact"/>
              <w:ind w:left="25"/>
              <w:rPr>
                <w:rFonts w:ascii="Arial MT" w:hAnsi="Arial MT"/>
                <w:sz w:val="18"/>
              </w:rPr>
            </w:pPr>
            <w:r>
              <w:rPr>
                <w:rFonts w:ascii="Arial MT" w:hAnsi="Arial MT"/>
                <w:sz w:val="18"/>
              </w:rPr>
              <w:t>Figura</w:t>
            </w:r>
            <w:r>
              <w:rPr>
                <w:rFonts w:ascii="Arial MT" w:hAnsi="Arial MT"/>
                <w:spacing w:val="-5"/>
                <w:sz w:val="18"/>
              </w:rPr>
              <w:t> </w:t>
            </w:r>
            <w:r>
              <w:rPr>
                <w:rFonts w:ascii="Arial MT" w:hAnsi="Arial MT"/>
                <w:sz w:val="18"/>
              </w:rPr>
              <w:t>05</w:t>
            </w:r>
            <w:r>
              <w:rPr>
                <w:rFonts w:ascii="Arial MT" w:hAnsi="Arial MT"/>
                <w:spacing w:val="-4"/>
                <w:sz w:val="18"/>
              </w:rPr>
              <w:t> </w:t>
            </w:r>
            <w:r>
              <w:rPr>
                <w:rFonts w:ascii="Arial MT" w:hAnsi="Arial MT"/>
                <w:sz w:val="18"/>
              </w:rPr>
              <w:t>–</w:t>
            </w:r>
            <w:r>
              <w:rPr>
                <w:rFonts w:ascii="Arial MT" w:hAnsi="Arial MT"/>
                <w:spacing w:val="-4"/>
                <w:sz w:val="18"/>
              </w:rPr>
              <w:t> </w:t>
            </w:r>
            <w:r>
              <w:rPr>
                <w:rFonts w:ascii="Arial MT" w:hAnsi="Arial MT"/>
                <w:sz w:val="18"/>
              </w:rPr>
              <w:t>Conserto</w:t>
            </w:r>
            <w:r>
              <w:rPr>
                <w:rFonts w:ascii="Arial MT" w:hAnsi="Arial MT"/>
                <w:spacing w:val="-2"/>
                <w:sz w:val="18"/>
              </w:rPr>
              <w:t> </w:t>
            </w:r>
            <w:r>
              <w:rPr>
                <w:rFonts w:ascii="Arial MT" w:hAnsi="Arial MT"/>
                <w:sz w:val="18"/>
              </w:rPr>
              <w:t>teto</w:t>
            </w:r>
            <w:r>
              <w:rPr>
                <w:rFonts w:ascii="Arial MT" w:hAnsi="Arial MT"/>
                <w:spacing w:val="-4"/>
                <w:sz w:val="18"/>
              </w:rPr>
              <w:t> </w:t>
            </w:r>
            <w:r>
              <w:rPr>
                <w:rFonts w:ascii="Arial MT" w:hAnsi="Arial MT"/>
                <w:spacing w:val="-5"/>
                <w:sz w:val="18"/>
              </w:rPr>
              <w:t>MDA</w:t>
            </w:r>
          </w:p>
        </w:tc>
      </w:tr>
    </w:tbl>
    <w:p>
      <w:pPr>
        <w:pStyle w:val="TableParagraph"/>
        <w:spacing w:after="0" w:line="186" w:lineRule="exact"/>
        <w:rPr>
          <w:rFonts w:ascii="Arial MT" w:hAnsi="Arial MT"/>
          <w:sz w:val="18"/>
        </w:rPr>
        <w:sectPr>
          <w:pgSz w:w="11910" w:h="16840"/>
          <w:pgMar w:header="358" w:footer="560" w:top="1580" w:bottom="740" w:left="708" w:right="0"/>
        </w:sectPr>
      </w:pPr>
    </w:p>
    <w:p>
      <w:pPr>
        <w:pStyle w:val="BodyText"/>
        <w:rPr>
          <w:sz w:val="20"/>
        </w:rPr>
      </w:pPr>
    </w:p>
    <w:p>
      <w:pPr>
        <w:pStyle w:val="BodyText"/>
        <w:rPr>
          <w:sz w:val="20"/>
        </w:rPr>
      </w:pPr>
    </w:p>
    <w:p>
      <w:pPr>
        <w:pStyle w:val="BodyText"/>
        <w:rPr>
          <w:sz w:val="20"/>
        </w:rPr>
      </w:pPr>
    </w:p>
    <w:p>
      <w:pPr>
        <w:pStyle w:val="BodyText"/>
        <w:spacing w:before="207"/>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94"/>
      </w:tblGrid>
      <w:tr>
        <w:trPr>
          <w:trHeight w:val="3990" w:hRule="atLeast"/>
        </w:trPr>
        <w:tc>
          <w:tcPr>
            <w:tcW w:w="8794" w:type="dxa"/>
          </w:tcPr>
          <w:p>
            <w:pPr>
              <w:pStyle w:val="TableParagraph"/>
              <w:tabs>
                <w:tab w:pos="4490" w:val="left" w:leader="none"/>
              </w:tabs>
              <w:ind w:left="1360"/>
              <w:jc w:val="left"/>
              <w:rPr>
                <w:position w:val="1"/>
                <w:sz w:val="20"/>
              </w:rPr>
            </w:pPr>
            <w:r>
              <w:rPr>
                <w:sz w:val="20"/>
              </w:rPr>
              <w:drawing>
                <wp:inline distT="0" distB="0" distL="0" distR="0">
                  <wp:extent cx="1850892" cy="2508313"/>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46" cstate="print"/>
                          <a:stretch>
                            <a:fillRect/>
                          </a:stretch>
                        </pic:blipFill>
                        <pic:spPr>
                          <a:xfrm>
                            <a:off x="0" y="0"/>
                            <a:ext cx="1850892" cy="2508313"/>
                          </a:xfrm>
                          <a:prstGeom prst="rect">
                            <a:avLst/>
                          </a:prstGeom>
                        </pic:spPr>
                      </pic:pic>
                    </a:graphicData>
                  </a:graphic>
                </wp:inline>
              </w:drawing>
            </w:r>
            <w:r>
              <w:rPr>
                <w:sz w:val="20"/>
              </w:rPr>
            </w:r>
            <w:r>
              <w:rPr>
                <w:sz w:val="20"/>
              </w:rPr>
              <w:tab/>
            </w:r>
            <w:r>
              <w:rPr>
                <w:position w:val="1"/>
                <w:sz w:val="20"/>
              </w:rPr>
              <w:drawing>
                <wp:inline distT="0" distB="0" distL="0" distR="0">
                  <wp:extent cx="1857957" cy="2502503"/>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47" cstate="print"/>
                          <a:stretch>
                            <a:fillRect/>
                          </a:stretch>
                        </pic:blipFill>
                        <pic:spPr>
                          <a:xfrm>
                            <a:off x="0" y="0"/>
                            <a:ext cx="1857957" cy="2502503"/>
                          </a:xfrm>
                          <a:prstGeom prst="rect">
                            <a:avLst/>
                          </a:prstGeom>
                        </pic:spPr>
                      </pic:pic>
                    </a:graphicData>
                  </a:graphic>
                </wp:inline>
              </w:drawing>
            </w:r>
            <w:r>
              <w:rPr>
                <w:position w:val="1"/>
                <w:sz w:val="20"/>
              </w:rPr>
            </w:r>
          </w:p>
        </w:tc>
      </w:tr>
      <w:tr>
        <w:trPr>
          <w:trHeight w:val="280" w:hRule="atLeast"/>
        </w:trPr>
        <w:tc>
          <w:tcPr>
            <w:tcW w:w="8794" w:type="dxa"/>
            <w:shd w:val="clear" w:color="auto" w:fill="D9E7F7"/>
          </w:tcPr>
          <w:p>
            <w:pPr>
              <w:pStyle w:val="TableParagraph"/>
              <w:spacing w:line="206" w:lineRule="exact"/>
              <w:ind w:left="25" w:right="2"/>
              <w:rPr>
                <w:rFonts w:ascii="Arial MT" w:hAnsi="Arial MT"/>
                <w:sz w:val="18"/>
              </w:rPr>
            </w:pPr>
            <w:r>
              <w:rPr>
                <w:rFonts w:ascii="Arial MT" w:hAnsi="Arial MT"/>
                <w:sz w:val="18"/>
              </w:rPr>
              <w:t>Figura</w:t>
            </w:r>
            <w:r>
              <w:rPr>
                <w:rFonts w:ascii="Arial MT" w:hAnsi="Arial MT"/>
                <w:spacing w:val="-5"/>
                <w:sz w:val="18"/>
              </w:rPr>
              <w:t> </w:t>
            </w:r>
            <w:r>
              <w:rPr>
                <w:rFonts w:ascii="Arial MT" w:hAnsi="Arial MT"/>
                <w:sz w:val="18"/>
              </w:rPr>
              <w:t>06</w:t>
            </w:r>
            <w:r>
              <w:rPr>
                <w:rFonts w:ascii="Arial MT" w:hAnsi="Arial MT"/>
                <w:spacing w:val="-4"/>
                <w:sz w:val="18"/>
              </w:rPr>
              <w:t> </w:t>
            </w:r>
            <w:r>
              <w:rPr>
                <w:rFonts w:ascii="Arial MT" w:hAnsi="Arial MT"/>
                <w:sz w:val="18"/>
              </w:rPr>
              <w:t>–</w:t>
            </w:r>
            <w:r>
              <w:rPr>
                <w:rFonts w:ascii="Arial MT" w:hAnsi="Arial MT"/>
                <w:spacing w:val="-4"/>
                <w:sz w:val="18"/>
              </w:rPr>
              <w:t> </w:t>
            </w:r>
            <w:r>
              <w:rPr>
                <w:rFonts w:ascii="Arial MT" w:hAnsi="Arial MT"/>
                <w:color w:val="FF0000"/>
                <w:sz w:val="18"/>
              </w:rPr>
              <w:t>Conserto</w:t>
            </w:r>
            <w:r>
              <w:rPr>
                <w:rFonts w:ascii="Arial MT" w:hAnsi="Arial MT"/>
                <w:color w:val="FF0000"/>
                <w:spacing w:val="-4"/>
                <w:sz w:val="18"/>
              </w:rPr>
              <w:t> </w:t>
            </w:r>
            <w:r>
              <w:rPr>
                <w:rFonts w:ascii="Arial MT" w:hAnsi="Arial MT"/>
                <w:color w:val="FF0000"/>
                <w:sz w:val="18"/>
              </w:rPr>
              <w:t>teto</w:t>
            </w:r>
            <w:r>
              <w:rPr>
                <w:rFonts w:ascii="Arial MT" w:hAnsi="Arial MT"/>
                <w:color w:val="FF0000"/>
                <w:spacing w:val="-4"/>
                <w:sz w:val="18"/>
              </w:rPr>
              <w:t> </w:t>
            </w:r>
            <w:r>
              <w:rPr>
                <w:rFonts w:ascii="Arial MT" w:hAnsi="Arial MT"/>
                <w:color w:val="FF0000"/>
                <w:spacing w:val="-5"/>
                <w:sz w:val="18"/>
              </w:rPr>
              <w:t>MDA</w:t>
            </w:r>
          </w:p>
        </w:tc>
      </w:tr>
    </w:tbl>
    <w:p>
      <w:pPr>
        <w:pStyle w:val="BodyText"/>
        <w:spacing w:before="1"/>
      </w:pPr>
    </w:p>
    <w:p>
      <w:pPr>
        <w:pStyle w:val="ListParagraph"/>
        <w:numPr>
          <w:ilvl w:val="1"/>
          <w:numId w:val="11"/>
        </w:numPr>
        <w:tabs>
          <w:tab w:pos="1070" w:val="left" w:leader="none"/>
        </w:tabs>
        <w:spacing w:line="240" w:lineRule="auto" w:before="1" w:after="0"/>
        <w:ind w:left="1070" w:right="0" w:hanging="360"/>
        <w:jc w:val="left"/>
        <w:rPr>
          <w:b/>
          <w:sz w:val="24"/>
        </w:rPr>
      </w:pPr>
      <w:bookmarkStart w:name="6.4 - Segurança Patrimonial" w:id="45"/>
      <w:bookmarkEnd w:id="45"/>
      <w:r>
        <w:rPr/>
      </w:r>
      <w:r>
        <w:rPr>
          <w:b/>
          <w:sz w:val="24"/>
        </w:rPr>
        <w:t>-</w:t>
      </w:r>
      <w:r>
        <w:rPr>
          <w:b/>
          <w:spacing w:val="-3"/>
          <w:sz w:val="24"/>
        </w:rPr>
        <w:t> </w:t>
      </w:r>
      <w:r>
        <w:rPr>
          <w:b/>
          <w:sz w:val="24"/>
        </w:rPr>
        <w:t>Segurança</w:t>
      </w:r>
      <w:r>
        <w:rPr>
          <w:b/>
          <w:spacing w:val="-2"/>
          <w:sz w:val="24"/>
        </w:rPr>
        <w:t> Patrimonial</w:t>
      </w:r>
    </w:p>
    <w:p>
      <w:pPr>
        <w:pStyle w:val="ListParagraph"/>
        <w:numPr>
          <w:ilvl w:val="2"/>
          <w:numId w:val="11"/>
        </w:numPr>
        <w:tabs>
          <w:tab w:pos="1250" w:val="left" w:leader="none"/>
        </w:tabs>
        <w:spacing w:line="240" w:lineRule="auto" w:before="0" w:after="0"/>
        <w:ind w:left="1250" w:right="0" w:hanging="540"/>
        <w:jc w:val="left"/>
        <w:rPr>
          <w:b/>
          <w:sz w:val="24"/>
        </w:rPr>
      </w:pPr>
      <w:bookmarkStart w:name="6.4.1 - Apoio na operação de captação de" w:id="46"/>
      <w:bookmarkEnd w:id="46"/>
      <w:r>
        <w:rPr/>
      </w:r>
      <w:r>
        <w:rPr>
          <w:b/>
          <w:sz w:val="24"/>
        </w:rPr>
        <w:t>-</w:t>
      </w:r>
      <w:r>
        <w:rPr>
          <w:b/>
          <w:spacing w:val="-5"/>
          <w:sz w:val="24"/>
        </w:rPr>
        <w:t> </w:t>
      </w:r>
      <w:r>
        <w:rPr>
          <w:b/>
          <w:sz w:val="24"/>
        </w:rPr>
        <w:t>Apoio</w:t>
      </w:r>
      <w:r>
        <w:rPr>
          <w:b/>
          <w:spacing w:val="-1"/>
          <w:sz w:val="24"/>
        </w:rPr>
        <w:t> </w:t>
      </w:r>
      <w:r>
        <w:rPr>
          <w:b/>
          <w:sz w:val="24"/>
        </w:rPr>
        <w:t>na</w:t>
      </w:r>
      <w:r>
        <w:rPr>
          <w:b/>
          <w:spacing w:val="-2"/>
          <w:sz w:val="24"/>
        </w:rPr>
        <w:t> </w:t>
      </w:r>
      <w:r>
        <w:rPr>
          <w:b/>
          <w:sz w:val="24"/>
        </w:rPr>
        <w:t>operação</w:t>
      </w:r>
      <w:r>
        <w:rPr>
          <w:b/>
          <w:spacing w:val="-2"/>
          <w:sz w:val="24"/>
        </w:rPr>
        <w:t> </w:t>
      </w:r>
      <w:r>
        <w:rPr>
          <w:b/>
          <w:sz w:val="24"/>
        </w:rPr>
        <w:t>de</w:t>
      </w:r>
      <w:r>
        <w:rPr>
          <w:b/>
          <w:spacing w:val="-3"/>
          <w:sz w:val="24"/>
        </w:rPr>
        <w:t> </w:t>
      </w:r>
      <w:r>
        <w:rPr>
          <w:b/>
          <w:sz w:val="24"/>
        </w:rPr>
        <w:t>captação</w:t>
      </w:r>
      <w:r>
        <w:rPr>
          <w:b/>
          <w:spacing w:val="-2"/>
          <w:sz w:val="24"/>
        </w:rPr>
        <w:t> </w:t>
      </w:r>
      <w:r>
        <w:rPr>
          <w:b/>
          <w:sz w:val="24"/>
        </w:rPr>
        <w:t>de</w:t>
      </w:r>
      <w:r>
        <w:rPr>
          <w:b/>
          <w:spacing w:val="-3"/>
          <w:sz w:val="24"/>
        </w:rPr>
        <w:t> </w:t>
      </w:r>
      <w:r>
        <w:rPr>
          <w:b/>
          <w:spacing w:val="-2"/>
          <w:sz w:val="24"/>
        </w:rPr>
        <w:t>órgãos.</w:t>
      </w:r>
    </w:p>
    <w:p>
      <w:pPr>
        <w:pStyle w:val="BodyText"/>
        <w:spacing w:before="2"/>
        <w:rPr>
          <w:b/>
        </w:rPr>
      </w:pPr>
    </w:p>
    <w:p>
      <w:pPr>
        <w:pStyle w:val="BodyText"/>
        <w:ind w:left="710" w:right="746"/>
        <w:jc w:val="both"/>
      </w:pPr>
      <w:bookmarkStart w:name="A Segurança Patrimonial tem como princip" w:id="47"/>
      <w:bookmarkEnd w:id="47"/>
      <w:r>
        <w:rPr/>
      </w:r>
      <w:r>
        <w:rPr/>
        <w:t>A Segurança Patrimonial tem como principal objetivo garantir a proteção das pessoas e do patrimônio, assegurando um ambiente seguro e o pleno funcionamento da rotina hospitalar e de suas operações. Nesse contexto, atua continuamente no apoio aos procedimentos de captação de órgãos e tecidos realizados em nossa unidade, contribuindo para a agilidade dos processos, bem como para a comunicação com as forças de segurança pública, oferecendo o suporte necessário ao êxito dessa missão tão relevante.</w:t>
      </w:r>
    </w:p>
    <w:p>
      <w:pPr>
        <w:pStyle w:val="BodyText"/>
        <w:spacing w:before="48"/>
        <w:rPr>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94"/>
      </w:tblGrid>
      <w:tr>
        <w:trPr>
          <w:trHeight w:val="4054" w:hRule="atLeast"/>
        </w:trPr>
        <w:tc>
          <w:tcPr>
            <w:tcW w:w="8794" w:type="dxa"/>
          </w:tcPr>
          <w:p>
            <w:pPr>
              <w:pStyle w:val="TableParagraph"/>
              <w:ind w:left="152"/>
              <w:jc w:val="left"/>
              <w:rPr>
                <w:sz w:val="20"/>
              </w:rPr>
            </w:pPr>
            <w:r>
              <w:rPr>
                <w:sz w:val="20"/>
              </w:rPr>
              <mc:AlternateContent>
                <mc:Choice Requires="wps">
                  <w:drawing>
                    <wp:inline distT="0" distB="0" distL="0" distR="0">
                      <wp:extent cx="5391150" cy="2560955"/>
                      <wp:effectExtent l="0" t="0" r="0" b="1269"/>
                      <wp:docPr id="51" name="Group 51"/>
                      <wp:cNvGraphicFramePr>
                        <a:graphicFrameLocks/>
                      </wp:cNvGraphicFramePr>
                      <a:graphic>
                        <a:graphicData uri="http://schemas.microsoft.com/office/word/2010/wordprocessingGroup">
                          <wpg:wgp>
                            <wpg:cNvPr id="51" name="Group 51"/>
                            <wpg:cNvGrpSpPr/>
                            <wpg:grpSpPr>
                              <a:xfrm>
                                <a:off x="0" y="0"/>
                                <a:ext cx="5391150" cy="2560955"/>
                                <a:chExt cx="5391150" cy="2560955"/>
                              </a:xfrm>
                            </wpg:grpSpPr>
                            <pic:pic>
                              <pic:nvPicPr>
                                <pic:cNvPr id="52" name="Image 52"/>
                                <pic:cNvPicPr/>
                              </pic:nvPicPr>
                              <pic:blipFill>
                                <a:blip r:embed="rId48" cstate="print"/>
                                <a:stretch>
                                  <a:fillRect/>
                                </a:stretch>
                              </pic:blipFill>
                              <pic:spPr>
                                <a:xfrm>
                                  <a:off x="0" y="8889"/>
                                  <a:ext cx="1873237" cy="2552065"/>
                                </a:xfrm>
                                <a:prstGeom prst="rect">
                                  <a:avLst/>
                                </a:prstGeom>
                              </pic:spPr>
                            </pic:pic>
                            <pic:pic>
                              <pic:nvPicPr>
                                <pic:cNvPr id="53" name="Image 53"/>
                                <pic:cNvPicPr/>
                              </pic:nvPicPr>
                              <pic:blipFill>
                                <a:blip r:embed="rId49" cstate="print"/>
                                <a:stretch>
                                  <a:fillRect/>
                                </a:stretch>
                              </pic:blipFill>
                              <pic:spPr>
                                <a:xfrm>
                                  <a:off x="1906257" y="19050"/>
                                  <a:ext cx="1783080" cy="2541904"/>
                                </a:xfrm>
                                <a:prstGeom prst="rect">
                                  <a:avLst/>
                                </a:prstGeom>
                              </pic:spPr>
                            </pic:pic>
                            <pic:pic>
                              <pic:nvPicPr>
                                <pic:cNvPr id="54" name="Image 54"/>
                                <pic:cNvPicPr/>
                              </pic:nvPicPr>
                              <pic:blipFill>
                                <a:blip r:embed="rId50" cstate="print"/>
                                <a:stretch>
                                  <a:fillRect/>
                                </a:stretch>
                              </pic:blipFill>
                              <pic:spPr>
                                <a:xfrm>
                                  <a:off x="3689350" y="0"/>
                                  <a:ext cx="1701800" cy="2560954"/>
                                </a:xfrm>
                                <a:prstGeom prst="rect">
                                  <a:avLst/>
                                </a:prstGeom>
                              </pic:spPr>
                            </pic:pic>
                          </wpg:wgp>
                        </a:graphicData>
                      </a:graphic>
                    </wp:inline>
                  </w:drawing>
                </mc:Choice>
                <mc:Fallback>
                  <w:pict>
                    <v:group style="width:424.5pt;height:201.65pt;mso-position-horizontal-relative:char;mso-position-vertical-relative:line" id="docshapegroup16" coordorigin="0,0" coordsize="8490,4033">
                      <v:shape style="position:absolute;left:0;top:14;width:2950;height:4019" type="#_x0000_t75" id="docshape17" stroked="false">
                        <v:imagedata r:id="rId48" o:title=""/>
                      </v:shape>
                      <v:shape style="position:absolute;left:3001;top:30;width:2808;height:4003" type="#_x0000_t75" id="docshape18" stroked="false">
                        <v:imagedata r:id="rId49" o:title=""/>
                      </v:shape>
                      <v:shape style="position:absolute;left:5810;top:0;width:2680;height:4033" type="#_x0000_t75" id="docshape19" stroked="false">
                        <v:imagedata r:id="rId50" o:title=""/>
                      </v:shape>
                    </v:group>
                  </w:pict>
                </mc:Fallback>
              </mc:AlternateContent>
            </w:r>
            <w:r>
              <w:rPr>
                <w:sz w:val="20"/>
              </w:rPr>
            </w:r>
          </w:p>
        </w:tc>
      </w:tr>
      <w:tr>
        <w:trPr>
          <w:trHeight w:val="279" w:hRule="atLeast"/>
        </w:trPr>
        <w:tc>
          <w:tcPr>
            <w:tcW w:w="8794" w:type="dxa"/>
          </w:tcPr>
          <w:p>
            <w:pPr>
              <w:pStyle w:val="TableParagraph"/>
              <w:spacing w:before="1"/>
              <w:ind w:left="25" w:right="2"/>
              <w:rPr>
                <w:rFonts w:ascii="Arial" w:hAnsi="Arial"/>
                <w:b/>
                <w:sz w:val="18"/>
              </w:rPr>
            </w:pPr>
            <w:r>
              <w:rPr>
                <w:rFonts w:ascii="Arial" w:hAnsi="Arial"/>
                <w:b/>
                <w:sz w:val="18"/>
              </w:rPr>
              <w:t>Figura</w:t>
            </w:r>
            <w:r>
              <w:rPr>
                <w:rFonts w:ascii="Arial" w:hAnsi="Arial"/>
                <w:b/>
                <w:spacing w:val="-7"/>
                <w:sz w:val="18"/>
              </w:rPr>
              <w:t> </w:t>
            </w:r>
            <w:r>
              <w:rPr>
                <w:rFonts w:ascii="Arial" w:hAnsi="Arial"/>
                <w:b/>
                <w:sz w:val="18"/>
              </w:rPr>
              <w:t>01</w:t>
            </w:r>
            <w:r>
              <w:rPr>
                <w:rFonts w:ascii="Arial" w:hAnsi="Arial"/>
                <w:b/>
                <w:spacing w:val="-4"/>
                <w:sz w:val="18"/>
              </w:rPr>
              <w:t> </w:t>
            </w:r>
            <w:r>
              <w:rPr>
                <w:rFonts w:ascii="Arial" w:hAnsi="Arial"/>
                <w:b/>
                <w:sz w:val="18"/>
              </w:rPr>
              <w:t>–</w:t>
            </w:r>
            <w:r>
              <w:rPr>
                <w:rFonts w:ascii="Arial" w:hAnsi="Arial"/>
                <w:b/>
                <w:spacing w:val="-4"/>
                <w:sz w:val="18"/>
              </w:rPr>
              <w:t> </w:t>
            </w:r>
            <w:r>
              <w:rPr>
                <w:rFonts w:ascii="Arial" w:hAnsi="Arial"/>
                <w:b/>
                <w:sz w:val="18"/>
              </w:rPr>
              <w:t>Operação</w:t>
            </w:r>
            <w:r>
              <w:rPr>
                <w:rFonts w:ascii="Arial" w:hAnsi="Arial"/>
                <w:b/>
                <w:spacing w:val="-4"/>
                <w:sz w:val="18"/>
              </w:rPr>
              <w:t> </w:t>
            </w:r>
            <w:r>
              <w:rPr>
                <w:rFonts w:ascii="Arial" w:hAnsi="Arial"/>
                <w:b/>
                <w:sz w:val="18"/>
              </w:rPr>
              <w:t>de</w:t>
            </w:r>
            <w:r>
              <w:rPr>
                <w:rFonts w:ascii="Arial" w:hAnsi="Arial"/>
                <w:b/>
                <w:spacing w:val="-2"/>
                <w:sz w:val="18"/>
              </w:rPr>
              <w:t> </w:t>
            </w:r>
            <w:r>
              <w:rPr>
                <w:rFonts w:ascii="Arial" w:hAnsi="Arial"/>
                <w:b/>
                <w:sz w:val="18"/>
              </w:rPr>
              <w:t>Captação</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pacing w:val="-2"/>
                <w:sz w:val="18"/>
              </w:rPr>
              <w:t>Órgãos</w:t>
            </w:r>
          </w:p>
        </w:tc>
      </w:tr>
    </w:tbl>
    <w:p>
      <w:pPr>
        <w:pStyle w:val="TableParagraph"/>
        <w:spacing w:after="0"/>
        <w:rPr>
          <w:rFonts w:ascii="Arial" w:hAnsi="Arial"/>
          <w:b/>
          <w:sz w:val="18"/>
        </w:rPr>
        <w:sectPr>
          <w:pgSz w:w="11910" w:h="16840"/>
          <w:pgMar w:header="358" w:footer="560" w:top="1580" w:bottom="780" w:left="708" w:right="0"/>
        </w:sectPr>
      </w:pPr>
    </w:p>
    <w:p>
      <w:pPr>
        <w:pStyle w:val="BodyText"/>
      </w:pPr>
    </w:p>
    <w:p>
      <w:pPr>
        <w:pStyle w:val="BodyText"/>
      </w:pPr>
    </w:p>
    <w:p>
      <w:pPr>
        <w:pStyle w:val="BodyText"/>
      </w:pPr>
    </w:p>
    <w:p>
      <w:pPr>
        <w:pStyle w:val="BodyText"/>
        <w:spacing w:before="25"/>
      </w:pPr>
    </w:p>
    <w:p>
      <w:pPr>
        <w:pStyle w:val="ListParagraph"/>
        <w:numPr>
          <w:ilvl w:val="2"/>
          <w:numId w:val="11"/>
        </w:numPr>
        <w:tabs>
          <w:tab w:pos="1250" w:val="left" w:leader="none"/>
        </w:tabs>
        <w:spacing w:line="240" w:lineRule="auto" w:before="0" w:after="0"/>
        <w:ind w:left="1250" w:right="0" w:hanging="540"/>
        <w:jc w:val="left"/>
        <w:rPr>
          <w:b/>
          <w:sz w:val="24"/>
        </w:rPr>
      </w:pPr>
      <w:bookmarkStart w:name="6.4.2 - Entrega e Padronização de Unifor" w:id="48"/>
      <w:bookmarkEnd w:id="48"/>
      <w:r>
        <w:rPr/>
      </w:r>
      <w:r>
        <w:rPr>
          <w:b/>
          <w:sz w:val="24"/>
        </w:rPr>
        <w:t>-</w:t>
      </w:r>
      <w:r>
        <w:rPr>
          <w:b/>
          <w:spacing w:val="-3"/>
          <w:sz w:val="24"/>
        </w:rPr>
        <w:t> </w:t>
      </w:r>
      <w:r>
        <w:rPr>
          <w:b/>
          <w:sz w:val="24"/>
        </w:rPr>
        <w:t>Entrega</w:t>
      </w:r>
      <w:r>
        <w:rPr>
          <w:b/>
          <w:spacing w:val="-2"/>
          <w:sz w:val="24"/>
        </w:rPr>
        <w:t> </w:t>
      </w:r>
      <w:r>
        <w:rPr>
          <w:b/>
          <w:sz w:val="24"/>
        </w:rPr>
        <w:t>e</w:t>
      </w:r>
      <w:r>
        <w:rPr>
          <w:b/>
          <w:spacing w:val="-4"/>
          <w:sz w:val="24"/>
        </w:rPr>
        <w:t> </w:t>
      </w:r>
      <w:r>
        <w:rPr>
          <w:b/>
          <w:sz w:val="24"/>
        </w:rPr>
        <w:t>Padronização</w:t>
      </w:r>
      <w:r>
        <w:rPr>
          <w:b/>
          <w:spacing w:val="-1"/>
          <w:sz w:val="24"/>
        </w:rPr>
        <w:t> </w:t>
      </w:r>
      <w:r>
        <w:rPr>
          <w:b/>
          <w:sz w:val="24"/>
        </w:rPr>
        <w:t>de</w:t>
      </w:r>
      <w:r>
        <w:rPr>
          <w:b/>
          <w:spacing w:val="-3"/>
          <w:sz w:val="24"/>
        </w:rPr>
        <w:t> </w:t>
      </w:r>
      <w:r>
        <w:rPr>
          <w:b/>
          <w:spacing w:val="-2"/>
          <w:sz w:val="24"/>
        </w:rPr>
        <w:t>Uniformes</w:t>
      </w:r>
    </w:p>
    <w:p>
      <w:pPr>
        <w:pStyle w:val="BodyText"/>
        <w:spacing w:before="46"/>
        <w:rPr>
          <w:b/>
          <w:sz w:val="20"/>
        </w:rPr>
      </w:pPr>
    </w:p>
    <w:tbl>
      <w:tblPr>
        <w:tblW w:w="0" w:type="auto"/>
        <w:jc w:val="left"/>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794"/>
      </w:tblGrid>
      <w:tr>
        <w:trPr>
          <w:trHeight w:val="3958" w:hRule="atLeast"/>
        </w:trPr>
        <w:tc>
          <w:tcPr>
            <w:tcW w:w="8794" w:type="dxa"/>
          </w:tcPr>
          <w:p>
            <w:pPr>
              <w:pStyle w:val="TableParagraph"/>
              <w:ind w:left="158"/>
              <w:jc w:val="left"/>
              <w:rPr>
                <w:sz w:val="20"/>
              </w:rPr>
            </w:pPr>
            <w:r>
              <w:rPr>
                <w:sz w:val="20"/>
              </w:rPr>
              <mc:AlternateContent>
                <mc:Choice Requires="wps">
                  <w:drawing>
                    <wp:inline distT="0" distB="0" distL="0" distR="0">
                      <wp:extent cx="5346700" cy="2499360"/>
                      <wp:effectExtent l="0" t="0" r="0" b="5714"/>
                      <wp:docPr id="55" name="Group 55"/>
                      <wp:cNvGraphicFramePr>
                        <a:graphicFrameLocks/>
                      </wp:cNvGraphicFramePr>
                      <a:graphic>
                        <a:graphicData uri="http://schemas.microsoft.com/office/word/2010/wordprocessingGroup">
                          <wpg:wgp>
                            <wpg:cNvPr id="55" name="Group 55"/>
                            <wpg:cNvGrpSpPr/>
                            <wpg:grpSpPr>
                              <a:xfrm>
                                <a:off x="0" y="0"/>
                                <a:ext cx="5346700" cy="2499360"/>
                                <a:chExt cx="5346700" cy="2499360"/>
                              </a:xfrm>
                            </wpg:grpSpPr>
                            <pic:pic>
                              <pic:nvPicPr>
                                <pic:cNvPr id="56" name="Image 56"/>
                                <pic:cNvPicPr/>
                              </pic:nvPicPr>
                              <pic:blipFill>
                                <a:blip r:embed="rId51" cstate="print"/>
                                <a:stretch>
                                  <a:fillRect/>
                                </a:stretch>
                              </pic:blipFill>
                              <pic:spPr>
                                <a:xfrm>
                                  <a:off x="0" y="12700"/>
                                  <a:ext cx="2838449" cy="2486660"/>
                                </a:xfrm>
                                <a:prstGeom prst="rect">
                                  <a:avLst/>
                                </a:prstGeom>
                              </pic:spPr>
                            </pic:pic>
                            <pic:pic>
                              <pic:nvPicPr>
                                <pic:cNvPr id="57" name="Image 57"/>
                                <pic:cNvPicPr/>
                              </pic:nvPicPr>
                              <pic:blipFill>
                                <a:blip r:embed="rId52" cstate="print"/>
                                <a:stretch>
                                  <a:fillRect/>
                                </a:stretch>
                              </pic:blipFill>
                              <pic:spPr>
                                <a:xfrm>
                                  <a:off x="2871470" y="0"/>
                                  <a:ext cx="2475229" cy="2499360"/>
                                </a:xfrm>
                                <a:prstGeom prst="rect">
                                  <a:avLst/>
                                </a:prstGeom>
                              </pic:spPr>
                            </pic:pic>
                          </wpg:wgp>
                        </a:graphicData>
                      </a:graphic>
                    </wp:inline>
                  </w:drawing>
                </mc:Choice>
                <mc:Fallback>
                  <w:pict>
                    <v:group style="width:421pt;height:196.8pt;mso-position-horizontal-relative:char;mso-position-vertical-relative:line" id="docshapegroup20" coordorigin="0,0" coordsize="8420,3936">
                      <v:shape style="position:absolute;left:0;top:20;width:4470;height:3916" type="#_x0000_t75" id="docshape21" stroked="false">
                        <v:imagedata r:id="rId51" o:title=""/>
                      </v:shape>
                      <v:shape style="position:absolute;left:4522;top:0;width:3898;height:3936" type="#_x0000_t75" id="docshape22" stroked="false">
                        <v:imagedata r:id="rId52" o:title=""/>
                      </v:shape>
                    </v:group>
                  </w:pict>
                </mc:Fallback>
              </mc:AlternateContent>
            </w:r>
            <w:r>
              <w:rPr>
                <w:sz w:val="20"/>
              </w:rPr>
            </w:r>
          </w:p>
        </w:tc>
      </w:tr>
      <w:tr>
        <w:trPr>
          <w:trHeight w:val="280" w:hRule="atLeast"/>
        </w:trPr>
        <w:tc>
          <w:tcPr>
            <w:tcW w:w="8794" w:type="dxa"/>
          </w:tcPr>
          <w:p>
            <w:pPr>
              <w:pStyle w:val="TableParagraph"/>
              <w:spacing w:line="206" w:lineRule="exact"/>
              <w:ind w:left="25" w:right="4"/>
              <w:rPr>
                <w:rFonts w:ascii="Arial" w:hAnsi="Arial"/>
                <w:b/>
                <w:sz w:val="18"/>
              </w:rPr>
            </w:pPr>
            <w:r>
              <w:rPr>
                <w:rFonts w:ascii="Arial" w:hAnsi="Arial"/>
                <w:b/>
                <w:sz w:val="18"/>
              </w:rPr>
              <w:t>Figura</w:t>
            </w:r>
            <w:r>
              <w:rPr>
                <w:rFonts w:ascii="Arial" w:hAnsi="Arial"/>
                <w:b/>
                <w:spacing w:val="-5"/>
                <w:sz w:val="18"/>
              </w:rPr>
              <w:t> </w:t>
            </w:r>
            <w:r>
              <w:rPr>
                <w:rFonts w:ascii="Arial" w:hAnsi="Arial"/>
                <w:b/>
                <w:sz w:val="18"/>
              </w:rPr>
              <w:t>02</w:t>
            </w:r>
            <w:r>
              <w:rPr>
                <w:rFonts w:ascii="Arial" w:hAnsi="Arial"/>
                <w:b/>
                <w:spacing w:val="-4"/>
                <w:sz w:val="18"/>
              </w:rPr>
              <w:t> </w:t>
            </w:r>
            <w:r>
              <w:rPr>
                <w:rFonts w:ascii="Arial" w:hAnsi="Arial"/>
                <w:b/>
                <w:sz w:val="18"/>
              </w:rPr>
              <w:t>–</w:t>
            </w:r>
            <w:r>
              <w:rPr>
                <w:rFonts w:ascii="Arial" w:hAnsi="Arial"/>
                <w:b/>
                <w:spacing w:val="-5"/>
                <w:sz w:val="18"/>
              </w:rPr>
              <w:t> </w:t>
            </w:r>
            <w:r>
              <w:rPr>
                <w:rFonts w:ascii="Arial" w:hAnsi="Arial"/>
                <w:b/>
                <w:sz w:val="18"/>
              </w:rPr>
              <w:t>Entrega</w:t>
            </w:r>
            <w:r>
              <w:rPr>
                <w:rFonts w:ascii="Arial" w:hAnsi="Arial"/>
                <w:b/>
                <w:spacing w:val="-4"/>
                <w:sz w:val="18"/>
              </w:rPr>
              <w:t> </w:t>
            </w:r>
            <w:r>
              <w:rPr>
                <w:rFonts w:ascii="Arial" w:hAnsi="Arial"/>
                <w:b/>
                <w:sz w:val="18"/>
              </w:rPr>
              <w:t>e</w:t>
            </w:r>
            <w:r>
              <w:rPr>
                <w:rFonts w:ascii="Arial" w:hAnsi="Arial"/>
                <w:b/>
                <w:spacing w:val="-5"/>
                <w:sz w:val="18"/>
              </w:rPr>
              <w:t> </w:t>
            </w:r>
            <w:r>
              <w:rPr>
                <w:rFonts w:ascii="Arial" w:hAnsi="Arial"/>
                <w:b/>
                <w:sz w:val="18"/>
              </w:rPr>
              <w:t>Padronização</w:t>
            </w:r>
            <w:r>
              <w:rPr>
                <w:rFonts w:ascii="Arial" w:hAnsi="Arial"/>
                <w:b/>
                <w:spacing w:val="-2"/>
                <w:sz w:val="18"/>
              </w:rPr>
              <w:t> </w:t>
            </w:r>
            <w:r>
              <w:rPr>
                <w:rFonts w:ascii="Arial" w:hAnsi="Arial"/>
                <w:b/>
                <w:sz w:val="18"/>
              </w:rPr>
              <w:t>de</w:t>
            </w:r>
            <w:r>
              <w:rPr>
                <w:rFonts w:ascii="Arial" w:hAnsi="Arial"/>
                <w:b/>
                <w:spacing w:val="-4"/>
                <w:sz w:val="18"/>
              </w:rPr>
              <w:t> </w:t>
            </w:r>
            <w:r>
              <w:rPr>
                <w:rFonts w:ascii="Arial" w:hAnsi="Arial"/>
                <w:b/>
                <w:spacing w:val="-2"/>
                <w:sz w:val="18"/>
              </w:rPr>
              <w:t>Uniformes</w:t>
            </w:r>
          </w:p>
        </w:tc>
      </w:tr>
    </w:tbl>
    <w:p>
      <w:pPr>
        <w:pStyle w:val="BodyText"/>
        <w:rPr>
          <w:b/>
        </w:rPr>
      </w:pPr>
    </w:p>
    <w:p>
      <w:pPr>
        <w:pStyle w:val="Heading1"/>
        <w:numPr>
          <w:ilvl w:val="0"/>
          <w:numId w:val="2"/>
        </w:numPr>
        <w:tabs>
          <w:tab w:pos="1431" w:val="left" w:leader="none"/>
        </w:tabs>
        <w:spacing w:line="240" w:lineRule="auto" w:before="1" w:after="0"/>
        <w:ind w:left="1431" w:right="0" w:hanging="719"/>
        <w:jc w:val="left"/>
      </w:pPr>
      <w:bookmarkStart w:name="7. Núcleo de Práticas, Qualidade e Segur" w:id="49"/>
      <w:bookmarkEnd w:id="49"/>
      <w:r>
        <w:rPr>
          <w:rFonts w:ascii="Arial" w:hAnsi="Arial"/>
        </w:rPr>
      </w:r>
      <w:bookmarkStart w:name="_bookmark6" w:id="50"/>
      <w:bookmarkEnd w:id="50"/>
      <w:r>
        <w:rPr>
          <w:rFonts w:ascii="Arial" w:hAnsi="Arial"/>
        </w:rPr>
      </w:r>
      <w:r>
        <w:rPr/>
        <w:t>Núcleo</w:t>
      </w:r>
      <w:r>
        <w:rPr>
          <w:spacing w:val="-5"/>
        </w:rPr>
        <w:t> </w:t>
      </w:r>
      <w:r>
        <w:rPr/>
        <w:t>de</w:t>
      </w:r>
      <w:r>
        <w:rPr>
          <w:spacing w:val="-5"/>
        </w:rPr>
        <w:t> </w:t>
      </w:r>
      <w:r>
        <w:rPr/>
        <w:t>Práticas,</w:t>
      </w:r>
      <w:r>
        <w:rPr>
          <w:spacing w:val="-2"/>
        </w:rPr>
        <w:t> </w:t>
      </w:r>
      <w:r>
        <w:rPr/>
        <w:t>Qualidade</w:t>
      </w:r>
      <w:r>
        <w:rPr>
          <w:spacing w:val="-5"/>
        </w:rPr>
        <w:t> </w:t>
      </w:r>
      <w:r>
        <w:rPr/>
        <w:t>e</w:t>
      </w:r>
      <w:r>
        <w:rPr>
          <w:spacing w:val="-2"/>
        </w:rPr>
        <w:t> </w:t>
      </w:r>
      <w:r>
        <w:rPr/>
        <w:t>Segurança</w:t>
      </w:r>
      <w:r>
        <w:rPr>
          <w:spacing w:val="-3"/>
        </w:rPr>
        <w:t> </w:t>
      </w:r>
      <w:r>
        <w:rPr/>
        <w:t>do</w:t>
      </w:r>
      <w:r>
        <w:rPr>
          <w:spacing w:val="-3"/>
        </w:rPr>
        <w:t> </w:t>
      </w:r>
      <w:r>
        <w:rPr>
          <w:spacing w:val="-2"/>
        </w:rPr>
        <w:t>Paciente</w:t>
      </w:r>
    </w:p>
    <w:p>
      <w:pPr>
        <w:pStyle w:val="BodyText"/>
        <w:spacing w:before="1"/>
        <w:rPr>
          <w:b/>
        </w:rPr>
      </w:pPr>
    </w:p>
    <w:p>
      <w:pPr>
        <w:pStyle w:val="BodyText"/>
        <w:spacing w:line="360" w:lineRule="auto" w:before="1"/>
        <w:ind w:left="710" w:right="749" w:firstLine="720"/>
        <w:jc w:val="both"/>
      </w:pPr>
      <w:r>
        <w:rPr/>
        <w:t>O</w:t>
      </w:r>
      <w:r>
        <w:rPr>
          <w:spacing w:val="-6"/>
        </w:rPr>
        <w:t> </w:t>
      </w:r>
      <w:r>
        <w:rPr/>
        <w:t>Núcleo</w:t>
      </w:r>
      <w:r>
        <w:rPr>
          <w:spacing w:val="-3"/>
        </w:rPr>
        <w:t> </w:t>
      </w:r>
      <w:r>
        <w:rPr/>
        <w:t>de</w:t>
      </w:r>
      <w:r>
        <w:rPr>
          <w:spacing w:val="-5"/>
        </w:rPr>
        <w:t> </w:t>
      </w:r>
      <w:r>
        <w:rPr/>
        <w:t>Práticas,</w:t>
      </w:r>
      <w:r>
        <w:rPr>
          <w:spacing w:val="-3"/>
        </w:rPr>
        <w:t> </w:t>
      </w:r>
      <w:r>
        <w:rPr/>
        <w:t>Qualidade</w:t>
      </w:r>
      <w:r>
        <w:rPr>
          <w:spacing w:val="-3"/>
        </w:rPr>
        <w:t> </w:t>
      </w:r>
      <w:r>
        <w:rPr/>
        <w:t>e</w:t>
      </w:r>
      <w:r>
        <w:rPr>
          <w:spacing w:val="-5"/>
        </w:rPr>
        <w:t> </w:t>
      </w:r>
      <w:r>
        <w:rPr/>
        <w:t>Segurança</w:t>
      </w:r>
      <w:r>
        <w:rPr>
          <w:spacing w:val="-3"/>
        </w:rPr>
        <w:t> </w:t>
      </w:r>
      <w:r>
        <w:rPr/>
        <w:t>(NPQS)</w:t>
      </w:r>
      <w:r>
        <w:rPr>
          <w:spacing w:val="-4"/>
        </w:rPr>
        <w:t> </w:t>
      </w:r>
      <w:r>
        <w:rPr/>
        <w:t>tem</w:t>
      </w:r>
      <w:r>
        <w:rPr>
          <w:spacing w:val="-3"/>
        </w:rPr>
        <w:t> </w:t>
      </w:r>
      <w:r>
        <w:rPr/>
        <w:t>como</w:t>
      </w:r>
      <w:r>
        <w:rPr>
          <w:spacing w:val="-4"/>
        </w:rPr>
        <w:t> </w:t>
      </w:r>
      <w:r>
        <w:rPr/>
        <w:t>missão</w:t>
      </w:r>
      <w:r>
        <w:rPr>
          <w:spacing w:val="-3"/>
        </w:rPr>
        <w:t> </w:t>
      </w:r>
      <w:r>
        <w:rPr/>
        <w:t>principal</w:t>
      </w:r>
      <w:r>
        <w:rPr>
          <w:spacing w:val="-3"/>
        </w:rPr>
        <w:t> </w:t>
      </w:r>
      <w:r>
        <w:rPr/>
        <w:t>aprimorar</w:t>
      </w:r>
      <w:r>
        <w:rPr>
          <w:spacing w:val="-3"/>
        </w:rPr>
        <w:t> </w:t>
      </w:r>
      <w:r>
        <w:rPr/>
        <w:t>a excelência assistencial, mediante a padronização de processos, o fortalecimento das boas práticas e a consolidação de uma robusta cultura de segurança. Visando isso, segue abaixo, as ações realizadas</w:t>
      </w:r>
      <w:r>
        <w:rPr>
          <w:spacing w:val="40"/>
        </w:rPr>
        <w:t> </w:t>
      </w:r>
      <w:r>
        <w:rPr/>
        <w:t>no mês de Outubro.</w:t>
      </w:r>
    </w:p>
    <w:p>
      <w:pPr>
        <w:pStyle w:val="Heading1"/>
        <w:numPr>
          <w:ilvl w:val="1"/>
          <w:numId w:val="2"/>
        </w:numPr>
        <w:tabs>
          <w:tab w:pos="1373" w:val="left" w:leader="none"/>
        </w:tabs>
        <w:spacing w:line="240" w:lineRule="auto" w:before="255" w:after="0"/>
        <w:ind w:left="1373" w:right="0" w:hanging="780"/>
        <w:jc w:val="left"/>
      </w:pPr>
      <w:r>
        <w:rPr/>
        <w:t>Ações</w:t>
      </w:r>
      <w:r>
        <w:rPr>
          <w:spacing w:val="-2"/>
        </w:rPr>
        <w:t> </w:t>
      </w:r>
      <w:r>
        <w:rPr/>
        <w:t>e</w:t>
      </w:r>
      <w:r>
        <w:rPr>
          <w:spacing w:val="-2"/>
        </w:rPr>
        <w:t> Treinamentos</w:t>
      </w:r>
    </w:p>
    <w:p>
      <w:pPr>
        <w:pStyle w:val="BodyText"/>
        <w:spacing w:before="100"/>
        <w:rPr>
          <w:b/>
          <w:sz w:val="20"/>
        </w:rPr>
      </w:pPr>
      <w:r>
        <w:rPr>
          <w:b/>
          <w:sz w:val="20"/>
        </w:rPr>
        <w:drawing>
          <wp:anchor distT="0" distB="0" distL="0" distR="0" allowOverlap="1" layoutInCell="1" locked="0" behindDoc="1" simplePos="0" relativeHeight="487594496">
            <wp:simplePos x="0" y="0"/>
            <wp:positionH relativeFrom="page">
              <wp:posOffset>960207</wp:posOffset>
            </wp:positionH>
            <wp:positionV relativeFrom="paragraph">
              <wp:posOffset>236404</wp:posOffset>
            </wp:positionV>
            <wp:extent cx="3149230" cy="2388870"/>
            <wp:effectExtent l="0" t="0" r="0" b="0"/>
            <wp:wrapTopAndBottom/>
            <wp:docPr id="58" name="Image 58" descr="Interface gráfica do usuário, Texto, Aplicativo, chat ou mensagem de texto  O conteúdo gerado por IA pode estar incorreto."/>
            <wp:cNvGraphicFramePr>
              <a:graphicFrameLocks/>
            </wp:cNvGraphicFramePr>
            <a:graphic>
              <a:graphicData uri="http://schemas.openxmlformats.org/drawingml/2006/picture">
                <pic:pic>
                  <pic:nvPicPr>
                    <pic:cNvPr id="58" name="Image 58" descr="Interface gráfica do usuário, Texto, Aplicativo, chat ou mensagem de texto  O conteúdo gerado por IA pode estar incorreto."/>
                    <pic:cNvPicPr/>
                  </pic:nvPicPr>
                  <pic:blipFill>
                    <a:blip r:embed="rId53" cstate="print"/>
                    <a:stretch>
                      <a:fillRect/>
                    </a:stretch>
                  </pic:blipFill>
                  <pic:spPr>
                    <a:xfrm>
                      <a:off x="0" y="0"/>
                      <a:ext cx="3149230" cy="2388870"/>
                    </a:xfrm>
                    <a:prstGeom prst="rect">
                      <a:avLst/>
                    </a:prstGeom>
                  </pic:spPr>
                </pic:pic>
              </a:graphicData>
            </a:graphic>
          </wp:anchor>
        </w:drawing>
      </w:r>
      <w:r>
        <w:rPr>
          <w:b/>
          <w:sz w:val="20"/>
        </w:rPr>
        <w:drawing>
          <wp:anchor distT="0" distB="0" distL="0" distR="0" allowOverlap="1" layoutInCell="1" locked="0" behindDoc="1" simplePos="0" relativeHeight="487595008">
            <wp:simplePos x="0" y="0"/>
            <wp:positionH relativeFrom="page">
              <wp:posOffset>4301636</wp:posOffset>
            </wp:positionH>
            <wp:positionV relativeFrom="paragraph">
              <wp:posOffset>225016</wp:posOffset>
            </wp:positionV>
            <wp:extent cx="3030455" cy="2402967"/>
            <wp:effectExtent l="0" t="0" r="0" b="0"/>
            <wp:wrapTopAndBottom/>
            <wp:docPr id="59" name="Image 59" descr="Interface gráfica do usuário  O conteúdo gerado por IA pode estar incorreto."/>
            <wp:cNvGraphicFramePr>
              <a:graphicFrameLocks/>
            </wp:cNvGraphicFramePr>
            <a:graphic>
              <a:graphicData uri="http://schemas.openxmlformats.org/drawingml/2006/picture">
                <pic:pic>
                  <pic:nvPicPr>
                    <pic:cNvPr id="59" name="Image 59" descr="Interface gráfica do usuário  O conteúdo gerado por IA pode estar incorreto."/>
                    <pic:cNvPicPr/>
                  </pic:nvPicPr>
                  <pic:blipFill>
                    <a:blip r:embed="rId54" cstate="print"/>
                    <a:stretch>
                      <a:fillRect/>
                    </a:stretch>
                  </pic:blipFill>
                  <pic:spPr>
                    <a:xfrm>
                      <a:off x="0" y="0"/>
                      <a:ext cx="3030455" cy="2402967"/>
                    </a:xfrm>
                    <a:prstGeom prst="rect">
                      <a:avLst/>
                    </a:prstGeom>
                  </pic:spPr>
                </pic:pic>
              </a:graphicData>
            </a:graphic>
          </wp:anchor>
        </w:drawing>
      </w:r>
    </w:p>
    <w:p>
      <w:pPr>
        <w:pStyle w:val="BodyText"/>
        <w:spacing w:after="0"/>
        <w:rPr>
          <w:b/>
          <w:sz w:val="20"/>
        </w:rPr>
        <w:sectPr>
          <w:pgSz w:w="11910" w:h="16840"/>
          <w:pgMar w:header="358" w:footer="560" w:top="1580" w:bottom="780" w:left="708"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0"/>
        <w:rPr>
          <w:b/>
          <w:sz w:val="20"/>
        </w:rPr>
      </w:pPr>
    </w:p>
    <w:p>
      <w:pPr>
        <w:tabs>
          <w:tab w:pos="5942" w:val="left" w:leader="none"/>
        </w:tabs>
        <w:spacing w:line="240" w:lineRule="auto"/>
        <w:ind w:left="592" w:right="0" w:firstLine="0"/>
        <w:rPr>
          <w:position w:val="5"/>
          <w:sz w:val="20"/>
        </w:rPr>
      </w:pPr>
      <w:r>
        <w:rPr>
          <w:sz w:val="20"/>
        </w:rPr>
        <w:drawing>
          <wp:inline distT="0" distB="0" distL="0" distR="0">
            <wp:extent cx="3229556" cy="2448305"/>
            <wp:effectExtent l="0" t="0" r="0" b="0"/>
            <wp:docPr id="60" name="Image 60" descr="Grupo de pessoas em pé posando para foto  O conteúdo gerado por IA pode estar incorreto."/>
            <wp:cNvGraphicFramePr>
              <a:graphicFrameLocks/>
            </wp:cNvGraphicFramePr>
            <a:graphic>
              <a:graphicData uri="http://schemas.openxmlformats.org/drawingml/2006/picture">
                <pic:pic>
                  <pic:nvPicPr>
                    <pic:cNvPr id="60" name="Image 60" descr="Grupo de pessoas em pé posando para foto  O conteúdo gerado por IA pode estar incorreto."/>
                    <pic:cNvPicPr/>
                  </pic:nvPicPr>
                  <pic:blipFill>
                    <a:blip r:embed="rId55" cstate="print"/>
                    <a:stretch>
                      <a:fillRect/>
                    </a:stretch>
                  </pic:blipFill>
                  <pic:spPr>
                    <a:xfrm>
                      <a:off x="0" y="0"/>
                      <a:ext cx="3229556" cy="2448305"/>
                    </a:xfrm>
                    <a:prstGeom prst="rect">
                      <a:avLst/>
                    </a:prstGeom>
                  </pic:spPr>
                </pic:pic>
              </a:graphicData>
            </a:graphic>
          </wp:inline>
        </w:drawing>
      </w:r>
      <w:r>
        <w:rPr>
          <w:sz w:val="20"/>
        </w:rPr>
      </w:r>
      <w:r>
        <w:rPr>
          <w:sz w:val="20"/>
        </w:rPr>
        <w:tab/>
      </w:r>
      <w:r>
        <w:rPr>
          <w:position w:val="5"/>
          <w:sz w:val="20"/>
        </w:rPr>
        <w:drawing>
          <wp:inline distT="0" distB="0" distL="0" distR="0">
            <wp:extent cx="3101806" cy="2441829"/>
            <wp:effectExtent l="0" t="0" r="0" b="0"/>
            <wp:docPr id="61" name="Image 61" descr="Grupo de pessoas posando para uma foto  O conteúdo gerado por IA pode estar incorreto."/>
            <wp:cNvGraphicFramePr>
              <a:graphicFrameLocks/>
            </wp:cNvGraphicFramePr>
            <a:graphic>
              <a:graphicData uri="http://schemas.openxmlformats.org/drawingml/2006/picture">
                <pic:pic>
                  <pic:nvPicPr>
                    <pic:cNvPr id="61" name="Image 61" descr="Grupo de pessoas posando para uma foto  O conteúdo gerado por IA pode estar incorreto."/>
                    <pic:cNvPicPr/>
                  </pic:nvPicPr>
                  <pic:blipFill>
                    <a:blip r:embed="rId56" cstate="print"/>
                    <a:stretch>
                      <a:fillRect/>
                    </a:stretch>
                  </pic:blipFill>
                  <pic:spPr>
                    <a:xfrm>
                      <a:off x="0" y="0"/>
                      <a:ext cx="3101806" cy="2441829"/>
                    </a:xfrm>
                    <a:prstGeom prst="rect">
                      <a:avLst/>
                    </a:prstGeom>
                  </pic:spPr>
                </pic:pic>
              </a:graphicData>
            </a:graphic>
          </wp:inline>
        </w:drawing>
      </w:r>
      <w:r>
        <w:rPr>
          <w:position w:val="5"/>
          <w:sz w:val="20"/>
        </w:rPr>
      </w:r>
    </w:p>
    <w:p>
      <w:pPr>
        <w:pStyle w:val="BodyText"/>
        <w:rPr>
          <w:b/>
          <w:sz w:val="20"/>
        </w:rPr>
      </w:pPr>
    </w:p>
    <w:p>
      <w:pPr>
        <w:pStyle w:val="BodyText"/>
        <w:spacing w:before="22"/>
        <w:rPr>
          <w:b/>
          <w:sz w:val="20"/>
        </w:rPr>
      </w:pPr>
      <w:r>
        <w:rPr>
          <w:b/>
          <w:sz w:val="20"/>
        </w:rPr>
        <w:drawing>
          <wp:anchor distT="0" distB="0" distL="0" distR="0" allowOverlap="1" layoutInCell="1" locked="0" behindDoc="1" simplePos="0" relativeHeight="487595520">
            <wp:simplePos x="0" y="0"/>
            <wp:positionH relativeFrom="page">
              <wp:posOffset>1381747</wp:posOffset>
            </wp:positionH>
            <wp:positionV relativeFrom="paragraph">
              <wp:posOffset>175257</wp:posOffset>
            </wp:positionV>
            <wp:extent cx="2867149" cy="3518630"/>
            <wp:effectExtent l="0" t="0" r="0" b="0"/>
            <wp:wrapTopAndBottom/>
            <wp:docPr id="62" name="Image 62" descr="Foto editada de grupo de pessoas posando para foto  O conteúdo gerado por IA pode estar incorreto."/>
            <wp:cNvGraphicFramePr>
              <a:graphicFrameLocks/>
            </wp:cNvGraphicFramePr>
            <a:graphic>
              <a:graphicData uri="http://schemas.openxmlformats.org/drawingml/2006/picture">
                <pic:pic>
                  <pic:nvPicPr>
                    <pic:cNvPr id="62" name="Image 62" descr="Foto editada de grupo de pessoas posando para foto  O conteúdo gerado por IA pode estar incorreto."/>
                    <pic:cNvPicPr/>
                  </pic:nvPicPr>
                  <pic:blipFill>
                    <a:blip r:embed="rId57" cstate="print"/>
                    <a:stretch>
                      <a:fillRect/>
                    </a:stretch>
                  </pic:blipFill>
                  <pic:spPr>
                    <a:xfrm>
                      <a:off x="0" y="0"/>
                      <a:ext cx="2867149" cy="3518630"/>
                    </a:xfrm>
                    <a:prstGeom prst="rect">
                      <a:avLst/>
                    </a:prstGeom>
                  </pic:spPr>
                </pic:pic>
              </a:graphicData>
            </a:graphic>
          </wp:anchor>
        </w:drawing>
      </w:r>
      <w:r>
        <w:rPr>
          <w:b/>
          <w:sz w:val="20"/>
        </w:rPr>
        <w:drawing>
          <wp:anchor distT="0" distB="0" distL="0" distR="0" allowOverlap="1" layoutInCell="1" locked="0" behindDoc="1" simplePos="0" relativeHeight="487596032">
            <wp:simplePos x="0" y="0"/>
            <wp:positionH relativeFrom="page">
              <wp:posOffset>4489891</wp:posOffset>
            </wp:positionH>
            <wp:positionV relativeFrom="paragraph">
              <wp:posOffset>190077</wp:posOffset>
            </wp:positionV>
            <wp:extent cx="2591845" cy="3529107"/>
            <wp:effectExtent l="0" t="0" r="0" b="0"/>
            <wp:wrapTopAndBottom/>
            <wp:docPr id="63" name="Image 63" descr="Foto de pessoas  O conteúdo gerado por IA pode estar incorreto."/>
            <wp:cNvGraphicFramePr>
              <a:graphicFrameLocks/>
            </wp:cNvGraphicFramePr>
            <a:graphic>
              <a:graphicData uri="http://schemas.openxmlformats.org/drawingml/2006/picture">
                <pic:pic>
                  <pic:nvPicPr>
                    <pic:cNvPr id="63" name="Image 63" descr="Foto de pessoas  O conteúdo gerado por IA pode estar incorreto."/>
                    <pic:cNvPicPr/>
                  </pic:nvPicPr>
                  <pic:blipFill>
                    <a:blip r:embed="rId58" cstate="print"/>
                    <a:stretch>
                      <a:fillRect/>
                    </a:stretch>
                  </pic:blipFill>
                  <pic:spPr>
                    <a:xfrm>
                      <a:off x="0" y="0"/>
                      <a:ext cx="2591845" cy="3529107"/>
                    </a:xfrm>
                    <a:prstGeom prst="rect">
                      <a:avLst/>
                    </a:prstGeom>
                  </pic:spPr>
                </pic:pic>
              </a:graphicData>
            </a:graphic>
          </wp:anchor>
        </w:drawing>
      </w:r>
    </w:p>
    <w:p>
      <w:pPr>
        <w:pStyle w:val="BodyText"/>
        <w:spacing w:after="0"/>
        <w:rPr>
          <w:b/>
          <w:sz w:val="20"/>
        </w:rPr>
        <w:sectPr>
          <w:pgSz w:w="11910" w:h="16840"/>
          <w:pgMar w:header="358" w:footer="560" w:top="1580" w:bottom="780" w:left="708" w:right="0"/>
        </w:sectPr>
      </w:pPr>
    </w:p>
    <w:p>
      <w:pPr>
        <w:pStyle w:val="BodyText"/>
        <w:rPr>
          <w:b/>
          <w:sz w:val="20"/>
        </w:rPr>
      </w:pPr>
      <w:r>
        <w:rPr>
          <w:b/>
          <w:sz w:val="20"/>
        </w:rPr>
        <w:drawing>
          <wp:anchor distT="0" distB="0" distL="0" distR="0" allowOverlap="1" layoutInCell="1" locked="0" behindDoc="0" simplePos="0" relativeHeight="15737344">
            <wp:simplePos x="0" y="0"/>
            <wp:positionH relativeFrom="page">
              <wp:posOffset>988060</wp:posOffset>
            </wp:positionH>
            <wp:positionV relativeFrom="page">
              <wp:posOffset>1908819</wp:posOffset>
            </wp:positionV>
            <wp:extent cx="6572237" cy="2523490"/>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59" cstate="print"/>
                    <a:stretch>
                      <a:fillRect/>
                    </a:stretch>
                  </pic:blipFill>
                  <pic:spPr>
                    <a:xfrm>
                      <a:off x="0" y="0"/>
                      <a:ext cx="6572237" cy="2523490"/>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3"/>
        <w:rPr>
          <w:b/>
          <w:sz w:val="20"/>
        </w:rPr>
      </w:pPr>
    </w:p>
    <w:p>
      <w:pPr>
        <w:pStyle w:val="BodyText"/>
        <w:ind w:left="2580"/>
        <w:rPr>
          <w:sz w:val="20"/>
        </w:rPr>
      </w:pPr>
      <w:r>
        <w:rPr>
          <w:sz w:val="20"/>
        </w:rPr>
        <w:drawing>
          <wp:inline distT="0" distB="0" distL="0" distR="0">
            <wp:extent cx="4054897" cy="3461766"/>
            <wp:effectExtent l="0" t="0" r="0" b="0"/>
            <wp:docPr id="65" name="Image 65" descr="Tela de celular com foto de pessoas  O conteúdo gerado por IA pode estar incorreto."/>
            <wp:cNvGraphicFramePr>
              <a:graphicFrameLocks/>
            </wp:cNvGraphicFramePr>
            <a:graphic>
              <a:graphicData uri="http://schemas.openxmlformats.org/drawingml/2006/picture">
                <pic:pic>
                  <pic:nvPicPr>
                    <pic:cNvPr id="65" name="Image 65" descr="Tela de celular com foto de pessoas  O conteúdo gerado por IA pode estar incorreto."/>
                    <pic:cNvPicPr/>
                  </pic:nvPicPr>
                  <pic:blipFill>
                    <a:blip r:embed="rId60" cstate="print"/>
                    <a:stretch>
                      <a:fillRect/>
                    </a:stretch>
                  </pic:blipFill>
                  <pic:spPr>
                    <a:xfrm>
                      <a:off x="0" y="0"/>
                      <a:ext cx="4054897" cy="3461766"/>
                    </a:xfrm>
                    <a:prstGeom prst="rect">
                      <a:avLst/>
                    </a:prstGeom>
                  </pic:spPr>
                </pic:pic>
              </a:graphicData>
            </a:graphic>
          </wp:inline>
        </w:drawing>
      </w:r>
      <w:r>
        <w:rPr>
          <w:sz w:val="20"/>
        </w:rPr>
      </w:r>
    </w:p>
    <w:p>
      <w:pPr>
        <w:pStyle w:val="BodyText"/>
        <w:spacing w:after="0"/>
        <w:rPr>
          <w:sz w:val="20"/>
        </w:rPr>
        <w:sectPr>
          <w:pgSz w:w="11910" w:h="16840"/>
          <w:pgMar w:header="358" w:footer="560" w:top="1580" w:bottom="780" w:left="708" w:right="0"/>
        </w:sectPr>
      </w:pPr>
    </w:p>
    <w:p>
      <w:pPr>
        <w:pStyle w:val="BodyText"/>
        <w:rPr>
          <w:b/>
          <w:sz w:val="20"/>
        </w:rPr>
      </w:pPr>
      <w:r>
        <w:rPr>
          <w:b/>
          <w:sz w:val="20"/>
        </w:rPr>
        <w:drawing>
          <wp:anchor distT="0" distB="0" distL="0" distR="0" allowOverlap="1" layoutInCell="1" locked="0" behindDoc="0" simplePos="0" relativeHeight="15738368">
            <wp:simplePos x="0" y="0"/>
            <wp:positionH relativeFrom="page">
              <wp:posOffset>1670050</wp:posOffset>
            </wp:positionH>
            <wp:positionV relativeFrom="page">
              <wp:posOffset>8256279</wp:posOffset>
            </wp:positionV>
            <wp:extent cx="4575810" cy="2338704"/>
            <wp:effectExtent l="0" t="0" r="0" b="0"/>
            <wp:wrapNone/>
            <wp:docPr id="66" name="Image 66" descr="Foto editada de grupo de pessoas posando para foto  O conteúdo gerado por IA pode estar incorreto."/>
            <wp:cNvGraphicFramePr>
              <a:graphicFrameLocks/>
            </wp:cNvGraphicFramePr>
            <a:graphic>
              <a:graphicData uri="http://schemas.openxmlformats.org/drawingml/2006/picture">
                <pic:pic>
                  <pic:nvPicPr>
                    <pic:cNvPr id="66" name="Image 66" descr="Foto editada de grupo de pessoas posando para foto  O conteúdo gerado por IA pode estar incorreto."/>
                    <pic:cNvPicPr/>
                  </pic:nvPicPr>
                  <pic:blipFill>
                    <a:blip r:embed="rId61" cstate="print"/>
                    <a:stretch>
                      <a:fillRect/>
                    </a:stretch>
                  </pic:blipFill>
                  <pic:spPr>
                    <a:xfrm>
                      <a:off x="0" y="0"/>
                      <a:ext cx="4575810" cy="2338704"/>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0"/>
        </w:rPr>
      </w:pPr>
    </w:p>
    <w:p>
      <w:pPr>
        <w:pStyle w:val="BodyText"/>
        <w:ind w:left="2792"/>
        <w:rPr>
          <w:sz w:val="20"/>
        </w:rPr>
      </w:pPr>
      <w:r>
        <w:rPr>
          <w:sz w:val="20"/>
        </w:rPr>
        <w:drawing>
          <wp:inline distT="0" distB="0" distL="0" distR="0">
            <wp:extent cx="3476600" cy="3495675"/>
            <wp:effectExtent l="0" t="0" r="0" b="0"/>
            <wp:docPr id="67" name="Image 67" descr="Foto de pessoas  O conteúdo gerado por IA pode estar incorreto."/>
            <wp:cNvGraphicFramePr>
              <a:graphicFrameLocks/>
            </wp:cNvGraphicFramePr>
            <a:graphic>
              <a:graphicData uri="http://schemas.openxmlformats.org/drawingml/2006/picture">
                <pic:pic>
                  <pic:nvPicPr>
                    <pic:cNvPr id="67" name="Image 67" descr="Foto de pessoas  O conteúdo gerado por IA pode estar incorreto."/>
                    <pic:cNvPicPr/>
                  </pic:nvPicPr>
                  <pic:blipFill>
                    <a:blip r:embed="rId62" cstate="print"/>
                    <a:stretch>
                      <a:fillRect/>
                    </a:stretch>
                  </pic:blipFill>
                  <pic:spPr>
                    <a:xfrm>
                      <a:off x="0" y="0"/>
                      <a:ext cx="3476600" cy="3495675"/>
                    </a:xfrm>
                    <a:prstGeom prst="rect">
                      <a:avLst/>
                    </a:prstGeom>
                  </pic:spPr>
                </pic:pic>
              </a:graphicData>
            </a:graphic>
          </wp:inline>
        </w:drawing>
      </w:r>
      <w:r>
        <w:rPr>
          <w:sz w:val="20"/>
        </w:rPr>
      </w:r>
    </w:p>
    <w:p>
      <w:pPr>
        <w:pStyle w:val="BodyText"/>
        <w:spacing w:before="62"/>
        <w:rPr>
          <w:b/>
          <w:sz w:val="20"/>
        </w:rPr>
      </w:pPr>
      <w:r>
        <w:rPr>
          <w:b/>
          <w:sz w:val="20"/>
        </w:rPr>
        <w:drawing>
          <wp:anchor distT="0" distB="0" distL="0" distR="0" allowOverlap="1" layoutInCell="1" locked="0" behindDoc="1" simplePos="0" relativeHeight="487597056">
            <wp:simplePos x="0" y="0"/>
            <wp:positionH relativeFrom="page">
              <wp:posOffset>1609089</wp:posOffset>
            </wp:positionH>
            <wp:positionV relativeFrom="paragraph">
              <wp:posOffset>201144</wp:posOffset>
            </wp:positionV>
            <wp:extent cx="4635469" cy="2219801"/>
            <wp:effectExtent l="0" t="0" r="0" b="0"/>
            <wp:wrapTopAndBottom/>
            <wp:docPr id="68" name="Image 68" descr="Pessoas na frente de computador  O conteúdo gerado por IA pode estar incorreto."/>
            <wp:cNvGraphicFramePr>
              <a:graphicFrameLocks/>
            </wp:cNvGraphicFramePr>
            <a:graphic>
              <a:graphicData uri="http://schemas.openxmlformats.org/drawingml/2006/picture">
                <pic:pic>
                  <pic:nvPicPr>
                    <pic:cNvPr id="68" name="Image 68" descr="Pessoas na frente de computador  O conteúdo gerado por IA pode estar incorreto."/>
                    <pic:cNvPicPr/>
                  </pic:nvPicPr>
                  <pic:blipFill>
                    <a:blip r:embed="rId63" cstate="print"/>
                    <a:stretch>
                      <a:fillRect/>
                    </a:stretch>
                  </pic:blipFill>
                  <pic:spPr>
                    <a:xfrm>
                      <a:off x="0" y="0"/>
                      <a:ext cx="4635469" cy="2219801"/>
                    </a:xfrm>
                    <a:prstGeom prst="rect">
                      <a:avLst/>
                    </a:prstGeom>
                  </pic:spPr>
                </pic:pic>
              </a:graphicData>
            </a:graphic>
          </wp:anchor>
        </w:drawing>
      </w:r>
    </w:p>
    <w:p>
      <w:pPr>
        <w:pStyle w:val="BodyText"/>
        <w:spacing w:after="0"/>
        <w:rPr>
          <w:b/>
          <w:sz w:val="20"/>
        </w:rPr>
        <w:sectPr>
          <w:pgSz w:w="11910" w:h="16840"/>
          <w:pgMar w:header="358" w:footer="560" w:top="1580" w:bottom="780" w:left="708" w:right="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0"/>
        <w:rPr>
          <w:b/>
        </w:rPr>
      </w:pPr>
    </w:p>
    <w:p>
      <w:pPr>
        <w:pStyle w:val="ListParagraph"/>
        <w:numPr>
          <w:ilvl w:val="0"/>
          <w:numId w:val="2"/>
        </w:numPr>
        <w:tabs>
          <w:tab w:pos="1431" w:val="left" w:leader="none"/>
        </w:tabs>
        <w:spacing w:line="240" w:lineRule="auto" w:before="0" w:after="0"/>
        <w:ind w:left="1431" w:right="0" w:hanging="719"/>
        <w:jc w:val="left"/>
        <w:rPr>
          <w:b/>
          <w:sz w:val="24"/>
        </w:rPr>
      </w:pPr>
      <w:bookmarkStart w:name="_bookmark8" w:id="51"/>
      <w:bookmarkEnd w:id="51"/>
      <w:r>
        <w:rPr/>
      </w:r>
      <w:bookmarkStart w:name="8. Ensino Corporativo" w:id="52"/>
      <w:bookmarkEnd w:id="52"/>
      <w:r>
        <w:rPr>
          <w:rFonts w:ascii="Arial"/>
          <w:b/>
          <w:sz w:val="24"/>
        </w:rPr>
      </w:r>
      <w:r>
        <w:rPr>
          <w:b/>
          <w:sz w:val="24"/>
        </w:rPr>
        <w:t>Ensino</w:t>
      </w:r>
      <w:r>
        <w:rPr>
          <w:b/>
          <w:spacing w:val="-6"/>
          <w:sz w:val="24"/>
        </w:rPr>
        <w:t> </w:t>
      </w:r>
      <w:r>
        <w:rPr>
          <w:b/>
          <w:spacing w:val="-2"/>
          <w:sz w:val="24"/>
        </w:rPr>
        <w:t>Corporativo</w:t>
      </w:r>
    </w:p>
    <w:p>
      <w:pPr>
        <w:pStyle w:val="BodyText"/>
        <w:spacing w:before="245"/>
        <w:rPr>
          <w:b/>
        </w:rPr>
      </w:pPr>
    </w:p>
    <w:p>
      <w:pPr>
        <w:pStyle w:val="BodyText"/>
        <w:spacing w:line="276" w:lineRule="auto"/>
        <w:ind w:left="593" w:right="748" w:firstLine="720"/>
        <w:jc w:val="both"/>
        <w:rPr>
          <w:rFonts w:ascii="Calibri" w:hAnsi="Calibri"/>
        </w:rPr>
      </w:pPr>
      <w:r>
        <w:rPr>
          <w:rFonts w:ascii="Calibri" w:hAnsi="Calibri"/>
        </w:rPr>
        <w:t>A Educação Corporativa, tem por objetivo oferecer treinamento e capacitação aos profissionais</w:t>
      </w:r>
      <w:r>
        <w:rPr>
          <w:rFonts w:ascii="Calibri" w:hAnsi="Calibri"/>
          <w:spacing w:val="-1"/>
        </w:rPr>
        <w:t> </w:t>
      </w:r>
      <w:r>
        <w:rPr>
          <w:rFonts w:ascii="Calibri" w:hAnsi="Calibri"/>
        </w:rPr>
        <w:t>de</w:t>
      </w:r>
      <w:r>
        <w:rPr>
          <w:rFonts w:ascii="Calibri" w:hAnsi="Calibri"/>
          <w:spacing w:val="-1"/>
        </w:rPr>
        <w:t> </w:t>
      </w:r>
      <w:r>
        <w:rPr>
          <w:rFonts w:ascii="Calibri" w:hAnsi="Calibri"/>
        </w:rPr>
        <w:t>saúde,</w:t>
      </w:r>
      <w:r>
        <w:rPr>
          <w:rFonts w:ascii="Calibri" w:hAnsi="Calibri"/>
          <w:spacing w:val="-1"/>
        </w:rPr>
        <w:t> </w:t>
      </w:r>
      <w:r>
        <w:rPr>
          <w:rFonts w:ascii="Calibri" w:hAnsi="Calibri"/>
        </w:rPr>
        <w:t>através</w:t>
      </w:r>
      <w:r>
        <w:rPr>
          <w:rFonts w:ascii="Calibri" w:hAnsi="Calibri"/>
          <w:spacing w:val="-1"/>
        </w:rPr>
        <w:t> </w:t>
      </w:r>
      <w:r>
        <w:rPr>
          <w:rFonts w:ascii="Calibri" w:hAnsi="Calibri"/>
        </w:rPr>
        <w:t>de</w:t>
      </w:r>
      <w:r>
        <w:rPr>
          <w:rFonts w:ascii="Calibri" w:hAnsi="Calibri"/>
          <w:spacing w:val="-1"/>
        </w:rPr>
        <w:t> </w:t>
      </w:r>
      <w:r>
        <w:rPr>
          <w:rFonts w:ascii="Calibri" w:hAnsi="Calibri"/>
        </w:rPr>
        <w:t>metodologias online,</w:t>
      </w:r>
      <w:r>
        <w:rPr>
          <w:rFonts w:ascii="Calibri" w:hAnsi="Calibri"/>
          <w:spacing w:val="-1"/>
        </w:rPr>
        <w:t> </w:t>
      </w:r>
      <w:r>
        <w:rPr>
          <w:rFonts w:ascii="Calibri" w:hAnsi="Calibri"/>
        </w:rPr>
        <w:t>presencial e</w:t>
      </w:r>
      <w:r>
        <w:rPr>
          <w:rFonts w:ascii="Calibri" w:hAnsi="Calibri"/>
          <w:spacing w:val="-3"/>
        </w:rPr>
        <w:t> </w:t>
      </w:r>
      <w:r>
        <w:rPr>
          <w:rFonts w:ascii="Calibri" w:hAnsi="Calibri"/>
        </w:rPr>
        <w:t>híbrida,</w:t>
      </w:r>
      <w:r>
        <w:rPr>
          <w:rFonts w:ascii="Calibri" w:hAnsi="Calibri"/>
          <w:spacing w:val="-1"/>
        </w:rPr>
        <w:t> </w:t>
      </w:r>
      <w:r>
        <w:rPr>
          <w:rFonts w:ascii="Calibri" w:hAnsi="Calibri"/>
        </w:rPr>
        <w:t>para o</w:t>
      </w:r>
      <w:r>
        <w:rPr>
          <w:rFonts w:ascii="Calibri" w:hAnsi="Calibri"/>
          <w:spacing w:val="-2"/>
        </w:rPr>
        <w:t> </w:t>
      </w:r>
      <w:r>
        <w:rPr>
          <w:rFonts w:ascii="Calibri" w:hAnsi="Calibri"/>
        </w:rPr>
        <w:t>desenvolvimento de competências, com o uso de estratégias educacionais que buscam favorecer uma assistência segura, efetiva e acolhedora aos pacientes em cenários reais e desafiadores. Pautada em competências e indicadores, tem por objetivo promover uma aprendizagem significativa e contínua de</w:t>
      </w:r>
      <w:r>
        <w:rPr>
          <w:rFonts w:ascii="Calibri" w:hAnsi="Calibri"/>
          <w:spacing w:val="-1"/>
        </w:rPr>
        <w:t> </w:t>
      </w:r>
      <w:r>
        <w:rPr>
          <w:rFonts w:ascii="Calibri" w:hAnsi="Calibri"/>
        </w:rPr>
        <w:t>seus</w:t>
      </w:r>
      <w:r>
        <w:rPr>
          <w:rFonts w:ascii="Calibri" w:hAnsi="Calibri"/>
          <w:spacing w:val="-1"/>
        </w:rPr>
        <w:t> </w:t>
      </w:r>
      <w:r>
        <w:rPr>
          <w:rFonts w:ascii="Calibri" w:hAnsi="Calibri"/>
        </w:rPr>
        <w:t>profissionais, vinculado aos objetivos e</w:t>
      </w:r>
      <w:r>
        <w:rPr>
          <w:rFonts w:ascii="Calibri" w:hAnsi="Calibri"/>
          <w:spacing w:val="-1"/>
        </w:rPr>
        <w:t> </w:t>
      </w:r>
      <w:r>
        <w:rPr>
          <w:rFonts w:ascii="Calibri" w:hAnsi="Calibri"/>
        </w:rPr>
        <w:t>metas da organização, contribuindo para qualidade e segurança da assistência.</w:t>
      </w:r>
    </w:p>
    <w:p>
      <w:pPr>
        <w:spacing w:before="230"/>
        <w:ind w:left="710" w:right="0" w:firstLine="0"/>
        <w:jc w:val="left"/>
        <w:rPr>
          <w:b/>
          <w:sz w:val="24"/>
        </w:rPr>
      </w:pPr>
      <w:bookmarkStart w:name="Treinamentos admissionais de enfermagem," w:id="53"/>
      <w:bookmarkEnd w:id="53"/>
      <w:r>
        <w:rPr/>
      </w:r>
      <w:r>
        <w:rPr>
          <w:b/>
          <w:sz w:val="24"/>
        </w:rPr>
        <w:t>Treinamentos</w:t>
      </w:r>
      <w:r>
        <w:rPr>
          <w:b/>
          <w:spacing w:val="-9"/>
          <w:sz w:val="24"/>
        </w:rPr>
        <w:t> </w:t>
      </w:r>
      <w:r>
        <w:rPr>
          <w:b/>
          <w:sz w:val="24"/>
        </w:rPr>
        <w:t>admissionais</w:t>
      </w:r>
      <w:r>
        <w:rPr>
          <w:b/>
          <w:spacing w:val="-4"/>
          <w:sz w:val="24"/>
        </w:rPr>
        <w:t> </w:t>
      </w:r>
      <w:r>
        <w:rPr>
          <w:b/>
          <w:sz w:val="24"/>
        </w:rPr>
        <w:t>de</w:t>
      </w:r>
      <w:r>
        <w:rPr>
          <w:b/>
          <w:spacing w:val="-7"/>
          <w:sz w:val="24"/>
        </w:rPr>
        <w:t> </w:t>
      </w:r>
      <w:r>
        <w:rPr>
          <w:b/>
          <w:sz w:val="24"/>
        </w:rPr>
        <w:t>enfermagem,</w:t>
      </w:r>
      <w:r>
        <w:rPr>
          <w:b/>
          <w:spacing w:val="-6"/>
          <w:sz w:val="24"/>
        </w:rPr>
        <w:t> </w:t>
      </w:r>
      <w:r>
        <w:rPr>
          <w:b/>
          <w:sz w:val="24"/>
        </w:rPr>
        <w:t>multiprofissional</w:t>
      </w:r>
      <w:r>
        <w:rPr>
          <w:b/>
          <w:spacing w:val="-5"/>
          <w:sz w:val="24"/>
        </w:rPr>
        <w:t> </w:t>
      </w:r>
      <w:r>
        <w:rPr>
          <w:b/>
          <w:sz w:val="24"/>
        </w:rPr>
        <w:t>e</w:t>
      </w:r>
      <w:r>
        <w:rPr>
          <w:b/>
          <w:spacing w:val="-7"/>
          <w:sz w:val="24"/>
        </w:rPr>
        <w:t> </w:t>
      </w:r>
      <w:r>
        <w:rPr>
          <w:b/>
          <w:spacing w:val="-2"/>
          <w:sz w:val="24"/>
        </w:rPr>
        <w:t>atendimento.</w:t>
      </w:r>
    </w:p>
    <w:p>
      <w:pPr>
        <w:spacing w:line="240" w:lineRule="auto"/>
        <w:ind w:left="691" w:right="0" w:firstLine="0"/>
        <w:jc w:val="left"/>
        <w:rPr>
          <w:position w:val="2"/>
          <w:sz w:val="20"/>
        </w:rPr>
      </w:pPr>
      <w:r>
        <w:rPr>
          <w:sz w:val="20"/>
        </w:rPr>
        <mc:AlternateContent>
          <mc:Choice Requires="wps">
            <w:drawing>
              <wp:inline distT="0" distB="0" distL="0" distR="0">
                <wp:extent cx="2340610" cy="1831339"/>
                <wp:effectExtent l="0" t="0" r="0" b="6985"/>
                <wp:docPr id="69" name="Group 69"/>
                <wp:cNvGraphicFramePr>
                  <a:graphicFrameLocks/>
                </wp:cNvGraphicFramePr>
                <a:graphic>
                  <a:graphicData uri="http://schemas.microsoft.com/office/word/2010/wordprocessingGroup">
                    <wpg:wgp>
                      <wpg:cNvPr id="69" name="Group 69"/>
                      <wpg:cNvGrpSpPr/>
                      <wpg:grpSpPr>
                        <a:xfrm>
                          <a:off x="0" y="0"/>
                          <a:ext cx="2340610" cy="1831339"/>
                          <a:chExt cx="2340610" cy="1831339"/>
                        </a:xfrm>
                      </wpg:grpSpPr>
                      <pic:pic>
                        <pic:nvPicPr>
                          <pic:cNvPr id="70" name="Image 70"/>
                          <pic:cNvPicPr/>
                        </pic:nvPicPr>
                        <pic:blipFill>
                          <a:blip r:embed="rId64" cstate="print"/>
                          <a:stretch>
                            <a:fillRect/>
                          </a:stretch>
                        </pic:blipFill>
                        <pic:spPr>
                          <a:xfrm>
                            <a:off x="0" y="0"/>
                            <a:ext cx="2340610" cy="1830717"/>
                          </a:xfrm>
                          <a:prstGeom prst="rect">
                            <a:avLst/>
                          </a:prstGeom>
                        </pic:spPr>
                      </pic:pic>
                      <pic:pic>
                        <pic:nvPicPr>
                          <pic:cNvPr id="71" name="Image 71"/>
                          <pic:cNvPicPr/>
                        </pic:nvPicPr>
                        <pic:blipFill>
                          <a:blip r:embed="rId65" cstate="print"/>
                          <a:stretch>
                            <a:fillRect/>
                          </a:stretch>
                        </pic:blipFill>
                        <pic:spPr>
                          <a:xfrm>
                            <a:off x="144145" y="125742"/>
                            <a:ext cx="2051685" cy="1543049"/>
                          </a:xfrm>
                          <a:prstGeom prst="rect">
                            <a:avLst/>
                          </a:prstGeom>
                        </pic:spPr>
                      </pic:pic>
                      <wps:wsp>
                        <wps:cNvPr id="72" name="Graphic 72"/>
                        <wps:cNvSpPr/>
                        <wps:spPr>
                          <a:xfrm>
                            <a:off x="99694" y="81927"/>
                            <a:ext cx="2140585" cy="1631314"/>
                          </a:xfrm>
                          <a:custGeom>
                            <a:avLst/>
                            <a:gdLst/>
                            <a:ahLst/>
                            <a:cxnLst/>
                            <a:rect l="l" t="t" r="r" b="b"/>
                            <a:pathLst>
                              <a:path w="2140585" h="1631314">
                                <a:moveTo>
                                  <a:pt x="0" y="0"/>
                                </a:moveTo>
                                <a:lnTo>
                                  <a:pt x="2140585" y="0"/>
                                </a:lnTo>
                                <a:lnTo>
                                  <a:pt x="2140585" y="1631314"/>
                                </a:lnTo>
                                <a:lnTo>
                                  <a:pt x="0" y="1631314"/>
                                </a:lnTo>
                                <a:lnTo>
                                  <a:pt x="0" y="0"/>
                                </a:lnTo>
                                <a:close/>
                              </a:path>
                            </a:pathLst>
                          </a:custGeom>
                          <a:ln w="889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style="width:184.3pt;height:144.2pt;mso-position-horizontal-relative:char;mso-position-vertical-relative:line" id="docshapegroup23" coordorigin="0,0" coordsize="3686,2884">
                <v:shape style="position:absolute;left:0;top:0;width:3686;height:2884" type="#_x0000_t75" id="docshape24" stroked="false">
                  <v:imagedata r:id="rId64" o:title=""/>
                </v:shape>
                <v:shape style="position:absolute;left:227;top:198;width:3231;height:2430" type="#_x0000_t75" id="docshape25" stroked="false">
                  <v:imagedata r:id="rId65" o:title=""/>
                </v:shape>
                <v:rect style="position:absolute;left:157;top:129;width:3371;height:2569" id="docshape26" filled="false" stroked="true" strokeweight="7pt" strokecolor="#ffffff">
                  <v:stroke dashstyle="solid"/>
                </v:rect>
              </v:group>
            </w:pict>
          </mc:Fallback>
        </mc:AlternateContent>
      </w:r>
      <w:r>
        <w:rPr>
          <w:sz w:val="20"/>
        </w:rPr>
      </w:r>
      <w:r>
        <w:rPr>
          <w:spacing w:val="24"/>
          <w:sz w:val="20"/>
        </w:rPr>
        <w:t> </w:t>
      </w:r>
      <w:r>
        <w:rPr>
          <w:spacing w:val="24"/>
          <w:position w:val="2"/>
          <w:sz w:val="20"/>
        </w:rPr>
        <mc:AlternateContent>
          <mc:Choice Requires="wps">
            <w:drawing>
              <wp:inline distT="0" distB="0" distL="0" distR="0">
                <wp:extent cx="3672204" cy="2202180"/>
                <wp:effectExtent l="0" t="0" r="0" b="7619"/>
                <wp:docPr id="73" name="Group 73"/>
                <wp:cNvGraphicFramePr>
                  <a:graphicFrameLocks/>
                </wp:cNvGraphicFramePr>
                <a:graphic>
                  <a:graphicData uri="http://schemas.microsoft.com/office/word/2010/wordprocessingGroup">
                    <wpg:wgp>
                      <wpg:cNvPr id="73" name="Group 73"/>
                      <wpg:cNvGrpSpPr/>
                      <wpg:grpSpPr>
                        <a:xfrm>
                          <a:off x="0" y="0"/>
                          <a:ext cx="3672204" cy="2202180"/>
                          <a:chExt cx="3672204" cy="2202180"/>
                        </a:xfrm>
                      </wpg:grpSpPr>
                      <pic:pic>
                        <pic:nvPicPr>
                          <pic:cNvPr id="74" name="Image 74"/>
                          <pic:cNvPicPr/>
                        </pic:nvPicPr>
                        <pic:blipFill>
                          <a:blip r:embed="rId66" cstate="print"/>
                          <a:stretch>
                            <a:fillRect/>
                          </a:stretch>
                        </pic:blipFill>
                        <pic:spPr>
                          <a:xfrm>
                            <a:off x="0" y="0"/>
                            <a:ext cx="1729104" cy="2201557"/>
                          </a:xfrm>
                          <a:prstGeom prst="rect">
                            <a:avLst/>
                          </a:prstGeom>
                        </pic:spPr>
                      </pic:pic>
                      <pic:pic>
                        <pic:nvPicPr>
                          <pic:cNvPr id="75" name="Image 75"/>
                          <pic:cNvPicPr/>
                        </pic:nvPicPr>
                        <pic:blipFill>
                          <a:blip r:embed="rId67" cstate="print"/>
                          <a:stretch>
                            <a:fillRect/>
                          </a:stretch>
                        </pic:blipFill>
                        <pic:spPr>
                          <a:xfrm>
                            <a:off x="144145" y="125742"/>
                            <a:ext cx="1440179" cy="1913255"/>
                          </a:xfrm>
                          <a:prstGeom prst="rect">
                            <a:avLst/>
                          </a:prstGeom>
                        </pic:spPr>
                      </pic:pic>
                      <wps:wsp>
                        <wps:cNvPr id="76" name="Graphic 76"/>
                        <wps:cNvSpPr/>
                        <wps:spPr>
                          <a:xfrm>
                            <a:off x="99694" y="81927"/>
                            <a:ext cx="1529080" cy="2002155"/>
                          </a:xfrm>
                          <a:custGeom>
                            <a:avLst/>
                            <a:gdLst/>
                            <a:ahLst/>
                            <a:cxnLst/>
                            <a:rect l="l" t="t" r="r" b="b"/>
                            <a:pathLst>
                              <a:path w="1529080" h="2002155">
                                <a:moveTo>
                                  <a:pt x="0" y="0"/>
                                </a:moveTo>
                                <a:lnTo>
                                  <a:pt x="1529079" y="0"/>
                                </a:lnTo>
                                <a:lnTo>
                                  <a:pt x="1529079" y="2002155"/>
                                </a:lnTo>
                                <a:lnTo>
                                  <a:pt x="0" y="2002155"/>
                                </a:lnTo>
                                <a:lnTo>
                                  <a:pt x="0" y="0"/>
                                </a:lnTo>
                                <a:close/>
                              </a:path>
                            </a:pathLst>
                          </a:custGeom>
                          <a:ln w="88900">
                            <a:solidFill>
                              <a:srgbClr val="FFFFFF"/>
                            </a:solidFill>
                            <a:prstDash val="solid"/>
                          </a:ln>
                        </wps:spPr>
                        <wps:bodyPr wrap="square" lIns="0" tIns="0" rIns="0" bIns="0" rtlCol="0">
                          <a:prstTxWarp prst="textNoShape">
                            <a:avLst/>
                          </a:prstTxWarp>
                          <a:noAutofit/>
                        </wps:bodyPr>
                      </wps:wsp>
                      <pic:pic>
                        <pic:nvPicPr>
                          <pic:cNvPr id="77" name="Image 77"/>
                          <pic:cNvPicPr/>
                        </pic:nvPicPr>
                        <pic:blipFill>
                          <a:blip r:embed="rId68" cstate="print"/>
                          <a:stretch>
                            <a:fillRect/>
                          </a:stretch>
                        </pic:blipFill>
                        <pic:spPr>
                          <a:xfrm>
                            <a:off x="1403350" y="104139"/>
                            <a:ext cx="2268854" cy="2092337"/>
                          </a:xfrm>
                          <a:prstGeom prst="rect">
                            <a:avLst/>
                          </a:prstGeom>
                        </pic:spPr>
                      </pic:pic>
                      <pic:pic>
                        <pic:nvPicPr>
                          <pic:cNvPr id="78" name="Image 78"/>
                          <pic:cNvPicPr/>
                        </pic:nvPicPr>
                        <pic:blipFill>
                          <a:blip r:embed="rId69" cstate="print"/>
                          <a:stretch>
                            <a:fillRect/>
                          </a:stretch>
                        </pic:blipFill>
                        <pic:spPr>
                          <a:xfrm>
                            <a:off x="1547494" y="230517"/>
                            <a:ext cx="1979929" cy="1804035"/>
                          </a:xfrm>
                          <a:prstGeom prst="rect">
                            <a:avLst/>
                          </a:prstGeom>
                        </pic:spPr>
                      </pic:pic>
                      <wps:wsp>
                        <wps:cNvPr id="79" name="Graphic 79"/>
                        <wps:cNvSpPr/>
                        <wps:spPr>
                          <a:xfrm>
                            <a:off x="1503044" y="186067"/>
                            <a:ext cx="2068830" cy="1892935"/>
                          </a:xfrm>
                          <a:custGeom>
                            <a:avLst/>
                            <a:gdLst/>
                            <a:ahLst/>
                            <a:cxnLst/>
                            <a:rect l="l" t="t" r="r" b="b"/>
                            <a:pathLst>
                              <a:path w="2068830" h="1892935">
                                <a:moveTo>
                                  <a:pt x="0" y="0"/>
                                </a:moveTo>
                                <a:lnTo>
                                  <a:pt x="2068829" y="0"/>
                                </a:lnTo>
                                <a:lnTo>
                                  <a:pt x="2068829" y="1892934"/>
                                </a:lnTo>
                                <a:lnTo>
                                  <a:pt x="0" y="1892934"/>
                                </a:lnTo>
                                <a:lnTo>
                                  <a:pt x="0" y="0"/>
                                </a:lnTo>
                                <a:close/>
                              </a:path>
                            </a:pathLst>
                          </a:custGeom>
                          <a:ln w="8890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style="width:289.150pt;height:173.4pt;mso-position-horizontal-relative:char;mso-position-vertical-relative:line" id="docshapegroup27" coordorigin="0,0" coordsize="5783,3468">
                <v:shape style="position:absolute;left:0;top:0;width:2723;height:3468" type="#_x0000_t75" id="docshape28" stroked="false">
                  <v:imagedata r:id="rId66" o:title=""/>
                </v:shape>
                <v:shape style="position:absolute;left:227;top:198;width:2268;height:3013" type="#_x0000_t75" id="docshape29" stroked="false">
                  <v:imagedata r:id="rId67" o:title=""/>
                </v:shape>
                <v:rect style="position:absolute;left:157;top:129;width:2408;height:3153" id="docshape30" filled="false" stroked="true" strokeweight="7pt" strokecolor="#ffffff">
                  <v:stroke dashstyle="solid"/>
                </v:rect>
                <v:shape style="position:absolute;left:2210;top:164;width:3573;height:3296" type="#_x0000_t75" id="docshape31" stroked="false">
                  <v:imagedata r:id="rId68" o:title=""/>
                </v:shape>
                <v:shape style="position:absolute;left:2437;top:363;width:3118;height:2841" type="#_x0000_t75" id="docshape32" stroked="false">
                  <v:imagedata r:id="rId69" o:title=""/>
                </v:shape>
                <v:rect style="position:absolute;left:2367;top:293;width:3258;height:2981" id="docshape33" filled="false" stroked="true" strokeweight="7pt" strokecolor="#ffffff">
                  <v:stroke dashstyle="solid"/>
                </v:rect>
              </v:group>
            </w:pict>
          </mc:Fallback>
        </mc:AlternateContent>
      </w:r>
      <w:r>
        <w:rPr>
          <w:spacing w:val="24"/>
          <w:position w:val="2"/>
          <w:sz w:val="20"/>
        </w:rPr>
      </w:r>
    </w:p>
    <w:p>
      <w:pPr>
        <w:spacing w:before="242"/>
        <w:ind w:left="710" w:right="0" w:firstLine="0"/>
        <w:jc w:val="left"/>
        <w:rPr>
          <w:b/>
          <w:sz w:val="24"/>
        </w:rPr>
      </w:pPr>
      <w:bookmarkStart w:name="_bookmark7" w:id="54"/>
      <w:bookmarkEnd w:id="54"/>
      <w:r>
        <w:rPr/>
      </w:r>
      <w:bookmarkStart w:name="Treinamento Glicosímetros Abbott" w:id="55"/>
      <w:bookmarkEnd w:id="55"/>
      <w:r>
        <w:rPr/>
      </w:r>
      <w:r>
        <w:rPr>
          <w:b/>
          <w:sz w:val="24"/>
        </w:rPr>
        <w:t>Treinamento</w:t>
      </w:r>
      <w:r>
        <w:rPr>
          <w:b/>
          <w:spacing w:val="-8"/>
          <w:sz w:val="24"/>
        </w:rPr>
        <w:t> </w:t>
      </w:r>
      <w:r>
        <w:rPr>
          <w:b/>
          <w:sz w:val="24"/>
        </w:rPr>
        <w:t>Glicosímetros</w:t>
      </w:r>
      <w:r>
        <w:rPr>
          <w:b/>
          <w:spacing w:val="-6"/>
          <w:sz w:val="24"/>
        </w:rPr>
        <w:t> </w:t>
      </w:r>
      <w:r>
        <w:rPr>
          <w:b/>
          <w:spacing w:val="-2"/>
          <w:sz w:val="24"/>
        </w:rPr>
        <w:t>Abbott</w:t>
      </w:r>
    </w:p>
    <w:p>
      <w:pPr>
        <w:pStyle w:val="BodyText"/>
        <w:spacing w:before="24"/>
        <w:rPr>
          <w:b/>
          <w:sz w:val="20"/>
        </w:rPr>
      </w:pPr>
      <w:r>
        <w:rPr>
          <w:b/>
          <w:sz w:val="20"/>
        </w:rPr>
        <w:drawing>
          <wp:anchor distT="0" distB="0" distL="0" distR="0" allowOverlap="1" layoutInCell="1" locked="0" behindDoc="1" simplePos="0" relativeHeight="487599104">
            <wp:simplePos x="0" y="0"/>
            <wp:positionH relativeFrom="page">
              <wp:posOffset>1870710</wp:posOffset>
            </wp:positionH>
            <wp:positionV relativeFrom="paragraph">
              <wp:posOffset>176517</wp:posOffset>
            </wp:positionV>
            <wp:extent cx="1894580" cy="2517648"/>
            <wp:effectExtent l="0" t="0" r="0" b="0"/>
            <wp:wrapTopAndBottom/>
            <wp:docPr id="80" name="Image 80"/>
            <wp:cNvGraphicFramePr>
              <a:graphicFrameLocks/>
            </wp:cNvGraphicFramePr>
            <a:graphic>
              <a:graphicData uri="http://schemas.openxmlformats.org/drawingml/2006/picture">
                <pic:pic>
                  <pic:nvPicPr>
                    <pic:cNvPr id="80" name="Image 80"/>
                    <pic:cNvPicPr/>
                  </pic:nvPicPr>
                  <pic:blipFill>
                    <a:blip r:embed="rId70" cstate="print"/>
                    <a:stretch>
                      <a:fillRect/>
                    </a:stretch>
                  </pic:blipFill>
                  <pic:spPr>
                    <a:xfrm>
                      <a:off x="0" y="0"/>
                      <a:ext cx="1894580" cy="2517648"/>
                    </a:xfrm>
                    <a:prstGeom prst="rect">
                      <a:avLst/>
                    </a:prstGeom>
                  </pic:spPr>
                </pic:pic>
              </a:graphicData>
            </a:graphic>
          </wp:anchor>
        </w:drawing>
      </w:r>
      <w:r>
        <w:rPr>
          <w:b/>
          <w:sz w:val="20"/>
        </w:rPr>
        <w:drawing>
          <wp:anchor distT="0" distB="0" distL="0" distR="0" allowOverlap="1" layoutInCell="1" locked="0" behindDoc="1" simplePos="0" relativeHeight="487599616">
            <wp:simplePos x="0" y="0"/>
            <wp:positionH relativeFrom="page">
              <wp:posOffset>3957320</wp:posOffset>
            </wp:positionH>
            <wp:positionV relativeFrom="paragraph">
              <wp:posOffset>176517</wp:posOffset>
            </wp:positionV>
            <wp:extent cx="2097369" cy="2444877"/>
            <wp:effectExtent l="0" t="0" r="0" b="0"/>
            <wp:wrapTopAndBottom/>
            <wp:docPr id="81" name="Image 81"/>
            <wp:cNvGraphicFramePr>
              <a:graphicFrameLocks/>
            </wp:cNvGraphicFramePr>
            <a:graphic>
              <a:graphicData uri="http://schemas.openxmlformats.org/drawingml/2006/picture">
                <pic:pic>
                  <pic:nvPicPr>
                    <pic:cNvPr id="81" name="Image 81"/>
                    <pic:cNvPicPr/>
                  </pic:nvPicPr>
                  <pic:blipFill>
                    <a:blip r:embed="rId71" cstate="print"/>
                    <a:stretch>
                      <a:fillRect/>
                    </a:stretch>
                  </pic:blipFill>
                  <pic:spPr>
                    <a:xfrm>
                      <a:off x="0" y="0"/>
                      <a:ext cx="2097369" cy="2444877"/>
                    </a:xfrm>
                    <a:prstGeom prst="rect">
                      <a:avLst/>
                    </a:prstGeom>
                  </pic:spPr>
                </pic:pic>
              </a:graphicData>
            </a:graphic>
          </wp:anchor>
        </w:drawing>
      </w:r>
    </w:p>
    <w:p>
      <w:pPr>
        <w:pStyle w:val="BodyText"/>
        <w:spacing w:after="0"/>
        <w:rPr>
          <w:b/>
          <w:sz w:val="20"/>
        </w:rPr>
        <w:sectPr>
          <w:pgSz w:w="11910" w:h="16840"/>
          <w:pgMar w:header="358" w:footer="560" w:top="1580" w:bottom="780" w:left="708" w:right="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
        <w:rPr>
          <w:b/>
        </w:rPr>
      </w:pPr>
    </w:p>
    <w:p>
      <w:pPr>
        <w:spacing w:before="0" w:after="2"/>
        <w:ind w:left="710" w:right="0" w:firstLine="0"/>
        <w:jc w:val="left"/>
        <w:rPr>
          <w:b/>
          <w:sz w:val="24"/>
        </w:rPr>
      </w:pPr>
      <w:bookmarkStart w:name="Treinamento Mantas Térmicas" w:id="56"/>
      <w:bookmarkEnd w:id="56"/>
      <w:r>
        <w:rPr/>
      </w:r>
      <w:r>
        <w:rPr>
          <w:b/>
          <w:sz w:val="24"/>
        </w:rPr>
        <w:t>Treinamento</w:t>
      </w:r>
      <w:r>
        <w:rPr>
          <w:b/>
          <w:spacing w:val="-6"/>
          <w:sz w:val="24"/>
        </w:rPr>
        <w:t> </w:t>
      </w:r>
      <w:r>
        <w:rPr>
          <w:b/>
          <w:sz w:val="24"/>
        </w:rPr>
        <w:t>Mantas</w:t>
      </w:r>
      <w:r>
        <w:rPr>
          <w:b/>
          <w:spacing w:val="-5"/>
          <w:sz w:val="24"/>
        </w:rPr>
        <w:t> </w:t>
      </w:r>
      <w:r>
        <w:rPr>
          <w:b/>
          <w:spacing w:val="-2"/>
          <w:sz w:val="24"/>
        </w:rPr>
        <w:t>Térmicas</w:t>
      </w:r>
    </w:p>
    <w:p>
      <w:pPr>
        <w:pStyle w:val="BodyText"/>
        <w:ind w:left="4466"/>
        <w:rPr>
          <w:sz w:val="20"/>
        </w:rPr>
      </w:pPr>
      <w:r>
        <w:rPr>
          <w:sz w:val="20"/>
        </w:rPr>
        <w:drawing>
          <wp:inline distT="0" distB="0" distL="0" distR="0">
            <wp:extent cx="1421223" cy="2523744"/>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72" cstate="print"/>
                    <a:stretch>
                      <a:fillRect/>
                    </a:stretch>
                  </pic:blipFill>
                  <pic:spPr>
                    <a:xfrm>
                      <a:off x="0" y="0"/>
                      <a:ext cx="1421223" cy="2523744"/>
                    </a:xfrm>
                    <a:prstGeom prst="rect">
                      <a:avLst/>
                    </a:prstGeom>
                  </pic:spPr>
                </pic:pic>
              </a:graphicData>
            </a:graphic>
          </wp:inline>
        </w:drawing>
      </w:r>
      <w:r>
        <w:rPr>
          <w:sz w:val="20"/>
        </w:rPr>
      </w:r>
    </w:p>
    <w:p>
      <w:pPr>
        <w:spacing w:before="271"/>
        <w:ind w:left="710" w:right="0" w:firstLine="0"/>
        <w:jc w:val="left"/>
        <w:rPr>
          <w:b/>
          <w:sz w:val="24"/>
        </w:rPr>
      </w:pPr>
      <w:bookmarkStart w:name="_bookmark9" w:id="57"/>
      <w:bookmarkEnd w:id="57"/>
      <w:r>
        <w:rPr/>
      </w:r>
      <w:bookmarkStart w:name="Treinamento Brigada de Incêndio" w:id="58"/>
      <w:bookmarkEnd w:id="58"/>
      <w:r>
        <w:rPr/>
      </w:r>
      <w:r>
        <w:rPr>
          <w:b/>
          <w:sz w:val="24"/>
        </w:rPr>
        <w:t>Treinamento</w:t>
      </w:r>
      <w:r>
        <w:rPr>
          <w:b/>
          <w:spacing w:val="-4"/>
          <w:sz w:val="24"/>
        </w:rPr>
        <w:t> </w:t>
      </w:r>
      <w:r>
        <w:rPr>
          <w:b/>
          <w:sz w:val="24"/>
        </w:rPr>
        <w:t>Brigada</w:t>
      </w:r>
      <w:r>
        <w:rPr>
          <w:b/>
          <w:spacing w:val="-4"/>
          <w:sz w:val="24"/>
        </w:rPr>
        <w:t> </w:t>
      </w:r>
      <w:r>
        <w:rPr>
          <w:b/>
          <w:sz w:val="24"/>
        </w:rPr>
        <w:t>de</w:t>
      </w:r>
      <w:r>
        <w:rPr>
          <w:b/>
          <w:spacing w:val="-4"/>
          <w:sz w:val="24"/>
        </w:rPr>
        <w:t> </w:t>
      </w:r>
      <w:r>
        <w:rPr>
          <w:b/>
          <w:spacing w:val="-2"/>
          <w:sz w:val="24"/>
        </w:rPr>
        <w:t>Incêndio</w:t>
      </w:r>
    </w:p>
    <w:p>
      <w:pPr>
        <w:pStyle w:val="BodyText"/>
        <w:spacing w:before="24"/>
        <w:rPr>
          <w:b/>
          <w:sz w:val="20"/>
        </w:rPr>
      </w:pPr>
      <w:r>
        <w:rPr>
          <w:b/>
          <w:sz w:val="20"/>
        </w:rPr>
        <w:drawing>
          <wp:anchor distT="0" distB="0" distL="0" distR="0" allowOverlap="1" layoutInCell="1" locked="0" behindDoc="1" simplePos="0" relativeHeight="487600128">
            <wp:simplePos x="0" y="0"/>
            <wp:positionH relativeFrom="page">
              <wp:posOffset>1013460</wp:posOffset>
            </wp:positionH>
            <wp:positionV relativeFrom="paragraph">
              <wp:posOffset>176544</wp:posOffset>
            </wp:positionV>
            <wp:extent cx="2016701" cy="1984248"/>
            <wp:effectExtent l="0" t="0" r="0" b="0"/>
            <wp:wrapTopAndBottom/>
            <wp:docPr id="83" name="Image 83" descr="Pessoas com instrumentos musicais e microfone em local com fumaça  O conteúdo gerado por IA pode estar incorreto."/>
            <wp:cNvGraphicFramePr>
              <a:graphicFrameLocks/>
            </wp:cNvGraphicFramePr>
            <a:graphic>
              <a:graphicData uri="http://schemas.openxmlformats.org/drawingml/2006/picture">
                <pic:pic>
                  <pic:nvPicPr>
                    <pic:cNvPr id="83" name="Image 83" descr="Pessoas com instrumentos musicais e microfone em local com fumaça  O conteúdo gerado por IA pode estar incorreto."/>
                    <pic:cNvPicPr/>
                  </pic:nvPicPr>
                  <pic:blipFill>
                    <a:blip r:embed="rId73" cstate="print"/>
                    <a:stretch>
                      <a:fillRect/>
                    </a:stretch>
                  </pic:blipFill>
                  <pic:spPr>
                    <a:xfrm>
                      <a:off x="0" y="0"/>
                      <a:ext cx="2016701" cy="1984248"/>
                    </a:xfrm>
                    <a:prstGeom prst="rect">
                      <a:avLst/>
                    </a:prstGeom>
                  </pic:spPr>
                </pic:pic>
              </a:graphicData>
            </a:graphic>
          </wp:anchor>
        </w:drawing>
      </w:r>
      <w:r>
        <w:rPr>
          <w:b/>
          <w:sz w:val="20"/>
        </w:rPr>
        <w:drawing>
          <wp:anchor distT="0" distB="0" distL="0" distR="0" allowOverlap="1" layoutInCell="1" locked="0" behindDoc="1" simplePos="0" relativeHeight="487600640">
            <wp:simplePos x="0" y="0"/>
            <wp:positionH relativeFrom="page">
              <wp:posOffset>3618229</wp:posOffset>
            </wp:positionH>
            <wp:positionV relativeFrom="paragraph">
              <wp:posOffset>176544</wp:posOffset>
            </wp:positionV>
            <wp:extent cx="1880125" cy="1981200"/>
            <wp:effectExtent l="0" t="0" r="0" b="0"/>
            <wp:wrapTopAndBottom/>
            <wp:docPr id="84" name="Image 84"/>
            <wp:cNvGraphicFramePr>
              <a:graphicFrameLocks/>
            </wp:cNvGraphicFramePr>
            <a:graphic>
              <a:graphicData uri="http://schemas.openxmlformats.org/drawingml/2006/picture">
                <pic:pic>
                  <pic:nvPicPr>
                    <pic:cNvPr id="84" name="Image 84"/>
                    <pic:cNvPicPr/>
                  </pic:nvPicPr>
                  <pic:blipFill>
                    <a:blip r:embed="rId74" cstate="print"/>
                    <a:stretch>
                      <a:fillRect/>
                    </a:stretch>
                  </pic:blipFill>
                  <pic:spPr>
                    <a:xfrm>
                      <a:off x="0" y="0"/>
                      <a:ext cx="1880125" cy="1981200"/>
                    </a:xfrm>
                    <a:prstGeom prst="rect">
                      <a:avLst/>
                    </a:prstGeom>
                  </pic:spPr>
                </pic:pic>
              </a:graphicData>
            </a:graphic>
          </wp:anchor>
        </w:drawing>
      </w:r>
    </w:p>
    <w:p>
      <w:pPr>
        <w:pStyle w:val="BodyText"/>
        <w:rPr>
          <w:b/>
        </w:rPr>
      </w:pPr>
    </w:p>
    <w:p>
      <w:pPr>
        <w:pStyle w:val="BodyText"/>
        <w:spacing w:before="21"/>
        <w:rPr>
          <w:b/>
        </w:rPr>
      </w:pPr>
    </w:p>
    <w:p>
      <w:pPr>
        <w:spacing w:before="0"/>
        <w:ind w:left="593" w:right="0" w:firstLine="0"/>
        <w:jc w:val="left"/>
        <w:rPr>
          <w:b/>
          <w:sz w:val="24"/>
        </w:rPr>
      </w:pPr>
      <w:bookmarkStart w:name="_bookmark11" w:id="59"/>
      <w:bookmarkEnd w:id="59"/>
      <w:r>
        <w:rPr/>
      </w:r>
      <w:bookmarkStart w:name="_bookmark12" w:id="60"/>
      <w:bookmarkEnd w:id="60"/>
      <w:r>
        <w:rPr/>
      </w:r>
      <w:r>
        <w:rPr>
          <w:b/>
          <w:sz w:val="24"/>
        </w:rPr>
        <w:t>Relatório</w:t>
      </w:r>
      <w:r>
        <w:rPr>
          <w:b/>
          <w:spacing w:val="-4"/>
          <w:sz w:val="24"/>
        </w:rPr>
        <w:t> </w:t>
      </w:r>
      <w:r>
        <w:rPr>
          <w:b/>
          <w:sz w:val="24"/>
        </w:rPr>
        <w:t>emitido</w:t>
      </w:r>
      <w:r>
        <w:rPr>
          <w:b/>
          <w:spacing w:val="-3"/>
          <w:sz w:val="24"/>
        </w:rPr>
        <w:t> </w:t>
      </w:r>
      <w:r>
        <w:rPr>
          <w:b/>
          <w:sz w:val="24"/>
        </w:rPr>
        <w:t>em</w:t>
      </w:r>
      <w:r>
        <w:rPr>
          <w:b/>
          <w:spacing w:val="-2"/>
          <w:sz w:val="24"/>
        </w:rPr>
        <w:t> </w:t>
      </w:r>
      <w:r>
        <w:rPr>
          <w:b/>
          <w:sz w:val="24"/>
        </w:rPr>
        <w:t>10</w:t>
      </w:r>
      <w:r>
        <w:rPr>
          <w:b/>
          <w:spacing w:val="-3"/>
          <w:sz w:val="24"/>
        </w:rPr>
        <w:t> </w:t>
      </w:r>
      <w:r>
        <w:rPr>
          <w:b/>
          <w:sz w:val="24"/>
        </w:rPr>
        <w:t>de</w:t>
      </w:r>
      <w:r>
        <w:rPr>
          <w:b/>
          <w:spacing w:val="-4"/>
          <w:sz w:val="24"/>
        </w:rPr>
        <w:t> </w:t>
      </w:r>
      <w:r>
        <w:rPr>
          <w:b/>
          <w:sz w:val="24"/>
        </w:rPr>
        <w:t>Dezembro</w:t>
      </w:r>
      <w:r>
        <w:rPr>
          <w:b/>
          <w:spacing w:val="-2"/>
          <w:sz w:val="24"/>
        </w:rPr>
        <w:t> </w:t>
      </w:r>
      <w:bookmarkStart w:name="_bookmark10" w:id="61"/>
      <w:bookmarkEnd w:id="61"/>
      <w:r>
        <w:rPr>
          <w:b/>
          <w:sz w:val="24"/>
        </w:rPr>
        <w:t>de</w:t>
      </w:r>
      <w:r>
        <w:rPr>
          <w:b/>
          <w:spacing w:val="-3"/>
          <w:sz w:val="24"/>
        </w:rPr>
        <w:t> </w:t>
      </w:r>
      <w:r>
        <w:rPr>
          <w:b/>
          <w:spacing w:val="-2"/>
          <w:sz w:val="24"/>
        </w:rPr>
        <w:t>2025.</w:t>
      </w:r>
    </w:p>
    <w:p>
      <w:pPr>
        <w:pStyle w:val="BodyText"/>
        <w:rPr>
          <w:b/>
          <w:sz w:val="20"/>
        </w:rPr>
      </w:pPr>
    </w:p>
    <w:p>
      <w:pPr>
        <w:pStyle w:val="BodyText"/>
        <w:rPr>
          <w:b/>
          <w:sz w:val="20"/>
        </w:rPr>
      </w:pPr>
    </w:p>
    <w:p>
      <w:pPr>
        <w:pStyle w:val="BodyText"/>
        <w:spacing w:before="181"/>
        <w:rPr>
          <w:b/>
          <w:sz w:val="20"/>
        </w:rPr>
      </w:pPr>
      <w:r>
        <w:rPr>
          <w:b/>
          <w:sz w:val="20"/>
        </w:rPr>
        <w:drawing>
          <wp:anchor distT="0" distB="0" distL="0" distR="0" allowOverlap="1" layoutInCell="1" locked="0" behindDoc="1" simplePos="0" relativeHeight="487601152">
            <wp:simplePos x="0" y="0"/>
            <wp:positionH relativeFrom="page">
              <wp:posOffset>604567</wp:posOffset>
            </wp:positionH>
            <wp:positionV relativeFrom="paragraph">
              <wp:posOffset>516362</wp:posOffset>
            </wp:positionV>
            <wp:extent cx="1774675" cy="380523"/>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75" cstate="print"/>
                    <a:stretch>
                      <a:fillRect/>
                    </a:stretch>
                  </pic:blipFill>
                  <pic:spPr>
                    <a:xfrm>
                      <a:off x="0" y="0"/>
                      <a:ext cx="1774675" cy="380523"/>
                    </a:xfrm>
                    <a:prstGeom prst="rect">
                      <a:avLst/>
                    </a:prstGeom>
                  </pic:spPr>
                </pic:pic>
              </a:graphicData>
            </a:graphic>
          </wp:anchor>
        </w:drawing>
      </w:r>
      <w:r>
        <w:rPr>
          <w:b/>
          <w:sz w:val="20"/>
        </w:rPr>
        <w:drawing>
          <wp:anchor distT="0" distB="0" distL="0" distR="0" allowOverlap="1" layoutInCell="1" locked="0" behindDoc="1" simplePos="0" relativeHeight="487601664">
            <wp:simplePos x="0" y="0"/>
            <wp:positionH relativeFrom="page">
              <wp:posOffset>4327771</wp:posOffset>
            </wp:positionH>
            <wp:positionV relativeFrom="paragraph">
              <wp:posOffset>276424</wp:posOffset>
            </wp:positionV>
            <wp:extent cx="1774675" cy="380523"/>
            <wp:effectExtent l="0" t="0" r="0" b="0"/>
            <wp:wrapTopAndBottom/>
            <wp:docPr id="86" name="Image 86"/>
            <wp:cNvGraphicFramePr>
              <a:graphicFrameLocks/>
            </wp:cNvGraphicFramePr>
            <a:graphic>
              <a:graphicData uri="http://schemas.openxmlformats.org/drawingml/2006/picture">
                <pic:pic>
                  <pic:nvPicPr>
                    <pic:cNvPr id="86" name="Image 86"/>
                    <pic:cNvPicPr/>
                  </pic:nvPicPr>
                  <pic:blipFill>
                    <a:blip r:embed="rId76" cstate="print"/>
                    <a:stretch>
                      <a:fillRect/>
                    </a:stretch>
                  </pic:blipFill>
                  <pic:spPr>
                    <a:xfrm>
                      <a:off x="0" y="0"/>
                      <a:ext cx="1774675" cy="380523"/>
                    </a:xfrm>
                    <a:prstGeom prst="rect">
                      <a:avLst/>
                    </a:prstGeom>
                  </pic:spPr>
                </pic:pic>
              </a:graphicData>
            </a:graphic>
          </wp:anchor>
        </w:drawing>
      </w:r>
    </w:p>
    <w:p>
      <w:pPr>
        <w:pStyle w:val="BodyText"/>
        <w:spacing w:before="116"/>
        <w:rPr>
          <w:b/>
          <w:sz w:val="20"/>
        </w:rPr>
      </w:pPr>
    </w:p>
    <w:tbl>
      <w:tblPr>
        <w:tblW w:w="0" w:type="auto"/>
        <w:jc w:val="left"/>
        <w:tblInd w:w="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08"/>
        <w:gridCol w:w="2810"/>
      </w:tblGrid>
      <w:tr>
        <w:trPr>
          <w:trHeight w:val="541" w:hRule="atLeast"/>
        </w:trPr>
        <w:tc>
          <w:tcPr>
            <w:tcW w:w="4208" w:type="dxa"/>
          </w:tcPr>
          <w:p>
            <w:pPr>
              <w:pStyle w:val="TableParagraph"/>
              <w:spacing w:line="266" w:lineRule="exact"/>
              <w:ind w:left="50"/>
              <w:jc w:val="left"/>
              <w:rPr>
                <w:b/>
                <w:sz w:val="24"/>
              </w:rPr>
            </w:pPr>
            <w:r>
              <w:rPr>
                <w:b/>
                <w:sz w:val="24"/>
              </w:rPr>
              <w:t>Fabiana</w:t>
            </w:r>
            <w:r>
              <w:rPr>
                <w:b/>
                <w:spacing w:val="-4"/>
                <w:sz w:val="24"/>
              </w:rPr>
              <w:t> </w:t>
            </w:r>
            <w:r>
              <w:rPr>
                <w:b/>
                <w:spacing w:val="-2"/>
                <w:sz w:val="24"/>
              </w:rPr>
              <w:t>Rolla</w:t>
            </w:r>
          </w:p>
          <w:p>
            <w:pPr>
              <w:pStyle w:val="TableParagraph"/>
              <w:spacing w:line="256" w:lineRule="exact"/>
              <w:ind w:left="50"/>
              <w:jc w:val="left"/>
              <w:rPr>
                <w:b/>
                <w:sz w:val="24"/>
              </w:rPr>
            </w:pPr>
            <w:r>
              <w:rPr>
                <w:b/>
                <w:sz w:val="24"/>
              </w:rPr>
              <w:t>Diretora</w:t>
            </w:r>
            <w:r>
              <w:rPr>
                <w:b/>
                <w:spacing w:val="-3"/>
                <w:sz w:val="24"/>
              </w:rPr>
              <w:t> </w:t>
            </w:r>
            <w:r>
              <w:rPr>
                <w:b/>
                <w:sz w:val="24"/>
              </w:rPr>
              <w:t>técnica</w:t>
            </w:r>
            <w:r>
              <w:rPr>
                <w:b/>
                <w:spacing w:val="-4"/>
                <w:sz w:val="24"/>
              </w:rPr>
              <w:t> </w:t>
            </w:r>
            <w:r>
              <w:rPr>
                <w:b/>
                <w:sz w:val="24"/>
              </w:rPr>
              <w:t>e</w:t>
            </w:r>
            <w:r>
              <w:rPr>
                <w:b/>
                <w:spacing w:val="-2"/>
                <w:sz w:val="24"/>
              </w:rPr>
              <w:t> administrativa</w:t>
            </w:r>
          </w:p>
        </w:tc>
        <w:tc>
          <w:tcPr>
            <w:tcW w:w="2810" w:type="dxa"/>
          </w:tcPr>
          <w:p>
            <w:pPr>
              <w:pStyle w:val="TableParagraph"/>
              <w:spacing w:line="266" w:lineRule="exact"/>
              <w:ind w:left="772"/>
              <w:jc w:val="left"/>
              <w:rPr>
                <w:b/>
                <w:sz w:val="24"/>
              </w:rPr>
            </w:pPr>
            <w:r>
              <w:rPr>
                <w:b/>
                <w:sz w:val="24"/>
              </w:rPr>
              <w:t>Danilo</w:t>
            </w:r>
            <w:r>
              <w:rPr>
                <w:b/>
                <w:spacing w:val="-2"/>
                <w:sz w:val="24"/>
              </w:rPr>
              <w:t> </w:t>
            </w:r>
            <w:r>
              <w:rPr>
                <w:b/>
                <w:sz w:val="24"/>
              </w:rPr>
              <w:t>da</w:t>
            </w:r>
            <w:r>
              <w:rPr>
                <w:b/>
                <w:spacing w:val="-2"/>
                <w:sz w:val="24"/>
              </w:rPr>
              <w:t> </w:t>
            </w:r>
            <w:r>
              <w:rPr>
                <w:b/>
                <w:sz w:val="24"/>
              </w:rPr>
              <w:t>Silva</w:t>
            </w:r>
            <w:r>
              <w:rPr>
                <w:b/>
                <w:spacing w:val="-2"/>
                <w:sz w:val="24"/>
              </w:rPr>
              <w:t> </w:t>
            </w:r>
            <w:r>
              <w:rPr>
                <w:b/>
                <w:spacing w:val="-4"/>
                <w:sz w:val="24"/>
              </w:rPr>
              <w:t>Lili</w:t>
            </w:r>
          </w:p>
          <w:p>
            <w:pPr>
              <w:pStyle w:val="TableParagraph"/>
              <w:spacing w:line="256" w:lineRule="exact"/>
              <w:ind w:left="772"/>
              <w:jc w:val="left"/>
              <w:rPr>
                <w:b/>
                <w:sz w:val="24"/>
              </w:rPr>
            </w:pPr>
            <w:r>
              <w:rPr>
                <w:b/>
                <w:sz w:val="24"/>
              </w:rPr>
              <w:t>Gerente</w:t>
            </w:r>
            <w:r>
              <w:rPr>
                <w:b/>
                <w:spacing w:val="-4"/>
                <w:sz w:val="24"/>
              </w:rPr>
              <w:t> </w:t>
            </w:r>
            <w:r>
              <w:rPr>
                <w:b/>
                <w:spacing w:val="-2"/>
                <w:sz w:val="24"/>
              </w:rPr>
              <w:t>Financeiro</w:t>
            </w:r>
          </w:p>
        </w:tc>
      </w:tr>
    </w:tbl>
    <w:p>
      <w:pPr>
        <w:pStyle w:val="TableParagraph"/>
        <w:spacing w:after="0" w:line="256" w:lineRule="exact"/>
        <w:jc w:val="left"/>
        <w:rPr>
          <w:b/>
          <w:sz w:val="24"/>
        </w:rPr>
        <w:sectPr>
          <w:pgSz w:w="11910" w:h="16840"/>
          <w:pgMar w:header="358" w:footer="560" w:top="1580" w:bottom="780" w:left="708" w:right="0"/>
        </w:sectPr>
      </w:pPr>
    </w:p>
    <w:p>
      <w:pPr>
        <w:pStyle w:val="BodyText"/>
        <w:rPr>
          <w:b/>
          <w:sz w:val="20"/>
        </w:rPr>
      </w:pPr>
    </w:p>
    <w:p>
      <w:pPr>
        <w:pStyle w:val="BodyText"/>
        <w:rPr>
          <w:b/>
          <w:sz w:val="20"/>
        </w:rPr>
      </w:pPr>
    </w:p>
    <w:p>
      <w:pPr>
        <w:pStyle w:val="BodyText"/>
        <w:rPr>
          <w:b/>
          <w:sz w:val="20"/>
        </w:rPr>
      </w:pPr>
    </w:p>
    <w:p>
      <w:pPr>
        <w:pStyle w:val="BodyText"/>
        <w:spacing w:before="217"/>
        <w:rPr>
          <w:b/>
          <w:sz w:val="20"/>
        </w:rPr>
      </w:pPr>
    </w:p>
    <w:tbl>
      <w:tblPr>
        <w:tblW w:w="0" w:type="auto"/>
        <w:jc w:val="left"/>
        <w:tblInd w:w="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15"/>
        <w:gridCol w:w="4615"/>
      </w:tblGrid>
      <w:tr>
        <w:trPr>
          <w:trHeight w:val="265" w:hRule="atLeast"/>
        </w:trPr>
        <w:tc>
          <w:tcPr>
            <w:tcW w:w="4615" w:type="dxa"/>
          </w:tcPr>
          <w:p>
            <w:pPr>
              <w:pStyle w:val="TableParagraph"/>
              <w:spacing w:before="28"/>
              <w:jc w:val="left"/>
              <w:rPr>
                <w:b/>
                <w:sz w:val="20"/>
              </w:rPr>
            </w:pPr>
          </w:p>
          <w:p>
            <w:pPr>
              <w:pStyle w:val="TableParagraph"/>
              <w:spacing w:line="20" w:lineRule="exact"/>
              <w:ind w:left="50"/>
              <w:jc w:val="left"/>
              <w:rPr>
                <w:sz w:val="2"/>
              </w:rPr>
            </w:pPr>
            <w:r>
              <w:rPr>
                <w:sz w:val="2"/>
              </w:rPr>
              <mc:AlternateContent>
                <mc:Choice Requires="wps">
                  <w:drawing>
                    <wp:inline distT="0" distB="0" distL="0" distR="0">
                      <wp:extent cx="2667000" cy="10160"/>
                      <wp:effectExtent l="9525" t="0" r="0" b="8890"/>
                      <wp:docPr id="87" name="Group 87"/>
                      <wp:cNvGraphicFramePr>
                        <a:graphicFrameLocks/>
                      </wp:cNvGraphicFramePr>
                      <a:graphic>
                        <a:graphicData uri="http://schemas.microsoft.com/office/word/2010/wordprocessingGroup">
                          <wpg:wgp>
                            <wpg:cNvPr id="87" name="Group 87"/>
                            <wpg:cNvGrpSpPr/>
                            <wpg:grpSpPr>
                              <a:xfrm>
                                <a:off x="0" y="0"/>
                                <a:ext cx="2667000" cy="10160"/>
                                <a:chExt cx="2667000" cy="10160"/>
                              </a:xfrm>
                            </wpg:grpSpPr>
                            <wps:wsp>
                              <wps:cNvPr id="88" name="Graphic 88"/>
                              <wps:cNvSpPr/>
                              <wps:spPr>
                                <a:xfrm>
                                  <a:off x="0" y="4800"/>
                                  <a:ext cx="2667000" cy="1270"/>
                                </a:xfrm>
                                <a:custGeom>
                                  <a:avLst/>
                                  <a:gdLst/>
                                  <a:ahLst/>
                                  <a:cxnLst/>
                                  <a:rect l="l" t="t" r="r" b="b"/>
                                  <a:pathLst>
                                    <a:path w="2667000" h="0">
                                      <a:moveTo>
                                        <a:pt x="0" y="0"/>
                                      </a:moveTo>
                                      <a:lnTo>
                                        <a:pt x="2667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0pt;height:.8pt;mso-position-horizontal-relative:char;mso-position-vertical-relative:line" id="docshapegroup34" coordorigin="0,0" coordsize="4200,16">
                      <v:line style="position:absolute" from="0,8" to="4200,8" stroked="true" strokeweight=".756pt" strokecolor="#000000">
                        <v:stroke dashstyle="solid"/>
                      </v:line>
                    </v:group>
                  </w:pict>
                </mc:Fallback>
              </mc:AlternateContent>
            </w:r>
            <w:r>
              <w:rPr>
                <w:sz w:val="2"/>
              </w:rPr>
            </w:r>
          </w:p>
        </w:tc>
        <w:tc>
          <w:tcPr>
            <w:tcW w:w="4615" w:type="dxa"/>
          </w:tcPr>
          <w:p>
            <w:pPr>
              <w:pStyle w:val="TableParagraph"/>
              <w:spacing w:before="28"/>
              <w:jc w:val="left"/>
              <w:rPr>
                <w:b/>
                <w:sz w:val="20"/>
              </w:rPr>
            </w:pPr>
          </w:p>
          <w:p>
            <w:pPr>
              <w:pStyle w:val="TableParagraph"/>
              <w:spacing w:line="20" w:lineRule="exact"/>
              <w:ind w:left="365" w:right="-15"/>
              <w:jc w:val="left"/>
              <w:rPr>
                <w:sz w:val="2"/>
              </w:rPr>
            </w:pPr>
            <w:r>
              <w:rPr>
                <w:sz w:val="2"/>
              </w:rPr>
              <mc:AlternateContent>
                <mc:Choice Requires="wps">
                  <w:drawing>
                    <wp:inline distT="0" distB="0" distL="0" distR="0">
                      <wp:extent cx="2667000" cy="10160"/>
                      <wp:effectExtent l="9525" t="0" r="0" b="8890"/>
                      <wp:docPr id="89" name="Group 89"/>
                      <wp:cNvGraphicFramePr>
                        <a:graphicFrameLocks/>
                      </wp:cNvGraphicFramePr>
                      <a:graphic>
                        <a:graphicData uri="http://schemas.microsoft.com/office/word/2010/wordprocessingGroup">
                          <wpg:wgp>
                            <wpg:cNvPr id="89" name="Group 89"/>
                            <wpg:cNvGrpSpPr/>
                            <wpg:grpSpPr>
                              <a:xfrm>
                                <a:off x="0" y="0"/>
                                <a:ext cx="2667000" cy="10160"/>
                                <a:chExt cx="2667000" cy="10160"/>
                              </a:xfrm>
                            </wpg:grpSpPr>
                            <wps:wsp>
                              <wps:cNvPr id="90" name="Graphic 90"/>
                              <wps:cNvSpPr/>
                              <wps:spPr>
                                <a:xfrm>
                                  <a:off x="0" y="4800"/>
                                  <a:ext cx="2667000" cy="1270"/>
                                </a:xfrm>
                                <a:custGeom>
                                  <a:avLst/>
                                  <a:gdLst/>
                                  <a:ahLst/>
                                  <a:cxnLst/>
                                  <a:rect l="l" t="t" r="r" b="b"/>
                                  <a:pathLst>
                                    <a:path w="2667000" h="0">
                                      <a:moveTo>
                                        <a:pt x="0" y="0"/>
                                      </a:moveTo>
                                      <a:lnTo>
                                        <a:pt x="2667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0pt;height:.8pt;mso-position-horizontal-relative:char;mso-position-vertical-relative:line" id="docshapegroup35" coordorigin="0,0" coordsize="4200,16">
                      <v:line style="position:absolute" from="0,8" to="4200,8" stroked="true" strokeweight=".756pt" strokecolor="#000000">
                        <v:stroke dashstyle="solid"/>
                      </v:line>
                    </v:group>
                  </w:pict>
                </mc:Fallback>
              </mc:AlternateContent>
            </w:r>
            <w:r>
              <w:rPr>
                <w:sz w:val="2"/>
              </w:rPr>
            </w:r>
          </w:p>
        </w:tc>
      </w:tr>
    </w:tbl>
    <w:sectPr>
      <w:pgSz w:w="11910" w:h="16840"/>
      <w:pgMar w:header="358" w:footer="560" w:top="1580" w:bottom="780" w:left="708"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 w:name="Corbel">
    <w:altName w:val="Corbel"/>
    <w:charset w:val="1"/>
    <w:family w:val="swiss"/>
    <w:pitch w:val="variable"/>
  </w:font>
  <w:font w:name="Courier New">
    <w:altName w:val="Courier New"/>
    <w:charset w:val="1"/>
    <w:family w:val="modern"/>
    <w:pitch w:val="default"/>
  </w:font>
  <w:font w:name="Segoe UI">
    <w:altName w:val="Segoe UI"/>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81536">
              <wp:simplePos x="0" y="0"/>
              <wp:positionH relativeFrom="page">
                <wp:posOffset>2127250</wp:posOffset>
              </wp:positionH>
              <wp:positionV relativeFrom="page">
                <wp:posOffset>10099784</wp:posOffset>
              </wp:positionV>
              <wp:extent cx="3295650" cy="2559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95650" cy="255904"/>
                      </a:xfrm>
                      <a:prstGeom prst="rect">
                        <a:avLst/>
                      </a:prstGeom>
                    </wps:spPr>
                    <wps:txbx>
                      <w:txbxContent>
                        <w:p>
                          <w:pPr>
                            <w:spacing w:before="14"/>
                            <w:ind w:left="20" w:right="18" w:firstLine="0"/>
                            <w:jc w:val="left"/>
                            <w:rPr>
                              <w:rFonts w:ascii="Arial" w:hAnsi="Arial"/>
                              <w:b/>
                              <w:sz w:val="16"/>
                            </w:rPr>
                          </w:pPr>
                          <w:r>
                            <w:rPr>
                              <w:rFonts w:ascii="Arial" w:hAnsi="Arial"/>
                              <w:b/>
                              <w:sz w:val="16"/>
                            </w:rPr>
                            <w:t>HOSPITAL</w:t>
                          </w:r>
                          <w:r>
                            <w:rPr>
                              <w:rFonts w:ascii="Arial" w:hAnsi="Arial"/>
                              <w:b/>
                              <w:spacing w:val="-5"/>
                              <w:sz w:val="16"/>
                            </w:rPr>
                            <w:t> </w:t>
                          </w:r>
                          <w:r>
                            <w:rPr>
                              <w:rFonts w:ascii="Arial" w:hAnsi="Arial"/>
                              <w:b/>
                              <w:sz w:val="16"/>
                            </w:rPr>
                            <w:t>ESTADUAL</w:t>
                          </w:r>
                          <w:r>
                            <w:rPr>
                              <w:rFonts w:ascii="Arial" w:hAnsi="Arial"/>
                              <w:b/>
                              <w:spacing w:val="-5"/>
                              <w:sz w:val="16"/>
                            </w:rPr>
                            <w:t> </w:t>
                          </w:r>
                          <w:r>
                            <w:rPr>
                              <w:rFonts w:ascii="Arial" w:hAnsi="Arial"/>
                              <w:b/>
                              <w:sz w:val="16"/>
                            </w:rPr>
                            <w:t>DE</w:t>
                          </w:r>
                          <w:r>
                            <w:rPr>
                              <w:rFonts w:ascii="Arial" w:hAnsi="Arial"/>
                              <w:b/>
                              <w:spacing w:val="-7"/>
                              <w:sz w:val="16"/>
                            </w:rPr>
                            <w:t> </w:t>
                          </w:r>
                          <w:r>
                            <w:rPr>
                              <w:rFonts w:ascii="Arial" w:hAnsi="Arial"/>
                              <w:b/>
                              <w:sz w:val="16"/>
                            </w:rPr>
                            <w:t>URGÊNCIAS</w:t>
                          </w:r>
                          <w:r>
                            <w:rPr>
                              <w:rFonts w:ascii="Arial" w:hAnsi="Arial"/>
                              <w:b/>
                              <w:spacing w:val="-6"/>
                              <w:sz w:val="16"/>
                            </w:rPr>
                            <w:t> </w:t>
                          </w:r>
                          <w:r>
                            <w:rPr>
                              <w:rFonts w:ascii="Arial" w:hAnsi="Arial"/>
                              <w:b/>
                              <w:sz w:val="16"/>
                            </w:rPr>
                            <w:t>DE</w:t>
                          </w:r>
                          <w:r>
                            <w:rPr>
                              <w:rFonts w:ascii="Arial" w:hAnsi="Arial"/>
                              <w:b/>
                              <w:spacing w:val="-7"/>
                              <w:sz w:val="16"/>
                            </w:rPr>
                            <w:t> </w:t>
                          </w:r>
                          <w:r>
                            <w:rPr>
                              <w:rFonts w:ascii="Arial" w:hAnsi="Arial"/>
                              <w:b/>
                              <w:sz w:val="16"/>
                            </w:rPr>
                            <w:t>GOIÁS</w:t>
                          </w:r>
                          <w:r>
                            <w:rPr>
                              <w:rFonts w:ascii="Arial" w:hAnsi="Arial"/>
                              <w:b/>
                              <w:spacing w:val="-7"/>
                              <w:sz w:val="16"/>
                            </w:rPr>
                            <w:t> </w:t>
                          </w:r>
                          <w:r>
                            <w:rPr>
                              <w:rFonts w:ascii="Arial" w:hAnsi="Arial"/>
                              <w:b/>
                              <w:sz w:val="16"/>
                            </w:rPr>
                            <w:t>DR.</w:t>
                          </w:r>
                          <w:r>
                            <w:rPr>
                              <w:rFonts w:ascii="Arial" w:hAnsi="Arial"/>
                              <w:b/>
                              <w:spacing w:val="-4"/>
                              <w:sz w:val="16"/>
                            </w:rPr>
                            <w:t> </w:t>
                          </w:r>
                          <w:r>
                            <w:rPr>
                              <w:rFonts w:ascii="Arial" w:hAnsi="Arial"/>
                              <w:b/>
                              <w:sz w:val="16"/>
                            </w:rPr>
                            <w:t>VALDEMIRO </w:t>
                          </w:r>
                          <w:r>
                            <w:rPr>
                              <w:rFonts w:ascii="Arial" w:hAnsi="Arial"/>
                              <w:b/>
                              <w:spacing w:val="-4"/>
                              <w:sz w:val="16"/>
                            </w:rPr>
                            <w:t>CRUZ</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67.5pt;margin-top:795.258606pt;width:259.5pt;height:20.150pt;mso-position-horizontal-relative:page;mso-position-vertical-relative:page;z-index:-17234944" type="#_x0000_t202" id="docshape1" filled="false" stroked="false">
              <v:textbox inset="0,0,0,0">
                <w:txbxContent>
                  <w:p>
                    <w:pPr>
                      <w:spacing w:before="14"/>
                      <w:ind w:left="20" w:right="18" w:firstLine="0"/>
                      <w:jc w:val="left"/>
                      <w:rPr>
                        <w:rFonts w:ascii="Arial" w:hAnsi="Arial"/>
                        <w:b/>
                        <w:sz w:val="16"/>
                      </w:rPr>
                    </w:pPr>
                    <w:r>
                      <w:rPr>
                        <w:rFonts w:ascii="Arial" w:hAnsi="Arial"/>
                        <w:b/>
                        <w:sz w:val="16"/>
                      </w:rPr>
                      <w:t>HOSPITAL</w:t>
                    </w:r>
                    <w:r>
                      <w:rPr>
                        <w:rFonts w:ascii="Arial" w:hAnsi="Arial"/>
                        <w:b/>
                        <w:spacing w:val="-5"/>
                        <w:sz w:val="16"/>
                      </w:rPr>
                      <w:t> </w:t>
                    </w:r>
                    <w:r>
                      <w:rPr>
                        <w:rFonts w:ascii="Arial" w:hAnsi="Arial"/>
                        <w:b/>
                        <w:sz w:val="16"/>
                      </w:rPr>
                      <w:t>ESTADUAL</w:t>
                    </w:r>
                    <w:r>
                      <w:rPr>
                        <w:rFonts w:ascii="Arial" w:hAnsi="Arial"/>
                        <w:b/>
                        <w:spacing w:val="-5"/>
                        <w:sz w:val="16"/>
                      </w:rPr>
                      <w:t> </w:t>
                    </w:r>
                    <w:r>
                      <w:rPr>
                        <w:rFonts w:ascii="Arial" w:hAnsi="Arial"/>
                        <w:b/>
                        <w:sz w:val="16"/>
                      </w:rPr>
                      <w:t>DE</w:t>
                    </w:r>
                    <w:r>
                      <w:rPr>
                        <w:rFonts w:ascii="Arial" w:hAnsi="Arial"/>
                        <w:b/>
                        <w:spacing w:val="-7"/>
                        <w:sz w:val="16"/>
                      </w:rPr>
                      <w:t> </w:t>
                    </w:r>
                    <w:r>
                      <w:rPr>
                        <w:rFonts w:ascii="Arial" w:hAnsi="Arial"/>
                        <w:b/>
                        <w:sz w:val="16"/>
                      </w:rPr>
                      <w:t>URGÊNCIAS</w:t>
                    </w:r>
                    <w:r>
                      <w:rPr>
                        <w:rFonts w:ascii="Arial" w:hAnsi="Arial"/>
                        <w:b/>
                        <w:spacing w:val="-6"/>
                        <w:sz w:val="16"/>
                      </w:rPr>
                      <w:t> </w:t>
                    </w:r>
                    <w:r>
                      <w:rPr>
                        <w:rFonts w:ascii="Arial" w:hAnsi="Arial"/>
                        <w:b/>
                        <w:sz w:val="16"/>
                      </w:rPr>
                      <w:t>DE</w:t>
                    </w:r>
                    <w:r>
                      <w:rPr>
                        <w:rFonts w:ascii="Arial" w:hAnsi="Arial"/>
                        <w:b/>
                        <w:spacing w:val="-7"/>
                        <w:sz w:val="16"/>
                      </w:rPr>
                      <w:t> </w:t>
                    </w:r>
                    <w:r>
                      <w:rPr>
                        <w:rFonts w:ascii="Arial" w:hAnsi="Arial"/>
                        <w:b/>
                        <w:sz w:val="16"/>
                      </w:rPr>
                      <w:t>GOIÁS</w:t>
                    </w:r>
                    <w:r>
                      <w:rPr>
                        <w:rFonts w:ascii="Arial" w:hAnsi="Arial"/>
                        <w:b/>
                        <w:spacing w:val="-7"/>
                        <w:sz w:val="16"/>
                      </w:rPr>
                      <w:t> </w:t>
                    </w:r>
                    <w:r>
                      <w:rPr>
                        <w:rFonts w:ascii="Arial" w:hAnsi="Arial"/>
                        <w:b/>
                        <w:sz w:val="16"/>
                      </w:rPr>
                      <w:t>DR.</w:t>
                    </w:r>
                    <w:r>
                      <w:rPr>
                        <w:rFonts w:ascii="Arial" w:hAnsi="Arial"/>
                        <w:b/>
                        <w:spacing w:val="-4"/>
                        <w:sz w:val="16"/>
                      </w:rPr>
                      <w:t> </w:t>
                    </w:r>
                    <w:r>
                      <w:rPr>
                        <w:rFonts w:ascii="Arial" w:hAnsi="Arial"/>
                        <w:b/>
                        <w:sz w:val="16"/>
                      </w:rPr>
                      <w:t>VALDEMIRO </w:t>
                    </w:r>
                    <w:r>
                      <w:rPr>
                        <w:rFonts w:ascii="Arial" w:hAnsi="Arial"/>
                        <w:b/>
                        <w:spacing w:val="-4"/>
                        <w:sz w:val="16"/>
                      </w:rPr>
                      <w:t>CRUZ</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82560">
              <wp:simplePos x="0" y="0"/>
              <wp:positionH relativeFrom="page">
                <wp:posOffset>1903729</wp:posOffset>
              </wp:positionH>
              <wp:positionV relativeFrom="page">
                <wp:posOffset>10181063</wp:posOffset>
              </wp:positionV>
              <wp:extent cx="3294379" cy="2546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3294379" cy="254635"/>
                      </a:xfrm>
                      <a:prstGeom prst="rect">
                        <a:avLst/>
                      </a:prstGeom>
                    </wps:spPr>
                    <wps:txbx>
                      <w:txbxContent>
                        <w:p>
                          <w:pPr>
                            <w:spacing w:before="14"/>
                            <w:ind w:left="20" w:right="18" w:firstLine="0"/>
                            <w:jc w:val="left"/>
                            <w:rPr>
                              <w:rFonts w:ascii="Arial" w:hAnsi="Arial"/>
                              <w:b/>
                              <w:sz w:val="16"/>
                            </w:rPr>
                          </w:pPr>
                          <w:r>
                            <w:rPr>
                              <w:rFonts w:ascii="Arial" w:hAnsi="Arial"/>
                              <w:b/>
                              <w:sz w:val="16"/>
                            </w:rPr>
                            <w:t>HOSPITAL</w:t>
                          </w:r>
                          <w:r>
                            <w:rPr>
                              <w:rFonts w:ascii="Arial" w:hAnsi="Arial"/>
                              <w:b/>
                              <w:spacing w:val="-5"/>
                              <w:sz w:val="16"/>
                            </w:rPr>
                            <w:t> </w:t>
                          </w:r>
                          <w:r>
                            <w:rPr>
                              <w:rFonts w:ascii="Arial" w:hAnsi="Arial"/>
                              <w:b/>
                              <w:sz w:val="16"/>
                            </w:rPr>
                            <w:t>ESTADUAL</w:t>
                          </w:r>
                          <w:r>
                            <w:rPr>
                              <w:rFonts w:ascii="Arial" w:hAnsi="Arial"/>
                              <w:b/>
                              <w:spacing w:val="-5"/>
                              <w:sz w:val="16"/>
                            </w:rPr>
                            <w:t> </w:t>
                          </w:r>
                          <w:r>
                            <w:rPr>
                              <w:rFonts w:ascii="Arial" w:hAnsi="Arial"/>
                              <w:b/>
                              <w:sz w:val="16"/>
                            </w:rPr>
                            <w:t>DE</w:t>
                          </w:r>
                          <w:r>
                            <w:rPr>
                              <w:rFonts w:ascii="Arial" w:hAnsi="Arial"/>
                              <w:b/>
                              <w:spacing w:val="-8"/>
                              <w:sz w:val="16"/>
                            </w:rPr>
                            <w:t> </w:t>
                          </w:r>
                          <w:r>
                            <w:rPr>
                              <w:rFonts w:ascii="Arial" w:hAnsi="Arial"/>
                              <w:b/>
                              <w:sz w:val="16"/>
                            </w:rPr>
                            <w:t>URGÊNCIAS</w:t>
                          </w:r>
                          <w:r>
                            <w:rPr>
                              <w:rFonts w:ascii="Arial" w:hAnsi="Arial"/>
                              <w:b/>
                              <w:spacing w:val="-4"/>
                              <w:sz w:val="16"/>
                            </w:rPr>
                            <w:t> </w:t>
                          </w:r>
                          <w:r>
                            <w:rPr>
                              <w:rFonts w:ascii="Arial" w:hAnsi="Arial"/>
                              <w:b/>
                              <w:sz w:val="16"/>
                            </w:rPr>
                            <w:t>DE</w:t>
                          </w:r>
                          <w:r>
                            <w:rPr>
                              <w:rFonts w:ascii="Arial" w:hAnsi="Arial"/>
                              <w:b/>
                              <w:spacing w:val="-8"/>
                              <w:sz w:val="16"/>
                            </w:rPr>
                            <w:t> </w:t>
                          </w:r>
                          <w:r>
                            <w:rPr>
                              <w:rFonts w:ascii="Arial" w:hAnsi="Arial"/>
                              <w:b/>
                              <w:sz w:val="16"/>
                            </w:rPr>
                            <w:t>GOIÁS</w:t>
                          </w:r>
                          <w:r>
                            <w:rPr>
                              <w:rFonts w:ascii="Arial" w:hAnsi="Arial"/>
                              <w:b/>
                              <w:spacing w:val="-5"/>
                              <w:sz w:val="16"/>
                            </w:rPr>
                            <w:t> </w:t>
                          </w:r>
                          <w:r>
                            <w:rPr>
                              <w:rFonts w:ascii="Arial" w:hAnsi="Arial"/>
                              <w:b/>
                              <w:sz w:val="16"/>
                            </w:rPr>
                            <w:t>DR.</w:t>
                          </w:r>
                          <w:r>
                            <w:rPr>
                              <w:rFonts w:ascii="Arial" w:hAnsi="Arial"/>
                              <w:b/>
                              <w:spacing w:val="-6"/>
                              <w:sz w:val="16"/>
                            </w:rPr>
                            <w:t> </w:t>
                          </w:r>
                          <w:r>
                            <w:rPr>
                              <w:rFonts w:ascii="Arial" w:hAnsi="Arial"/>
                              <w:b/>
                              <w:sz w:val="16"/>
                            </w:rPr>
                            <w:t>VALDEMIRO </w:t>
                          </w:r>
                          <w:r>
                            <w:rPr>
                              <w:rFonts w:ascii="Arial" w:hAnsi="Arial"/>
                              <w:b/>
                              <w:spacing w:val="-4"/>
                              <w:sz w:val="16"/>
                            </w:rPr>
                            <w:t>CRUZ</w:t>
                          </w:r>
                        </w:p>
                      </w:txbxContent>
                    </wps:txbx>
                    <wps:bodyPr wrap="square" lIns="0" tIns="0" rIns="0" bIns="0" rtlCol="0">
                      <a:noAutofit/>
                    </wps:bodyPr>
                  </wps:wsp>
                </a:graphicData>
              </a:graphic>
            </wp:anchor>
          </w:drawing>
        </mc:Choice>
        <mc:Fallback>
          <w:pict>
            <v:shape style="position:absolute;margin-left:149.899994pt;margin-top:801.658569pt;width:259.4pt;height:20.05pt;mso-position-horizontal-relative:page;mso-position-vertical-relative:page;z-index:-17233920" type="#_x0000_t202" id="docshape8" filled="false" stroked="false">
              <v:textbox inset="0,0,0,0">
                <w:txbxContent>
                  <w:p>
                    <w:pPr>
                      <w:spacing w:before="14"/>
                      <w:ind w:left="20" w:right="18" w:firstLine="0"/>
                      <w:jc w:val="left"/>
                      <w:rPr>
                        <w:rFonts w:ascii="Arial" w:hAnsi="Arial"/>
                        <w:b/>
                        <w:sz w:val="16"/>
                      </w:rPr>
                    </w:pPr>
                    <w:r>
                      <w:rPr>
                        <w:rFonts w:ascii="Arial" w:hAnsi="Arial"/>
                        <w:b/>
                        <w:sz w:val="16"/>
                      </w:rPr>
                      <w:t>HOSPITAL</w:t>
                    </w:r>
                    <w:r>
                      <w:rPr>
                        <w:rFonts w:ascii="Arial" w:hAnsi="Arial"/>
                        <w:b/>
                        <w:spacing w:val="-5"/>
                        <w:sz w:val="16"/>
                      </w:rPr>
                      <w:t> </w:t>
                    </w:r>
                    <w:r>
                      <w:rPr>
                        <w:rFonts w:ascii="Arial" w:hAnsi="Arial"/>
                        <w:b/>
                        <w:sz w:val="16"/>
                      </w:rPr>
                      <w:t>ESTADUAL</w:t>
                    </w:r>
                    <w:r>
                      <w:rPr>
                        <w:rFonts w:ascii="Arial" w:hAnsi="Arial"/>
                        <w:b/>
                        <w:spacing w:val="-5"/>
                        <w:sz w:val="16"/>
                      </w:rPr>
                      <w:t> </w:t>
                    </w:r>
                    <w:r>
                      <w:rPr>
                        <w:rFonts w:ascii="Arial" w:hAnsi="Arial"/>
                        <w:b/>
                        <w:sz w:val="16"/>
                      </w:rPr>
                      <w:t>DE</w:t>
                    </w:r>
                    <w:r>
                      <w:rPr>
                        <w:rFonts w:ascii="Arial" w:hAnsi="Arial"/>
                        <w:b/>
                        <w:spacing w:val="-8"/>
                        <w:sz w:val="16"/>
                      </w:rPr>
                      <w:t> </w:t>
                    </w:r>
                    <w:r>
                      <w:rPr>
                        <w:rFonts w:ascii="Arial" w:hAnsi="Arial"/>
                        <w:b/>
                        <w:sz w:val="16"/>
                      </w:rPr>
                      <w:t>URGÊNCIAS</w:t>
                    </w:r>
                    <w:r>
                      <w:rPr>
                        <w:rFonts w:ascii="Arial" w:hAnsi="Arial"/>
                        <w:b/>
                        <w:spacing w:val="-4"/>
                        <w:sz w:val="16"/>
                      </w:rPr>
                      <w:t> </w:t>
                    </w:r>
                    <w:r>
                      <w:rPr>
                        <w:rFonts w:ascii="Arial" w:hAnsi="Arial"/>
                        <w:b/>
                        <w:sz w:val="16"/>
                      </w:rPr>
                      <w:t>DE</w:t>
                    </w:r>
                    <w:r>
                      <w:rPr>
                        <w:rFonts w:ascii="Arial" w:hAnsi="Arial"/>
                        <w:b/>
                        <w:spacing w:val="-8"/>
                        <w:sz w:val="16"/>
                      </w:rPr>
                      <w:t> </w:t>
                    </w:r>
                    <w:r>
                      <w:rPr>
                        <w:rFonts w:ascii="Arial" w:hAnsi="Arial"/>
                        <w:b/>
                        <w:sz w:val="16"/>
                      </w:rPr>
                      <w:t>GOIÁS</w:t>
                    </w:r>
                    <w:r>
                      <w:rPr>
                        <w:rFonts w:ascii="Arial" w:hAnsi="Arial"/>
                        <w:b/>
                        <w:spacing w:val="-5"/>
                        <w:sz w:val="16"/>
                      </w:rPr>
                      <w:t> </w:t>
                    </w:r>
                    <w:r>
                      <w:rPr>
                        <w:rFonts w:ascii="Arial" w:hAnsi="Arial"/>
                        <w:b/>
                        <w:sz w:val="16"/>
                      </w:rPr>
                      <w:t>DR.</w:t>
                    </w:r>
                    <w:r>
                      <w:rPr>
                        <w:rFonts w:ascii="Arial" w:hAnsi="Arial"/>
                        <w:b/>
                        <w:spacing w:val="-6"/>
                        <w:sz w:val="16"/>
                      </w:rPr>
                      <w:t> </w:t>
                    </w:r>
                    <w:r>
                      <w:rPr>
                        <w:rFonts w:ascii="Arial" w:hAnsi="Arial"/>
                        <w:b/>
                        <w:sz w:val="16"/>
                      </w:rPr>
                      <w:t>VALDEMIRO </w:t>
                    </w:r>
                    <w:r>
                      <w:rPr>
                        <w:rFonts w:ascii="Arial" w:hAnsi="Arial"/>
                        <w:b/>
                        <w:spacing w:val="-4"/>
                        <w:sz w:val="16"/>
                      </w:rPr>
                      <w:t>CRUZ</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081024">
          <wp:simplePos x="0" y="0"/>
          <wp:positionH relativeFrom="page">
            <wp:posOffset>784859</wp:posOffset>
          </wp:positionH>
          <wp:positionV relativeFrom="page">
            <wp:posOffset>459749</wp:posOffset>
          </wp:positionV>
          <wp:extent cx="6234417" cy="8763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234417" cy="87630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082048">
          <wp:simplePos x="0" y="0"/>
          <wp:positionH relativeFrom="page">
            <wp:posOffset>664197</wp:posOffset>
          </wp:positionH>
          <wp:positionV relativeFrom="page">
            <wp:posOffset>227339</wp:posOffset>
          </wp:positionV>
          <wp:extent cx="6233160" cy="781685"/>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6233160" cy="7816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2626"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3477" w:hanging="360"/>
      </w:pPr>
      <w:rPr>
        <w:rFonts w:hint="default"/>
        <w:lang w:val="pt-PT" w:eastAsia="en-US" w:bidi="ar-SA"/>
      </w:rPr>
    </w:lvl>
    <w:lvl w:ilvl="2">
      <w:start w:val="0"/>
      <w:numFmt w:val="bullet"/>
      <w:lvlText w:val="•"/>
      <w:lvlJc w:val="left"/>
      <w:pPr>
        <w:ind w:left="4335" w:hanging="360"/>
      </w:pPr>
      <w:rPr>
        <w:rFonts w:hint="default"/>
        <w:lang w:val="pt-PT" w:eastAsia="en-US" w:bidi="ar-SA"/>
      </w:rPr>
    </w:lvl>
    <w:lvl w:ilvl="3">
      <w:start w:val="0"/>
      <w:numFmt w:val="bullet"/>
      <w:lvlText w:val="•"/>
      <w:lvlJc w:val="left"/>
      <w:pPr>
        <w:ind w:left="5193" w:hanging="360"/>
      </w:pPr>
      <w:rPr>
        <w:rFonts w:hint="default"/>
        <w:lang w:val="pt-PT" w:eastAsia="en-US" w:bidi="ar-SA"/>
      </w:rPr>
    </w:lvl>
    <w:lvl w:ilvl="4">
      <w:start w:val="0"/>
      <w:numFmt w:val="bullet"/>
      <w:lvlText w:val="•"/>
      <w:lvlJc w:val="left"/>
      <w:pPr>
        <w:ind w:left="6051" w:hanging="360"/>
      </w:pPr>
      <w:rPr>
        <w:rFonts w:hint="default"/>
        <w:lang w:val="pt-PT" w:eastAsia="en-US" w:bidi="ar-SA"/>
      </w:rPr>
    </w:lvl>
    <w:lvl w:ilvl="5">
      <w:start w:val="0"/>
      <w:numFmt w:val="bullet"/>
      <w:lvlText w:val="•"/>
      <w:lvlJc w:val="left"/>
      <w:pPr>
        <w:ind w:left="6909" w:hanging="360"/>
      </w:pPr>
      <w:rPr>
        <w:rFonts w:hint="default"/>
        <w:lang w:val="pt-PT" w:eastAsia="en-US" w:bidi="ar-SA"/>
      </w:rPr>
    </w:lvl>
    <w:lvl w:ilvl="6">
      <w:start w:val="0"/>
      <w:numFmt w:val="bullet"/>
      <w:lvlText w:val="•"/>
      <w:lvlJc w:val="left"/>
      <w:pPr>
        <w:ind w:left="7766" w:hanging="360"/>
      </w:pPr>
      <w:rPr>
        <w:rFonts w:hint="default"/>
        <w:lang w:val="pt-PT" w:eastAsia="en-US" w:bidi="ar-SA"/>
      </w:rPr>
    </w:lvl>
    <w:lvl w:ilvl="7">
      <w:start w:val="0"/>
      <w:numFmt w:val="bullet"/>
      <w:lvlText w:val="•"/>
      <w:lvlJc w:val="left"/>
      <w:pPr>
        <w:ind w:left="8624" w:hanging="360"/>
      </w:pPr>
      <w:rPr>
        <w:rFonts w:hint="default"/>
        <w:lang w:val="pt-PT" w:eastAsia="en-US" w:bidi="ar-SA"/>
      </w:rPr>
    </w:lvl>
    <w:lvl w:ilvl="8">
      <w:start w:val="0"/>
      <w:numFmt w:val="bullet"/>
      <w:lvlText w:val="•"/>
      <w:lvlJc w:val="left"/>
      <w:pPr>
        <w:ind w:left="9482" w:hanging="360"/>
      </w:pPr>
      <w:rPr>
        <w:rFonts w:hint="default"/>
        <w:lang w:val="pt-PT" w:eastAsia="en-US" w:bidi="ar-SA"/>
      </w:rPr>
    </w:lvl>
  </w:abstractNum>
  <w:abstractNum w:abstractNumId="10">
    <w:multiLevelType w:val="hybridMultilevel"/>
    <w:lvl w:ilvl="0">
      <w:start w:val="6"/>
      <w:numFmt w:val="decimal"/>
      <w:lvlText w:val="%1"/>
      <w:lvlJc w:val="left"/>
      <w:pPr>
        <w:ind w:left="1070" w:hanging="360"/>
        <w:jc w:val="left"/>
      </w:pPr>
      <w:rPr>
        <w:rFonts w:hint="default"/>
        <w:lang w:val="pt-PT" w:eastAsia="en-US" w:bidi="ar-SA"/>
      </w:rPr>
    </w:lvl>
    <w:lvl w:ilvl="1">
      <w:start w:val="4"/>
      <w:numFmt w:val="decimal"/>
      <w:lvlText w:val="%1.%2"/>
      <w:lvlJc w:val="left"/>
      <w:pPr>
        <w:ind w:left="1070" w:hanging="360"/>
        <w:jc w:val="left"/>
      </w:pPr>
      <w:rPr>
        <w:rFonts w:hint="default" w:ascii="Times New Roman" w:hAnsi="Times New Roman" w:eastAsia="Times New Roman" w:cs="Times New Roman"/>
        <w:b/>
        <w:bCs/>
        <w:i w:val="0"/>
        <w:iCs w:val="0"/>
        <w:spacing w:val="0"/>
        <w:w w:val="100"/>
        <w:sz w:val="24"/>
        <w:szCs w:val="24"/>
        <w:lang w:val="pt-PT" w:eastAsia="en-US" w:bidi="ar-SA"/>
      </w:rPr>
    </w:lvl>
    <w:lvl w:ilvl="2">
      <w:start w:val="1"/>
      <w:numFmt w:val="decimal"/>
      <w:lvlText w:val="%1.%2.%3"/>
      <w:lvlJc w:val="left"/>
      <w:pPr>
        <w:ind w:left="1250" w:hanging="540"/>
        <w:jc w:val="left"/>
      </w:pPr>
      <w:rPr>
        <w:rFonts w:hint="default" w:ascii="Times New Roman" w:hAnsi="Times New Roman" w:eastAsia="Times New Roman" w:cs="Times New Roman"/>
        <w:b/>
        <w:bCs/>
        <w:i w:val="0"/>
        <w:iCs w:val="0"/>
        <w:spacing w:val="0"/>
        <w:w w:val="100"/>
        <w:sz w:val="24"/>
        <w:szCs w:val="24"/>
        <w:lang w:val="pt-PT" w:eastAsia="en-US" w:bidi="ar-SA"/>
      </w:rPr>
    </w:lvl>
    <w:lvl w:ilvl="3">
      <w:start w:val="0"/>
      <w:numFmt w:val="bullet"/>
      <w:lvlText w:val="•"/>
      <w:lvlJc w:val="left"/>
      <w:pPr>
        <w:ind w:left="3468" w:hanging="540"/>
      </w:pPr>
      <w:rPr>
        <w:rFonts w:hint="default"/>
        <w:lang w:val="pt-PT" w:eastAsia="en-US" w:bidi="ar-SA"/>
      </w:rPr>
    </w:lvl>
    <w:lvl w:ilvl="4">
      <w:start w:val="0"/>
      <w:numFmt w:val="bullet"/>
      <w:lvlText w:val="•"/>
      <w:lvlJc w:val="left"/>
      <w:pPr>
        <w:ind w:left="4572" w:hanging="540"/>
      </w:pPr>
      <w:rPr>
        <w:rFonts w:hint="default"/>
        <w:lang w:val="pt-PT" w:eastAsia="en-US" w:bidi="ar-SA"/>
      </w:rPr>
    </w:lvl>
    <w:lvl w:ilvl="5">
      <w:start w:val="0"/>
      <w:numFmt w:val="bullet"/>
      <w:lvlText w:val="•"/>
      <w:lvlJc w:val="left"/>
      <w:pPr>
        <w:ind w:left="5676" w:hanging="540"/>
      </w:pPr>
      <w:rPr>
        <w:rFonts w:hint="default"/>
        <w:lang w:val="pt-PT" w:eastAsia="en-US" w:bidi="ar-SA"/>
      </w:rPr>
    </w:lvl>
    <w:lvl w:ilvl="6">
      <w:start w:val="0"/>
      <w:numFmt w:val="bullet"/>
      <w:lvlText w:val="•"/>
      <w:lvlJc w:val="left"/>
      <w:pPr>
        <w:ind w:left="6781" w:hanging="540"/>
      </w:pPr>
      <w:rPr>
        <w:rFonts w:hint="default"/>
        <w:lang w:val="pt-PT" w:eastAsia="en-US" w:bidi="ar-SA"/>
      </w:rPr>
    </w:lvl>
    <w:lvl w:ilvl="7">
      <w:start w:val="0"/>
      <w:numFmt w:val="bullet"/>
      <w:lvlText w:val="•"/>
      <w:lvlJc w:val="left"/>
      <w:pPr>
        <w:ind w:left="7885" w:hanging="540"/>
      </w:pPr>
      <w:rPr>
        <w:rFonts w:hint="default"/>
        <w:lang w:val="pt-PT" w:eastAsia="en-US" w:bidi="ar-SA"/>
      </w:rPr>
    </w:lvl>
    <w:lvl w:ilvl="8">
      <w:start w:val="0"/>
      <w:numFmt w:val="bullet"/>
      <w:lvlText w:val="•"/>
      <w:lvlJc w:val="left"/>
      <w:pPr>
        <w:ind w:left="8989" w:hanging="540"/>
      </w:pPr>
      <w:rPr>
        <w:rFonts w:hint="default"/>
        <w:lang w:val="pt-PT" w:eastAsia="en-US" w:bidi="ar-SA"/>
      </w:rPr>
    </w:lvl>
  </w:abstractNum>
  <w:abstractNum w:abstractNumId="5">
    <w:multiLevelType w:val="hybridMultilevel"/>
    <w:lvl w:ilvl="0">
      <w:start w:val="0"/>
      <w:numFmt w:val="bullet"/>
      <w:lvlText w:val=""/>
      <w:lvlJc w:val="left"/>
      <w:pPr>
        <w:ind w:left="13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2307" w:hanging="360"/>
      </w:pPr>
      <w:rPr>
        <w:rFonts w:hint="default"/>
        <w:lang w:val="pt-PT" w:eastAsia="en-US" w:bidi="ar-SA"/>
      </w:rPr>
    </w:lvl>
    <w:lvl w:ilvl="2">
      <w:start w:val="0"/>
      <w:numFmt w:val="bullet"/>
      <w:lvlText w:val="•"/>
      <w:lvlJc w:val="left"/>
      <w:pPr>
        <w:ind w:left="3295" w:hanging="360"/>
      </w:pPr>
      <w:rPr>
        <w:rFonts w:hint="default"/>
        <w:lang w:val="pt-PT" w:eastAsia="en-US" w:bidi="ar-SA"/>
      </w:rPr>
    </w:lvl>
    <w:lvl w:ilvl="3">
      <w:start w:val="0"/>
      <w:numFmt w:val="bullet"/>
      <w:lvlText w:val="•"/>
      <w:lvlJc w:val="left"/>
      <w:pPr>
        <w:ind w:left="4283" w:hanging="360"/>
      </w:pPr>
      <w:rPr>
        <w:rFonts w:hint="default"/>
        <w:lang w:val="pt-PT" w:eastAsia="en-US" w:bidi="ar-SA"/>
      </w:rPr>
    </w:lvl>
    <w:lvl w:ilvl="4">
      <w:start w:val="0"/>
      <w:numFmt w:val="bullet"/>
      <w:lvlText w:val="•"/>
      <w:lvlJc w:val="left"/>
      <w:pPr>
        <w:ind w:left="5271" w:hanging="360"/>
      </w:pPr>
      <w:rPr>
        <w:rFonts w:hint="default"/>
        <w:lang w:val="pt-PT" w:eastAsia="en-US" w:bidi="ar-SA"/>
      </w:rPr>
    </w:lvl>
    <w:lvl w:ilvl="5">
      <w:start w:val="0"/>
      <w:numFmt w:val="bullet"/>
      <w:lvlText w:val="•"/>
      <w:lvlJc w:val="left"/>
      <w:pPr>
        <w:ind w:left="6259" w:hanging="360"/>
      </w:pPr>
      <w:rPr>
        <w:rFonts w:hint="default"/>
        <w:lang w:val="pt-PT" w:eastAsia="en-US" w:bidi="ar-SA"/>
      </w:rPr>
    </w:lvl>
    <w:lvl w:ilvl="6">
      <w:start w:val="0"/>
      <w:numFmt w:val="bullet"/>
      <w:lvlText w:val="•"/>
      <w:lvlJc w:val="left"/>
      <w:pPr>
        <w:ind w:left="7246" w:hanging="360"/>
      </w:pPr>
      <w:rPr>
        <w:rFonts w:hint="default"/>
        <w:lang w:val="pt-PT" w:eastAsia="en-US" w:bidi="ar-SA"/>
      </w:rPr>
    </w:lvl>
    <w:lvl w:ilvl="7">
      <w:start w:val="0"/>
      <w:numFmt w:val="bullet"/>
      <w:lvlText w:val="•"/>
      <w:lvlJc w:val="left"/>
      <w:pPr>
        <w:ind w:left="8234" w:hanging="360"/>
      </w:pPr>
      <w:rPr>
        <w:rFonts w:hint="default"/>
        <w:lang w:val="pt-PT" w:eastAsia="en-US" w:bidi="ar-SA"/>
      </w:rPr>
    </w:lvl>
    <w:lvl w:ilvl="8">
      <w:start w:val="0"/>
      <w:numFmt w:val="bullet"/>
      <w:lvlText w:val="•"/>
      <w:lvlJc w:val="left"/>
      <w:pPr>
        <w:ind w:left="9222" w:hanging="360"/>
      </w:pPr>
      <w:rPr>
        <w:rFonts w:hint="default"/>
        <w:lang w:val="pt-PT" w:eastAsia="en-US" w:bidi="ar-SA"/>
      </w:rPr>
    </w:lvl>
  </w:abstractNum>
  <w:abstractNum w:abstractNumId="4">
    <w:multiLevelType w:val="hybridMultilevel"/>
    <w:lvl w:ilvl="0">
      <w:start w:val="0"/>
      <w:numFmt w:val="bullet"/>
      <w:lvlText w:val=""/>
      <w:lvlJc w:val="left"/>
      <w:pPr>
        <w:ind w:left="13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2307" w:hanging="360"/>
      </w:pPr>
      <w:rPr>
        <w:rFonts w:hint="default"/>
        <w:lang w:val="pt-PT" w:eastAsia="en-US" w:bidi="ar-SA"/>
      </w:rPr>
    </w:lvl>
    <w:lvl w:ilvl="2">
      <w:start w:val="0"/>
      <w:numFmt w:val="bullet"/>
      <w:lvlText w:val="•"/>
      <w:lvlJc w:val="left"/>
      <w:pPr>
        <w:ind w:left="3295" w:hanging="360"/>
      </w:pPr>
      <w:rPr>
        <w:rFonts w:hint="default"/>
        <w:lang w:val="pt-PT" w:eastAsia="en-US" w:bidi="ar-SA"/>
      </w:rPr>
    </w:lvl>
    <w:lvl w:ilvl="3">
      <w:start w:val="0"/>
      <w:numFmt w:val="bullet"/>
      <w:lvlText w:val="•"/>
      <w:lvlJc w:val="left"/>
      <w:pPr>
        <w:ind w:left="4283" w:hanging="360"/>
      </w:pPr>
      <w:rPr>
        <w:rFonts w:hint="default"/>
        <w:lang w:val="pt-PT" w:eastAsia="en-US" w:bidi="ar-SA"/>
      </w:rPr>
    </w:lvl>
    <w:lvl w:ilvl="4">
      <w:start w:val="0"/>
      <w:numFmt w:val="bullet"/>
      <w:lvlText w:val="•"/>
      <w:lvlJc w:val="left"/>
      <w:pPr>
        <w:ind w:left="5271" w:hanging="360"/>
      </w:pPr>
      <w:rPr>
        <w:rFonts w:hint="default"/>
        <w:lang w:val="pt-PT" w:eastAsia="en-US" w:bidi="ar-SA"/>
      </w:rPr>
    </w:lvl>
    <w:lvl w:ilvl="5">
      <w:start w:val="0"/>
      <w:numFmt w:val="bullet"/>
      <w:lvlText w:val="•"/>
      <w:lvlJc w:val="left"/>
      <w:pPr>
        <w:ind w:left="6259" w:hanging="360"/>
      </w:pPr>
      <w:rPr>
        <w:rFonts w:hint="default"/>
        <w:lang w:val="pt-PT" w:eastAsia="en-US" w:bidi="ar-SA"/>
      </w:rPr>
    </w:lvl>
    <w:lvl w:ilvl="6">
      <w:start w:val="0"/>
      <w:numFmt w:val="bullet"/>
      <w:lvlText w:val="•"/>
      <w:lvlJc w:val="left"/>
      <w:pPr>
        <w:ind w:left="7246" w:hanging="360"/>
      </w:pPr>
      <w:rPr>
        <w:rFonts w:hint="default"/>
        <w:lang w:val="pt-PT" w:eastAsia="en-US" w:bidi="ar-SA"/>
      </w:rPr>
    </w:lvl>
    <w:lvl w:ilvl="7">
      <w:start w:val="0"/>
      <w:numFmt w:val="bullet"/>
      <w:lvlText w:val="•"/>
      <w:lvlJc w:val="left"/>
      <w:pPr>
        <w:ind w:left="8234" w:hanging="360"/>
      </w:pPr>
      <w:rPr>
        <w:rFonts w:hint="default"/>
        <w:lang w:val="pt-PT" w:eastAsia="en-US" w:bidi="ar-SA"/>
      </w:rPr>
    </w:lvl>
    <w:lvl w:ilvl="8">
      <w:start w:val="0"/>
      <w:numFmt w:val="bullet"/>
      <w:lvlText w:val="•"/>
      <w:lvlJc w:val="left"/>
      <w:pPr>
        <w:ind w:left="9222" w:hanging="360"/>
      </w:pPr>
      <w:rPr>
        <w:rFonts w:hint="default"/>
        <w:lang w:val="pt-PT" w:eastAsia="en-US" w:bidi="ar-SA"/>
      </w:rPr>
    </w:lvl>
  </w:abstractNum>
  <w:abstractNum w:abstractNumId="2">
    <w:multiLevelType w:val="hybridMultilevel"/>
    <w:lvl w:ilvl="0">
      <w:start w:val="1"/>
      <w:numFmt w:val="decimal"/>
      <w:lvlText w:val="%1."/>
      <w:lvlJc w:val="left"/>
      <w:pPr>
        <w:ind w:left="1314" w:hanging="360"/>
        <w:jc w:val="left"/>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2307" w:hanging="360"/>
      </w:pPr>
      <w:rPr>
        <w:rFonts w:hint="default"/>
        <w:lang w:val="pt-PT" w:eastAsia="en-US" w:bidi="ar-SA"/>
      </w:rPr>
    </w:lvl>
    <w:lvl w:ilvl="2">
      <w:start w:val="0"/>
      <w:numFmt w:val="bullet"/>
      <w:lvlText w:val="•"/>
      <w:lvlJc w:val="left"/>
      <w:pPr>
        <w:ind w:left="3295" w:hanging="360"/>
      </w:pPr>
      <w:rPr>
        <w:rFonts w:hint="default"/>
        <w:lang w:val="pt-PT" w:eastAsia="en-US" w:bidi="ar-SA"/>
      </w:rPr>
    </w:lvl>
    <w:lvl w:ilvl="3">
      <w:start w:val="0"/>
      <w:numFmt w:val="bullet"/>
      <w:lvlText w:val="•"/>
      <w:lvlJc w:val="left"/>
      <w:pPr>
        <w:ind w:left="4283" w:hanging="360"/>
      </w:pPr>
      <w:rPr>
        <w:rFonts w:hint="default"/>
        <w:lang w:val="pt-PT" w:eastAsia="en-US" w:bidi="ar-SA"/>
      </w:rPr>
    </w:lvl>
    <w:lvl w:ilvl="4">
      <w:start w:val="0"/>
      <w:numFmt w:val="bullet"/>
      <w:lvlText w:val="•"/>
      <w:lvlJc w:val="left"/>
      <w:pPr>
        <w:ind w:left="5271" w:hanging="360"/>
      </w:pPr>
      <w:rPr>
        <w:rFonts w:hint="default"/>
        <w:lang w:val="pt-PT" w:eastAsia="en-US" w:bidi="ar-SA"/>
      </w:rPr>
    </w:lvl>
    <w:lvl w:ilvl="5">
      <w:start w:val="0"/>
      <w:numFmt w:val="bullet"/>
      <w:lvlText w:val="•"/>
      <w:lvlJc w:val="left"/>
      <w:pPr>
        <w:ind w:left="6259" w:hanging="360"/>
      </w:pPr>
      <w:rPr>
        <w:rFonts w:hint="default"/>
        <w:lang w:val="pt-PT" w:eastAsia="en-US" w:bidi="ar-SA"/>
      </w:rPr>
    </w:lvl>
    <w:lvl w:ilvl="6">
      <w:start w:val="0"/>
      <w:numFmt w:val="bullet"/>
      <w:lvlText w:val="•"/>
      <w:lvlJc w:val="left"/>
      <w:pPr>
        <w:ind w:left="7246" w:hanging="360"/>
      </w:pPr>
      <w:rPr>
        <w:rFonts w:hint="default"/>
        <w:lang w:val="pt-PT" w:eastAsia="en-US" w:bidi="ar-SA"/>
      </w:rPr>
    </w:lvl>
    <w:lvl w:ilvl="7">
      <w:start w:val="0"/>
      <w:numFmt w:val="bullet"/>
      <w:lvlText w:val="•"/>
      <w:lvlJc w:val="left"/>
      <w:pPr>
        <w:ind w:left="8234" w:hanging="360"/>
      </w:pPr>
      <w:rPr>
        <w:rFonts w:hint="default"/>
        <w:lang w:val="pt-PT" w:eastAsia="en-US" w:bidi="ar-SA"/>
      </w:rPr>
    </w:lvl>
    <w:lvl w:ilvl="8">
      <w:start w:val="0"/>
      <w:numFmt w:val="bullet"/>
      <w:lvlText w:val="•"/>
      <w:lvlJc w:val="left"/>
      <w:pPr>
        <w:ind w:left="9222" w:hanging="360"/>
      </w:pPr>
      <w:rPr>
        <w:rFonts w:hint="default"/>
        <w:lang w:val="pt-PT" w:eastAsia="en-US" w:bidi="ar-SA"/>
      </w:rPr>
    </w:lvl>
  </w:abstractNum>
  <w:abstractNum w:abstractNumId="6">
    <w:multiLevelType w:val="hybridMultilevel"/>
    <w:lvl w:ilvl="0">
      <w:start w:val="0"/>
      <w:numFmt w:val="bullet"/>
      <w:lvlText w:val=""/>
      <w:lvlJc w:val="left"/>
      <w:pPr>
        <w:ind w:left="13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2307" w:hanging="360"/>
      </w:pPr>
      <w:rPr>
        <w:rFonts w:hint="default"/>
        <w:lang w:val="pt-PT" w:eastAsia="en-US" w:bidi="ar-SA"/>
      </w:rPr>
    </w:lvl>
    <w:lvl w:ilvl="2">
      <w:start w:val="0"/>
      <w:numFmt w:val="bullet"/>
      <w:lvlText w:val="•"/>
      <w:lvlJc w:val="left"/>
      <w:pPr>
        <w:ind w:left="3295" w:hanging="360"/>
      </w:pPr>
      <w:rPr>
        <w:rFonts w:hint="default"/>
        <w:lang w:val="pt-PT" w:eastAsia="en-US" w:bidi="ar-SA"/>
      </w:rPr>
    </w:lvl>
    <w:lvl w:ilvl="3">
      <w:start w:val="0"/>
      <w:numFmt w:val="bullet"/>
      <w:lvlText w:val="•"/>
      <w:lvlJc w:val="left"/>
      <w:pPr>
        <w:ind w:left="4283" w:hanging="360"/>
      </w:pPr>
      <w:rPr>
        <w:rFonts w:hint="default"/>
        <w:lang w:val="pt-PT" w:eastAsia="en-US" w:bidi="ar-SA"/>
      </w:rPr>
    </w:lvl>
    <w:lvl w:ilvl="4">
      <w:start w:val="0"/>
      <w:numFmt w:val="bullet"/>
      <w:lvlText w:val="•"/>
      <w:lvlJc w:val="left"/>
      <w:pPr>
        <w:ind w:left="5271" w:hanging="360"/>
      </w:pPr>
      <w:rPr>
        <w:rFonts w:hint="default"/>
        <w:lang w:val="pt-PT" w:eastAsia="en-US" w:bidi="ar-SA"/>
      </w:rPr>
    </w:lvl>
    <w:lvl w:ilvl="5">
      <w:start w:val="0"/>
      <w:numFmt w:val="bullet"/>
      <w:lvlText w:val="•"/>
      <w:lvlJc w:val="left"/>
      <w:pPr>
        <w:ind w:left="6259" w:hanging="360"/>
      </w:pPr>
      <w:rPr>
        <w:rFonts w:hint="default"/>
        <w:lang w:val="pt-PT" w:eastAsia="en-US" w:bidi="ar-SA"/>
      </w:rPr>
    </w:lvl>
    <w:lvl w:ilvl="6">
      <w:start w:val="0"/>
      <w:numFmt w:val="bullet"/>
      <w:lvlText w:val="•"/>
      <w:lvlJc w:val="left"/>
      <w:pPr>
        <w:ind w:left="7246" w:hanging="360"/>
      </w:pPr>
      <w:rPr>
        <w:rFonts w:hint="default"/>
        <w:lang w:val="pt-PT" w:eastAsia="en-US" w:bidi="ar-SA"/>
      </w:rPr>
    </w:lvl>
    <w:lvl w:ilvl="7">
      <w:start w:val="0"/>
      <w:numFmt w:val="bullet"/>
      <w:lvlText w:val="•"/>
      <w:lvlJc w:val="left"/>
      <w:pPr>
        <w:ind w:left="8234" w:hanging="360"/>
      </w:pPr>
      <w:rPr>
        <w:rFonts w:hint="default"/>
        <w:lang w:val="pt-PT" w:eastAsia="en-US" w:bidi="ar-SA"/>
      </w:rPr>
    </w:lvl>
    <w:lvl w:ilvl="8">
      <w:start w:val="0"/>
      <w:numFmt w:val="bullet"/>
      <w:lvlText w:val="•"/>
      <w:lvlJc w:val="left"/>
      <w:pPr>
        <w:ind w:left="9222" w:hanging="360"/>
      </w:pPr>
      <w:rPr>
        <w:rFonts w:hint="default"/>
        <w:lang w:val="pt-PT" w:eastAsia="en-US" w:bidi="ar-SA"/>
      </w:rPr>
    </w:lvl>
  </w:abstractNum>
  <w:abstractNum w:abstractNumId="8">
    <w:multiLevelType w:val="hybridMultilevel"/>
    <w:lvl w:ilvl="0">
      <w:start w:val="0"/>
      <w:numFmt w:val="bullet"/>
      <w:lvlText w:val=""/>
      <w:lvlJc w:val="left"/>
      <w:pPr>
        <w:ind w:left="2626"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3477" w:hanging="360"/>
      </w:pPr>
      <w:rPr>
        <w:rFonts w:hint="default"/>
        <w:lang w:val="pt-PT" w:eastAsia="en-US" w:bidi="ar-SA"/>
      </w:rPr>
    </w:lvl>
    <w:lvl w:ilvl="2">
      <w:start w:val="0"/>
      <w:numFmt w:val="bullet"/>
      <w:lvlText w:val="•"/>
      <w:lvlJc w:val="left"/>
      <w:pPr>
        <w:ind w:left="4335" w:hanging="360"/>
      </w:pPr>
      <w:rPr>
        <w:rFonts w:hint="default"/>
        <w:lang w:val="pt-PT" w:eastAsia="en-US" w:bidi="ar-SA"/>
      </w:rPr>
    </w:lvl>
    <w:lvl w:ilvl="3">
      <w:start w:val="0"/>
      <w:numFmt w:val="bullet"/>
      <w:lvlText w:val="•"/>
      <w:lvlJc w:val="left"/>
      <w:pPr>
        <w:ind w:left="5193" w:hanging="360"/>
      </w:pPr>
      <w:rPr>
        <w:rFonts w:hint="default"/>
        <w:lang w:val="pt-PT" w:eastAsia="en-US" w:bidi="ar-SA"/>
      </w:rPr>
    </w:lvl>
    <w:lvl w:ilvl="4">
      <w:start w:val="0"/>
      <w:numFmt w:val="bullet"/>
      <w:lvlText w:val="•"/>
      <w:lvlJc w:val="left"/>
      <w:pPr>
        <w:ind w:left="6051" w:hanging="360"/>
      </w:pPr>
      <w:rPr>
        <w:rFonts w:hint="default"/>
        <w:lang w:val="pt-PT" w:eastAsia="en-US" w:bidi="ar-SA"/>
      </w:rPr>
    </w:lvl>
    <w:lvl w:ilvl="5">
      <w:start w:val="0"/>
      <w:numFmt w:val="bullet"/>
      <w:lvlText w:val="•"/>
      <w:lvlJc w:val="left"/>
      <w:pPr>
        <w:ind w:left="6909" w:hanging="360"/>
      </w:pPr>
      <w:rPr>
        <w:rFonts w:hint="default"/>
        <w:lang w:val="pt-PT" w:eastAsia="en-US" w:bidi="ar-SA"/>
      </w:rPr>
    </w:lvl>
    <w:lvl w:ilvl="6">
      <w:start w:val="0"/>
      <w:numFmt w:val="bullet"/>
      <w:lvlText w:val="•"/>
      <w:lvlJc w:val="left"/>
      <w:pPr>
        <w:ind w:left="7766" w:hanging="360"/>
      </w:pPr>
      <w:rPr>
        <w:rFonts w:hint="default"/>
        <w:lang w:val="pt-PT" w:eastAsia="en-US" w:bidi="ar-SA"/>
      </w:rPr>
    </w:lvl>
    <w:lvl w:ilvl="7">
      <w:start w:val="0"/>
      <w:numFmt w:val="bullet"/>
      <w:lvlText w:val="•"/>
      <w:lvlJc w:val="left"/>
      <w:pPr>
        <w:ind w:left="8624" w:hanging="360"/>
      </w:pPr>
      <w:rPr>
        <w:rFonts w:hint="default"/>
        <w:lang w:val="pt-PT" w:eastAsia="en-US" w:bidi="ar-SA"/>
      </w:rPr>
    </w:lvl>
    <w:lvl w:ilvl="8">
      <w:start w:val="0"/>
      <w:numFmt w:val="bullet"/>
      <w:lvlText w:val="•"/>
      <w:lvlJc w:val="left"/>
      <w:pPr>
        <w:ind w:left="9482" w:hanging="360"/>
      </w:pPr>
      <w:rPr>
        <w:rFonts w:hint="default"/>
        <w:lang w:val="pt-PT" w:eastAsia="en-US" w:bidi="ar-SA"/>
      </w:rPr>
    </w:lvl>
  </w:abstractNum>
  <w:abstractNum w:abstractNumId="9">
    <w:multiLevelType w:val="hybridMultilevel"/>
    <w:lvl w:ilvl="0">
      <w:start w:val="0"/>
      <w:numFmt w:val="bullet"/>
      <w:lvlText w:val=""/>
      <w:lvlJc w:val="left"/>
      <w:pPr>
        <w:ind w:left="13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o"/>
      <w:lvlJc w:val="left"/>
      <w:pPr>
        <w:ind w:left="2034" w:hanging="360"/>
      </w:pPr>
      <w:rPr>
        <w:rFonts w:hint="default" w:ascii="Courier New" w:hAnsi="Courier New" w:eastAsia="Courier New" w:cs="Courier New"/>
        <w:b w:val="0"/>
        <w:bCs w:val="0"/>
        <w:i w:val="0"/>
        <w:iCs w:val="0"/>
        <w:spacing w:val="0"/>
        <w:w w:val="100"/>
        <w:sz w:val="24"/>
        <w:szCs w:val="24"/>
        <w:lang w:val="pt-PT" w:eastAsia="en-US" w:bidi="ar-SA"/>
      </w:rPr>
    </w:lvl>
    <w:lvl w:ilvl="2">
      <w:start w:val="0"/>
      <w:numFmt w:val="bullet"/>
      <w:lvlText w:val="•"/>
      <w:lvlJc w:val="left"/>
      <w:pPr>
        <w:ind w:left="3057" w:hanging="360"/>
      </w:pPr>
      <w:rPr>
        <w:rFonts w:hint="default"/>
        <w:lang w:val="pt-PT" w:eastAsia="en-US" w:bidi="ar-SA"/>
      </w:rPr>
    </w:lvl>
    <w:lvl w:ilvl="3">
      <w:start w:val="0"/>
      <w:numFmt w:val="bullet"/>
      <w:lvlText w:val="•"/>
      <w:lvlJc w:val="left"/>
      <w:pPr>
        <w:ind w:left="4075" w:hanging="360"/>
      </w:pPr>
      <w:rPr>
        <w:rFonts w:hint="default"/>
        <w:lang w:val="pt-PT" w:eastAsia="en-US" w:bidi="ar-SA"/>
      </w:rPr>
    </w:lvl>
    <w:lvl w:ilvl="4">
      <w:start w:val="0"/>
      <w:numFmt w:val="bullet"/>
      <w:lvlText w:val="•"/>
      <w:lvlJc w:val="left"/>
      <w:pPr>
        <w:ind w:left="5092" w:hanging="360"/>
      </w:pPr>
      <w:rPr>
        <w:rFonts w:hint="default"/>
        <w:lang w:val="pt-PT" w:eastAsia="en-US" w:bidi="ar-SA"/>
      </w:rPr>
    </w:lvl>
    <w:lvl w:ilvl="5">
      <w:start w:val="0"/>
      <w:numFmt w:val="bullet"/>
      <w:lvlText w:val="•"/>
      <w:lvlJc w:val="left"/>
      <w:pPr>
        <w:ind w:left="6110" w:hanging="360"/>
      </w:pPr>
      <w:rPr>
        <w:rFonts w:hint="default"/>
        <w:lang w:val="pt-PT" w:eastAsia="en-US" w:bidi="ar-SA"/>
      </w:rPr>
    </w:lvl>
    <w:lvl w:ilvl="6">
      <w:start w:val="0"/>
      <w:numFmt w:val="bullet"/>
      <w:lvlText w:val="•"/>
      <w:lvlJc w:val="left"/>
      <w:pPr>
        <w:ind w:left="7127" w:hanging="360"/>
      </w:pPr>
      <w:rPr>
        <w:rFonts w:hint="default"/>
        <w:lang w:val="pt-PT" w:eastAsia="en-US" w:bidi="ar-SA"/>
      </w:rPr>
    </w:lvl>
    <w:lvl w:ilvl="7">
      <w:start w:val="0"/>
      <w:numFmt w:val="bullet"/>
      <w:lvlText w:val="•"/>
      <w:lvlJc w:val="left"/>
      <w:pPr>
        <w:ind w:left="8145" w:hanging="360"/>
      </w:pPr>
      <w:rPr>
        <w:rFonts w:hint="default"/>
        <w:lang w:val="pt-PT" w:eastAsia="en-US" w:bidi="ar-SA"/>
      </w:rPr>
    </w:lvl>
    <w:lvl w:ilvl="8">
      <w:start w:val="0"/>
      <w:numFmt w:val="bullet"/>
      <w:lvlText w:val="•"/>
      <w:lvlJc w:val="left"/>
      <w:pPr>
        <w:ind w:left="9162" w:hanging="360"/>
      </w:pPr>
      <w:rPr>
        <w:rFonts w:hint="default"/>
        <w:lang w:val="pt-PT" w:eastAsia="en-US" w:bidi="ar-SA"/>
      </w:rPr>
    </w:lvl>
  </w:abstractNum>
  <w:abstractNum w:abstractNumId="3">
    <w:multiLevelType w:val="hybridMultilevel"/>
    <w:lvl w:ilvl="0">
      <w:start w:val="0"/>
      <w:numFmt w:val="bullet"/>
      <w:lvlText w:val=""/>
      <w:lvlJc w:val="left"/>
      <w:pPr>
        <w:ind w:left="1314" w:hanging="360"/>
      </w:pPr>
      <w:rPr>
        <w:rFonts w:hint="default" w:ascii="Symbol" w:hAnsi="Symbol" w:eastAsia="Symbol" w:cs="Symbol"/>
        <w:b w:val="0"/>
        <w:bCs w:val="0"/>
        <w:i w:val="0"/>
        <w:iCs w:val="0"/>
        <w:spacing w:val="0"/>
        <w:w w:val="100"/>
        <w:sz w:val="24"/>
        <w:szCs w:val="24"/>
        <w:lang w:val="pt-PT" w:eastAsia="en-US" w:bidi="ar-SA"/>
      </w:rPr>
    </w:lvl>
    <w:lvl w:ilvl="1">
      <w:start w:val="0"/>
      <w:numFmt w:val="bullet"/>
      <w:lvlText w:val="•"/>
      <w:lvlJc w:val="left"/>
      <w:pPr>
        <w:ind w:left="2307" w:hanging="360"/>
      </w:pPr>
      <w:rPr>
        <w:rFonts w:hint="default"/>
        <w:lang w:val="pt-PT" w:eastAsia="en-US" w:bidi="ar-SA"/>
      </w:rPr>
    </w:lvl>
    <w:lvl w:ilvl="2">
      <w:start w:val="0"/>
      <w:numFmt w:val="bullet"/>
      <w:lvlText w:val="•"/>
      <w:lvlJc w:val="left"/>
      <w:pPr>
        <w:ind w:left="3295" w:hanging="360"/>
      </w:pPr>
      <w:rPr>
        <w:rFonts w:hint="default"/>
        <w:lang w:val="pt-PT" w:eastAsia="en-US" w:bidi="ar-SA"/>
      </w:rPr>
    </w:lvl>
    <w:lvl w:ilvl="3">
      <w:start w:val="0"/>
      <w:numFmt w:val="bullet"/>
      <w:lvlText w:val="•"/>
      <w:lvlJc w:val="left"/>
      <w:pPr>
        <w:ind w:left="4283" w:hanging="360"/>
      </w:pPr>
      <w:rPr>
        <w:rFonts w:hint="default"/>
        <w:lang w:val="pt-PT" w:eastAsia="en-US" w:bidi="ar-SA"/>
      </w:rPr>
    </w:lvl>
    <w:lvl w:ilvl="4">
      <w:start w:val="0"/>
      <w:numFmt w:val="bullet"/>
      <w:lvlText w:val="•"/>
      <w:lvlJc w:val="left"/>
      <w:pPr>
        <w:ind w:left="5271" w:hanging="360"/>
      </w:pPr>
      <w:rPr>
        <w:rFonts w:hint="default"/>
        <w:lang w:val="pt-PT" w:eastAsia="en-US" w:bidi="ar-SA"/>
      </w:rPr>
    </w:lvl>
    <w:lvl w:ilvl="5">
      <w:start w:val="0"/>
      <w:numFmt w:val="bullet"/>
      <w:lvlText w:val="•"/>
      <w:lvlJc w:val="left"/>
      <w:pPr>
        <w:ind w:left="6259" w:hanging="360"/>
      </w:pPr>
      <w:rPr>
        <w:rFonts w:hint="default"/>
        <w:lang w:val="pt-PT" w:eastAsia="en-US" w:bidi="ar-SA"/>
      </w:rPr>
    </w:lvl>
    <w:lvl w:ilvl="6">
      <w:start w:val="0"/>
      <w:numFmt w:val="bullet"/>
      <w:lvlText w:val="•"/>
      <w:lvlJc w:val="left"/>
      <w:pPr>
        <w:ind w:left="7246" w:hanging="360"/>
      </w:pPr>
      <w:rPr>
        <w:rFonts w:hint="default"/>
        <w:lang w:val="pt-PT" w:eastAsia="en-US" w:bidi="ar-SA"/>
      </w:rPr>
    </w:lvl>
    <w:lvl w:ilvl="7">
      <w:start w:val="0"/>
      <w:numFmt w:val="bullet"/>
      <w:lvlText w:val="•"/>
      <w:lvlJc w:val="left"/>
      <w:pPr>
        <w:ind w:left="8234" w:hanging="360"/>
      </w:pPr>
      <w:rPr>
        <w:rFonts w:hint="default"/>
        <w:lang w:val="pt-PT" w:eastAsia="en-US" w:bidi="ar-SA"/>
      </w:rPr>
    </w:lvl>
    <w:lvl w:ilvl="8">
      <w:start w:val="0"/>
      <w:numFmt w:val="bullet"/>
      <w:lvlText w:val="•"/>
      <w:lvlJc w:val="left"/>
      <w:pPr>
        <w:ind w:left="9222" w:hanging="360"/>
      </w:pPr>
      <w:rPr>
        <w:rFonts w:hint="default"/>
        <w:lang w:val="pt-PT" w:eastAsia="en-US" w:bidi="ar-SA"/>
      </w:rPr>
    </w:lvl>
  </w:abstractNum>
  <w:abstractNum w:abstractNumId="1">
    <w:multiLevelType w:val="hybridMultilevel"/>
    <w:lvl w:ilvl="0">
      <w:start w:val="1"/>
      <w:numFmt w:val="decimal"/>
      <w:lvlText w:val="%1."/>
      <w:lvlJc w:val="left"/>
      <w:pPr>
        <w:ind w:left="1432" w:hanging="720"/>
        <w:jc w:val="left"/>
      </w:pPr>
      <w:rPr>
        <w:rFonts w:hint="default" w:ascii="Arial" w:hAnsi="Arial" w:eastAsia="Arial" w:cs="Arial"/>
        <w:b/>
        <w:bCs/>
        <w:i w:val="0"/>
        <w:iCs w:val="0"/>
        <w:spacing w:val="0"/>
        <w:w w:val="100"/>
        <w:sz w:val="24"/>
        <w:szCs w:val="24"/>
        <w:lang w:val="pt-PT" w:eastAsia="en-US" w:bidi="ar-SA"/>
      </w:rPr>
    </w:lvl>
    <w:lvl w:ilvl="1">
      <w:start w:val="1"/>
      <w:numFmt w:val="decimal"/>
      <w:lvlText w:val="%1.%2."/>
      <w:lvlJc w:val="left"/>
      <w:pPr>
        <w:ind w:left="1314" w:hanging="720"/>
        <w:jc w:val="left"/>
      </w:pPr>
      <w:rPr>
        <w:rFonts w:hint="default" w:ascii="Arial" w:hAnsi="Arial" w:eastAsia="Arial" w:cs="Arial"/>
        <w:b/>
        <w:bCs/>
        <w:i w:val="0"/>
        <w:iCs w:val="0"/>
        <w:spacing w:val="-1"/>
        <w:w w:val="100"/>
        <w:sz w:val="24"/>
        <w:szCs w:val="24"/>
        <w:lang w:val="pt-PT" w:eastAsia="en-US" w:bidi="ar-SA"/>
      </w:rPr>
    </w:lvl>
    <w:lvl w:ilvl="2">
      <w:start w:val="1"/>
      <w:numFmt w:val="decimal"/>
      <w:lvlText w:val="%1.%2.%3."/>
      <w:lvlJc w:val="left"/>
      <w:pPr>
        <w:ind w:left="1432" w:hanging="720"/>
        <w:jc w:val="left"/>
      </w:pPr>
      <w:rPr>
        <w:rFonts w:hint="default" w:ascii="Arial" w:hAnsi="Arial" w:eastAsia="Arial" w:cs="Arial"/>
        <w:b/>
        <w:bCs/>
        <w:i w:val="0"/>
        <w:iCs w:val="0"/>
        <w:spacing w:val="-4"/>
        <w:w w:val="100"/>
        <w:sz w:val="24"/>
        <w:szCs w:val="24"/>
        <w:lang w:val="pt-PT" w:eastAsia="en-US" w:bidi="ar-SA"/>
      </w:rPr>
    </w:lvl>
    <w:lvl w:ilvl="3">
      <w:start w:val="0"/>
      <w:numFmt w:val="bullet"/>
      <w:lvlText w:val="•"/>
      <w:lvlJc w:val="left"/>
      <w:pPr>
        <w:ind w:left="2659" w:hanging="720"/>
      </w:pPr>
      <w:rPr>
        <w:rFonts w:hint="default"/>
        <w:lang w:val="pt-PT" w:eastAsia="en-US" w:bidi="ar-SA"/>
      </w:rPr>
    </w:lvl>
    <w:lvl w:ilvl="4">
      <w:start w:val="0"/>
      <w:numFmt w:val="bullet"/>
      <w:lvlText w:val="•"/>
      <w:lvlJc w:val="left"/>
      <w:pPr>
        <w:ind w:left="3879" w:hanging="720"/>
      </w:pPr>
      <w:rPr>
        <w:rFonts w:hint="default"/>
        <w:lang w:val="pt-PT" w:eastAsia="en-US" w:bidi="ar-SA"/>
      </w:rPr>
    </w:lvl>
    <w:lvl w:ilvl="5">
      <w:start w:val="0"/>
      <w:numFmt w:val="bullet"/>
      <w:lvlText w:val="•"/>
      <w:lvlJc w:val="left"/>
      <w:pPr>
        <w:ind w:left="5099" w:hanging="720"/>
      </w:pPr>
      <w:rPr>
        <w:rFonts w:hint="default"/>
        <w:lang w:val="pt-PT" w:eastAsia="en-US" w:bidi="ar-SA"/>
      </w:rPr>
    </w:lvl>
    <w:lvl w:ilvl="6">
      <w:start w:val="0"/>
      <w:numFmt w:val="bullet"/>
      <w:lvlText w:val="•"/>
      <w:lvlJc w:val="left"/>
      <w:pPr>
        <w:ind w:left="6319" w:hanging="720"/>
      </w:pPr>
      <w:rPr>
        <w:rFonts w:hint="default"/>
        <w:lang w:val="pt-PT" w:eastAsia="en-US" w:bidi="ar-SA"/>
      </w:rPr>
    </w:lvl>
    <w:lvl w:ilvl="7">
      <w:start w:val="0"/>
      <w:numFmt w:val="bullet"/>
      <w:lvlText w:val="•"/>
      <w:lvlJc w:val="left"/>
      <w:pPr>
        <w:ind w:left="7538" w:hanging="720"/>
      </w:pPr>
      <w:rPr>
        <w:rFonts w:hint="default"/>
        <w:lang w:val="pt-PT" w:eastAsia="en-US" w:bidi="ar-SA"/>
      </w:rPr>
    </w:lvl>
    <w:lvl w:ilvl="8">
      <w:start w:val="0"/>
      <w:numFmt w:val="bullet"/>
      <w:lvlText w:val="•"/>
      <w:lvlJc w:val="left"/>
      <w:pPr>
        <w:ind w:left="8758" w:hanging="720"/>
      </w:pPr>
      <w:rPr>
        <w:rFonts w:hint="default"/>
        <w:lang w:val="pt-PT" w:eastAsia="en-US" w:bidi="ar-SA"/>
      </w:rPr>
    </w:lvl>
  </w:abstractNum>
  <w:abstractNum w:abstractNumId="0">
    <w:multiLevelType w:val="hybridMultilevel"/>
    <w:lvl w:ilvl="0">
      <w:start w:val="1"/>
      <w:numFmt w:val="decimal"/>
      <w:lvlText w:val="%1."/>
      <w:lvlJc w:val="left"/>
      <w:pPr>
        <w:ind w:left="1420" w:hanging="708"/>
        <w:jc w:val="left"/>
      </w:pPr>
      <w:rPr>
        <w:rFonts w:hint="default" w:ascii="Arial" w:hAnsi="Arial" w:eastAsia="Arial" w:cs="Arial"/>
        <w:b/>
        <w:bCs/>
        <w:i w:val="0"/>
        <w:iCs w:val="0"/>
        <w:spacing w:val="0"/>
        <w:w w:val="100"/>
        <w:sz w:val="24"/>
        <w:szCs w:val="24"/>
        <w:lang w:val="pt-PT" w:eastAsia="en-US" w:bidi="ar-SA"/>
      </w:rPr>
    </w:lvl>
    <w:lvl w:ilvl="1">
      <w:start w:val="0"/>
      <w:numFmt w:val="bullet"/>
      <w:lvlText w:val="•"/>
      <w:lvlJc w:val="left"/>
      <w:pPr>
        <w:ind w:left="2397" w:hanging="708"/>
      </w:pPr>
      <w:rPr>
        <w:rFonts w:hint="default"/>
        <w:lang w:val="pt-PT" w:eastAsia="en-US" w:bidi="ar-SA"/>
      </w:rPr>
    </w:lvl>
    <w:lvl w:ilvl="2">
      <w:start w:val="0"/>
      <w:numFmt w:val="bullet"/>
      <w:lvlText w:val="•"/>
      <w:lvlJc w:val="left"/>
      <w:pPr>
        <w:ind w:left="3375" w:hanging="708"/>
      </w:pPr>
      <w:rPr>
        <w:rFonts w:hint="default"/>
        <w:lang w:val="pt-PT" w:eastAsia="en-US" w:bidi="ar-SA"/>
      </w:rPr>
    </w:lvl>
    <w:lvl w:ilvl="3">
      <w:start w:val="0"/>
      <w:numFmt w:val="bullet"/>
      <w:lvlText w:val="•"/>
      <w:lvlJc w:val="left"/>
      <w:pPr>
        <w:ind w:left="4353" w:hanging="708"/>
      </w:pPr>
      <w:rPr>
        <w:rFonts w:hint="default"/>
        <w:lang w:val="pt-PT" w:eastAsia="en-US" w:bidi="ar-SA"/>
      </w:rPr>
    </w:lvl>
    <w:lvl w:ilvl="4">
      <w:start w:val="0"/>
      <w:numFmt w:val="bullet"/>
      <w:lvlText w:val="•"/>
      <w:lvlJc w:val="left"/>
      <w:pPr>
        <w:ind w:left="5331" w:hanging="708"/>
      </w:pPr>
      <w:rPr>
        <w:rFonts w:hint="default"/>
        <w:lang w:val="pt-PT" w:eastAsia="en-US" w:bidi="ar-SA"/>
      </w:rPr>
    </w:lvl>
    <w:lvl w:ilvl="5">
      <w:start w:val="0"/>
      <w:numFmt w:val="bullet"/>
      <w:lvlText w:val="•"/>
      <w:lvlJc w:val="left"/>
      <w:pPr>
        <w:ind w:left="6309" w:hanging="708"/>
      </w:pPr>
      <w:rPr>
        <w:rFonts w:hint="default"/>
        <w:lang w:val="pt-PT" w:eastAsia="en-US" w:bidi="ar-SA"/>
      </w:rPr>
    </w:lvl>
    <w:lvl w:ilvl="6">
      <w:start w:val="0"/>
      <w:numFmt w:val="bullet"/>
      <w:lvlText w:val="•"/>
      <w:lvlJc w:val="left"/>
      <w:pPr>
        <w:ind w:left="7286" w:hanging="708"/>
      </w:pPr>
      <w:rPr>
        <w:rFonts w:hint="default"/>
        <w:lang w:val="pt-PT" w:eastAsia="en-US" w:bidi="ar-SA"/>
      </w:rPr>
    </w:lvl>
    <w:lvl w:ilvl="7">
      <w:start w:val="0"/>
      <w:numFmt w:val="bullet"/>
      <w:lvlText w:val="•"/>
      <w:lvlJc w:val="left"/>
      <w:pPr>
        <w:ind w:left="8264" w:hanging="708"/>
      </w:pPr>
      <w:rPr>
        <w:rFonts w:hint="default"/>
        <w:lang w:val="pt-PT" w:eastAsia="en-US" w:bidi="ar-SA"/>
      </w:rPr>
    </w:lvl>
    <w:lvl w:ilvl="8">
      <w:start w:val="0"/>
      <w:numFmt w:val="bullet"/>
      <w:lvlText w:val="•"/>
      <w:lvlJc w:val="left"/>
      <w:pPr>
        <w:ind w:left="9242" w:hanging="708"/>
      </w:pPr>
      <w:rPr>
        <w:rFonts w:hint="default"/>
        <w:lang w:val="pt-PT" w:eastAsia="en-US" w:bidi="ar-SA"/>
      </w:rPr>
    </w:lvl>
  </w:abstractNum>
  <w:num w:numId="8">
    <w:abstractNumId w:val="7"/>
  </w:num>
  <w:num w:numId="11">
    <w:abstractNumId w:val="10"/>
  </w:num>
  <w:num w:numId="6">
    <w:abstractNumId w:val="5"/>
  </w:num>
  <w:num w:numId="5">
    <w:abstractNumId w:val="4"/>
  </w:num>
  <w:num w:numId="3">
    <w:abstractNumId w:val="2"/>
  </w:num>
  <w:num w:numId="7">
    <w:abstractNumId w:val="6"/>
  </w:num>
  <w:num w:numId="9">
    <w:abstractNumId w:val="8"/>
  </w:num>
  <w:num w:numId="10">
    <w:abstractNumId w:val="9"/>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TOC1" w:type="paragraph">
    <w:name w:val="TOC 1"/>
    <w:basedOn w:val="Normal"/>
    <w:uiPriority w:val="1"/>
    <w:qFormat/>
    <w:pPr>
      <w:spacing w:before="137"/>
      <w:ind w:left="1419" w:hanging="707"/>
    </w:pPr>
    <w:rPr>
      <w:rFonts w:ascii="Times New Roman" w:hAnsi="Times New Roman" w:eastAsia="Times New Roman" w:cs="Times New Roman"/>
      <w:b/>
      <w:bCs/>
      <w:sz w:val="24"/>
      <w:szCs w:val="24"/>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593"/>
      <w:outlineLvl w:val="1"/>
    </w:pPr>
    <w:rPr>
      <w:rFonts w:ascii="Times New Roman" w:hAnsi="Times New Roman" w:eastAsia="Times New Roman" w:cs="Times New Roman"/>
      <w:b/>
      <w:bCs/>
      <w:sz w:val="24"/>
      <w:szCs w:val="24"/>
      <w:lang w:val="pt-PT" w:eastAsia="en-US" w:bidi="ar-SA"/>
    </w:rPr>
  </w:style>
  <w:style w:styleId="Title" w:type="paragraph">
    <w:name w:val="Title"/>
    <w:basedOn w:val="Normal"/>
    <w:uiPriority w:val="1"/>
    <w:qFormat/>
    <w:pPr>
      <w:ind w:left="1072"/>
    </w:pPr>
    <w:rPr>
      <w:rFonts w:ascii="Corbel" w:hAnsi="Corbel" w:eastAsia="Corbel" w:cs="Corbel"/>
      <w:b/>
      <w:bCs/>
      <w:sz w:val="80"/>
      <w:szCs w:val="80"/>
      <w:lang w:val="pt-PT" w:eastAsia="en-US" w:bidi="ar-SA"/>
    </w:rPr>
  </w:style>
  <w:style w:styleId="ListParagraph" w:type="paragraph">
    <w:name w:val="List Paragraph"/>
    <w:basedOn w:val="Normal"/>
    <w:uiPriority w:val="1"/>
    <w:qFormat/>
    <w:pPr>
      <w:spacing w:before="1"/>
      <w:ind w:left="1313" w:hanging="360"/>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image" Target="media/image2.pn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jpeg"/><Relationship Id="rId16" Type="http://schemas.openxmlformats.org/officeDocument/2006/relationships/image" Target="media/image6.pn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jpeg"/><Relationship Id="rId30" Type="http://schemas.openxmlformats.org/officeDocument/2006/relationships/image" Target="media/image20.jpeg"/><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jpeg"/><Relationship Id="rId36" Type="http://schemas.openxmlformats.org/officeDocument/2006/relationships/image" Target="media/image26.jpeg"/><Relationship Id="rId37" Type="http://schemas.openxmlformats.org/officeDocument/2006/relationships/image" Target="media/image27.jpeg"/><Relationship Id="rId38" Type="http://schemas.openxmlformats.org/officeDocument/2006/relationships/image" Target="media/image28.jpeg"/><Relationship Id="rId39" Type="http://schemas.openxmlformats.org/officeDocument/2006/relationships/image" Target="media/image29.jpeg"/><Relationship Id="rId40" Type="http://schemas.openxmlformats.org/officeDocument/2006/relationships/image" Target="media/image30.jpeg"/><Relationship Id="rId41" Type="http://schemas.openxmlformats.org/officeDocument/2006/relationships/image" Target="media/image31.jpeg"/><Relationship Id="rId42" Type="http://schemas.openxmlformats.org/officeDocument/2006/relationships/image" Target="media/image32.jpeg"/><Relationship Id="rId43" Type="http://schemas.openxmlformats.org/officeDocument/2006/relationships/image" Target="media/image33.png"/><Relationship Id="rId44" Type="http://schemas.openxmlformats.org/officeDocument/2006/relationships/image" Target="media/image34.jpeg"/><Relationship Id="rId45" Type="http://schemas.openxmlformats.org/officeDocument/2006/relationships/image" Target="media/image35.jpeg"/><Relationship Id="rId46" Type="http://schemas.openxmlformats.org/officeDocument/2006/relationships/image" Target="media/image36.jpeg"/><Relationship Id="rId47" Type="http://schemas.openxmlformats.org/officeDocument/2006/relationships/image" Target="media/image37.jpeg"/><Relationship Id="rId48" Type="http://schemas.openxmlformats.org/officeDocument/2006/relationships/image" Target="media/image38.jpeg"/><Relationship Id="rId49" Type="http://schemas.openxmlformats.org/officeDocument/2006/relationships/image" Target="media/image39.jpeg"/><Relationship Id="rId50" Type="http://schemas.openxmlformats.org/officeDocument/2006/relationships/image" Target="media/image40.jpeg"/><Relationship Id="rId51" Type="http://schemas.openxmlformats.org/officeDocument/2006/relationships/image" Target="media/image41.jpeg"/><Relationship Id="rId52" Type="http://schemas.openxmlformats.org/officeDocument/2006/relationships/image" Target="media/image42.jpeg"/><Relationship Id="rId53" Type="http://schemas.openxmlformats.org/officeDocument/2006/relationships/image" Target="media/image43.jpeg"/><Relationship Id="rId54" Type="http://schemas.openxmlformats.org/officeDocument/2006/relationships/image" Target="media/image44.jpeg"/><Relationship Id="rId55" Type="http://schemas.openxmlformats.org/officeDocument/2006/relationships/image" Target="media/image45.jpeg"/><Relationship Id="rId56" Type="http://schemas.openxmlformats.org/officeDocument/2006/relationships/image" Target="media/image46.jpeg"/><Relationship Id="rId57" Type="http://schemas.openxmlformats.org/officeDocument/2006/relationships/image" Target="media/image47.jpeg"/><Relationship Id="rId58" Type="http://schemas.openxmlformats.org/officeDocument/2006/relationships/image" Target="media/image48.jpeg"/><Relationship Id="rId59" Type="http://schemas.openxmlformats.org/officeDocument/2006/relationships/image" Target="media/image49.png"/><Relationship Id="rId60" Type="http://schemas.openxmlformats.org/officeDocument/2006/relationships/image" Target="media/image50.jpeg"/><Relationship Id="rId61" Type="http://schemas.openxmlformats.org/officeDocument/2006/relationships/image" Target="media/image51.jpeg"/><Relationship Id="rId62" Type="http://schemas.openxmlformats.org/officeDocument/2006/relationships/image" Target="media/image52.jpeg"/><Relationship Id="rId63" Type="http://schemas.openxmlformats.org/officeDocument/2006/relationships/image" Target="media/image53.jpe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jpeg"/><Relationship Id="rId68" Type="http://schemas.openxmlformats.org/officeDocument/2006/relationships/image" Target="media/image58.png"/><Relationship Id="rId69" Type="http://schemas.openxmlformats.org/officeDocument/2006/relationships/image" Target="media/image59.jpeg"/><Relationship Id="rId70" Type="http://schemas.openxmlformats.org/officeDocument/2006/relationships/image" Target="media/image60.jpeg"/><Relationship Id="rId71" Type="http://schemas.openxmlformats.org/officeDocument/2006/relationships/image" Target="media/image61.jpeg"/><Relationship Id="rId72" Type="http://schemas.openxmlformats.org/officeDocument/2006/relationships/image" Target="media/image62.jpeg"/><Relationship Id="rId73" Type="http://schemas.openxmlformats.org/officeDocument/2006/relationships/image" Target="media/image63.jpeg"/><Relationship Id="rId74" Type="http://schemas.openxmlformats.org/officeDocument/2006/relationships/image" Target="media/image64.jpeg"/><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Armenia Borges Prado</dc:creator>
  <dcterms:created xsi:type="dcterms:W3CDTF">2025-12-15T17:42:25Z</dcterms:created>
  <dcterms:modified xsi:type="dcterms:W3CDTF">2025-12-15T17:42:25Z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2025-12-11T00:00:00Z</vt:filetime>
  </property>
</Properties>
</file>